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2640DB">
        <w:rPr>
          <w:b/>
          <w:sz w:val="32"/>
        </w:rPr>
        <w:t>juni</w:t>
      </w:r>
    </w:p>
    <w:p w:rsidR="00ED3706" w:rsidRDefault="00ED3706"/>
    <w:p w:rsidR="00710241" w:rsidRDefault="001E1489">
      <w:r w:rsidRPr="001E1489">
        <w:rPr>
          <w:noProof/>
          <w:lang w:eastAsia="sv-SE"/>
        </w:rPr>
        <w:drawing>
          <wp:inline distT="0" distB="0" distL="0" distR="0">
            <wp:extent cx="5757845" cy="2449901"/>
            <wp:effectExtent l="19050" t="0" r="14305" b="7549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1E1489">
      <w:r w:rsidRPr="001E1489">
        <w:rPr>
          <w:noProof/>
          <w:lang w:eastAsia="sv-SE"/>
        </w:rPr>
        <w:drawing>
          <wp:inline distT="0" distB="0" distL="0" distR="0">
            <wp:extent cx="5752765" cy="2415396"/>
            <wp:effectExtent l="19050" t="0" r="19385" b="3954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BD6498" w:rsidRDefault="001E1489">
      <w:r w:rsidRPr="001E1489">
        <w:rPr>
          <w:noProof/>
          <w:lang w:eastAsia="sv-SE"/>
        </w:rPr>
        <w:drawing>
          <wp:inline distT="0" distB="0" distL="0" distR="0">
            <wp:extent cx="5819607" cy="2639683"/>
            <wp:effectExtent l="19050" t="0" r="9693" b="8267"/>
            <wp:docPr id="6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BD6498" w:rsidRDefault="00BD6498"/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2640DB">
        <w:rPr>
          <w:b/>
          <w:sz w:val="32"/>
        </w:rPr>
        <w:t>juni</w:t>
      </w:r>
    </w:p>
    <w:p w:rsidR="006F2350" w:rsidRDefault="006F2350"/>
    <w:p w:rsidR="001E1489" w:rsidRDefault="001E1489">
      <w:r w:rsidRPr="001E1489">
        <w:rPr>
          <w:noProof/>
          <w:lang w:eastAsia="sv-SE"/>
        </w:rPr>
        <w:drawing>
          <wp:inline distT="0" distB="0" distL="0" distR="0">
            <wp:extent cx="5733607" cy="2355011"/>
            <wp:effectExtent l="19050" t="0" r="19493" b="7189"/>
            <wp:docPr id="7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1489" w:rsidRDefault="001E1489"/>
    <w:p w:rsidR="00527D1D" w:rsidRDefault="00527D1D"/>
    <w:p w:rsidR="00BA5026" w:rsidRDefault="00BA5026"/>
    <w:p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7EF"/>
    <w:rsid w:val="00033188"/>
    <w:rsid w:val="00043B56"/>
    <w:rsid w:val="000528B6"/>
    <w:rsid w:val="0005398F"/>
    <w:rsid w:val="00070936"/>
    <w:rsid w:val="0009630A"/>
    <w:rsid w:val="0009798E"/>
    <w:rsid w:val="00097C08"/>
    <w:rsid w:val="000B5674"/>
    <w:rsid w:val="000C645D"/>
    <w:rsid w:val="0012042E"/>
    <w:rsid w:val="001509E3"/>
    <w:rsid w:val="00193719"/>
    <w:rsid w:val="001A3AE1"/>
    <w:rsid w:val="001B7F99"/>
    <w:rsid w:val="001C70DA"/>
    <w:rsid w:val="001E1489"/>
    <w:rsid w:val="00201F7E"/>
    <w:rsid w:val="002640DB"/>
    <w:rsid w:val="00280A7A"/>
    <w:rsid w:val="002875DC"/>
    <w:rsid w:val="00295C37"/>
    <w:rsid w:val="002962A8"/>
    <w:rsid w:val="002A3A47"/>
    <w:rsid w:val="002B1909"/>
    <w:rsid w:val="002C1BF7"/>
    <w:rsid w:val="002E259D"/>
    <w:rsid w:val="002E6D24"/>
    <w:rsid w:val="002F2B81"/>
    <w:rsid w:val="002F5F54"/>
    <w:rsid w:val="00300D91"/>
    <w:rsid w:val="003267ED"/>
    <w:rsid w:val="003427EF"/>
    <w:rsid w:val="00346E57"/>
    <w:rsid w:val="00375652"/>
    <w:rsid w:val="00390CE7"/>
    <w:rsid w:val="003A6EFF"/>
    <w:rsid w:val="003B05D7"/>
    <w:rsid w:val="003B06B3"/>
    <w:rsid w:val="003B3BF2"/>
    <w:rsid w:val="003D166C"/>
    <w:rsid w:val="00432DD5"/>
    <w:rsid w:val="00453E72"/>
    <w:rsid w:val="0046054F"/>
    <w:rsid w:val="00460943"/>
    <w:rsid w:val="0047480E"/>
    <w:rsid w:val="00492FCB"/>
    <w:rsid w:val="004A2FBC"/>
    <w:rsid w:val="004B069A"/>
    <w:rsid w:val="004B25D3"/>
    <w:rsid w:val="00522CBC"/>
    <w:rsid w:val="00527D1D"/>
    <w:rsid w:val="00564A17"/>
    <w:rsid w:val="00566BFB"/>
    <w:rsid w:val="00577117"/>
    <w:rsid w:val="0059015C"/>
    <w:rsid w:val="005C385E"/>
    <w:rsid w:val="00615A1E"/>
    <w:rsid w:val="006241FA"/>
    <w:rsid w:val="006347A6"/>
    <w:rsid w:val="00636A19"/>
    <w:rsid w:val="0064223C"/>
    <w:rsid w:val="006469DF"/>
    <w:rsid w:val="0064799C"/>
    <w:rsid w:val="006946EC"/>
    <w:rsid w:val="006C5DA1"/>
    <w:rsid w:val="006F2350"/>
    <w:rsid w:val="006F6F3C"/>
    <w:rsid w:val="00710241"/>
    <w:rsid w:val="007344DF"/>
    <w:rsid w:val="00734CC6"/>
    <w:rsid w:val="00771B10"/>
    <w:rsid w:val="007878D4"/>
    <w:rsid w:val="00790260"/>
    <w:rsid w:val="00791F3C"/>
    <w:rsid w:val="0079438F"/>
    <w:rsid w:val="007D01EE"/>
    <w:rsid w:val="007E6362"/>
    <w:rsid w:val="007E6B9D"/>
    <w:rsid w:val="00820E71"/>
    <w:rsid w:val="00856D58"/>
    <w:rsid w:val="00870855"/>
    <w:rsid w:val="008C1D11"/>
    <w:rsid w:val="008C739A"/>
    <w:rsid w:val="008E69EA"/>
    <w:rsid w:val="00902B53"/>
    <w:rsid w:val="00921456"/>
    <w:rsid w:val="00934010"/>
    <w:rsid w:val="0094251E"/>
    <w:rsid w:val="00986619"/>
    <w:rsid w:val="0099065F"/>
    <w:rsid w:val="00992F97"/>
    <w:rsid w:val="009943AD"/>
    <w:rsid w:val="0099671A"/>
    <w:rsid w:val="009D1ACF"/>
    <w:rsid w:val="009E0A49"/>
    <w:rsid w:val="009F2DE8"/>
    <w:rsid w:val="00A6693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A5026"/>
    <w:rsid w:val="00BD6498"/>
    <w:rsid w:val="00BE041C"/>
    <w:rsid w:val="00C14495"/>
    <w:rsid w:val="00C1501B"/>
    <w:rsid w:val="00CA65D7"/>
    <w:rsid w:val="00CB38DB"/>
    <w:rsid w:val="00CF509A"/>
    <w:rsid w:val="00D36C81"/>
    <w:rsid w:val="00D40B09"/>
    <w:rsid w:val="00D44373"/>
    <w:rsid w:val="00D519B1"/>
    <w:rsid w:val="00DC025D"/>
    <w:rsid w:val="00DC096A"/>
    <w:rsid w:val="00DD2AB4"/>
    <w:rsid w:val="00DE3F1A"/>
    <w:rsid w:val="00DF0CA9"/>
    <w:rsid w:val="00E1653F"/>
    <w:rsid w:val="00E24FE1"/>
    <w:rsid w:val="00E45F44"/>
    <w:rsid w:val="00EC3EB8"/>
    <w:rsid w:val="00EC6EEA"/>
    <w:rsid w:val="00ED3706"/>
    <w:rsid w:val="00EE5733"/>
    <w:rsid w:val="00EF42A3"/>
    <w:rsid w:val="00F339B4"/>
    <w:rsid w:val="00F35E98"/>
    <w:rsid w:val="00F52614"/>
    <w:rsid w:val="00FB7770"/>
    <w:rsid w:val="00FC1FBA"/>
    <w:rsid w:val="00FE13F2"/>
    <w:rsid w:val="00FF3B11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1401,%20Privatmarknaden%20statistik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Sålda begagnade Personbilar i Sverige - Totalt</a:t>
            </a:r>
            <a:endParaRPr lang="sv-SE" sz="1400"/>
          </a:p>
        </c:rich>
      </c:tx>
      <c:layout>
        <c:manualLayout>
          <c:xMode val="edge"/>
          <c:yMode val="edge"/>
          <c:x val="0.13431428710300117"/>
          <c:y val="2.2018937152838761E-2"/>
        </c:manualLayout>
      </c:layout>
    </c:title>
    <c:plotArea>
      <c:layout>
        <c:manualLayout>
          <c:layoutTarget val="inner"/>
          <c:xMode val="edge"/>
          <c:yMode val="edge"/>
          <c:x val="0.10952822892498183"/>
          <c:y val="0.1607547140296719"/>
          <c:w val="0.87189934539541258"/>
          <c:h val="0.58435527548367738"/>
        </c:manualLayout>
      </c:layout>
      <c:lineChart>
        <c:grouping val="standard"/>
        <c:ser>
          <c:idx val="2"/>
          <c:order val="0"/>
          <c:tx>
            <c:strRef>
              <c:f>Blad1!$A$7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  <c:pt idx="9">
                  <c:v>94108</c:v>
                </c:pt>
                <c:pt idx="10">
                  <c:v>83987</c:v>
                </c:pt>
                <c:pt idx="11">
                  <c:v>61103</c:v>
                </c:pt>
              </c:numCache>
            </c:numRef>
          </c:val>
        </c:ser>
        <c:ser>
          <c:idx val="1"/>
          <c:order val="1"/>
          <c:tx>
            <c:strRef>
              <c:f>Blad1!$A$6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</c:ser>
        <c:ser>
          <c:idx val="0"/>
          <c:order val="2"/>
          <c:tx>
            <c:strRef>
              <c:f>Blad1!$A$5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Blad1!$B$5:$M$5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  <c:pt idx="3">
                  <c:v>88716</c:v>
                </c:pt>
                <c:pt idx="4">
                  <c:v>96283</c:v>
                </c:pt>
                <c:pt idx="5">
                  <c:v>93496</c:v>
                </c:pt>
              </c:numCache>
            </c:numRef>
          </c:val>
        </c:ser>
        <c:marker val="1"/>
        <c:axId val="69372160"/>
        <c:axId val="69431296"/>
      </c:lineChart>
      <c:catAx>
        <c:axId val="69372160"/>
        <c:scaling>
          <c:orientation val="minMax"/>
        </c:scaling>
        <c:axPos val="b"/>
        <c:numFmt formatCode="mmm/yy" sourceLinked="1"/>
        <c:majorTickMark val="none"/>
        <c:tickLblPos val="nextTo"/>
        <c:crossAx val="69431296"/>
        <c:crossesAt val="50000"/>
        <c:auto val="1"/>
        <c:lblAlgn val="ctr"/>
        <c:lblOffset val="100"/>
        <c:tickLblSkip val="1"/>
        <c:tickMarkSkip val="5000"/>
      </c:catAx>
      <c:valAx>
        <c:axId val="69431296"/>
        <c:scaling>
          <c:orientation val="minMax"/>
          <c:max val="110000"/>
          <c:min val="5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693721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Bilhandel</a:t>
            </a:r>
            <a:endParaRPr lang="sv-SE" sz="140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Blad1!$A$41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Blad1!$B$41:$M$41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  <c:pt idx="9">
                  <c:v>34197</c:v>
                </c:pt>
                <c:pt idx="10">
                  <c:v>31210</c:v>
                </c:pt>
                <c:pt idx="11">
                  <c:v>23895</c:v>
                </c:pt>
              </c:numCache>
            </c:numRef>
          </c:val>
        </c:ser>
        <c:ser>
          <c:idx val="1"/>
          <c:order val="1"/>
          <c:tx>
            <c:strRef>
              <c:f>Blad1!$A$40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Blad1!$B$40:$M$40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34712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</c:ser>
        <c:ser>
          <c:idx val="0"/>
          <c:order val="2"/>
          <c:tx>
            <c:strRef>
              <c:f>Blad1!$A$39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Blad1!$B$39:$M$39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  <c:pt idx="3">
                  <c:v>36442</c:v>
                </c:pt>
                <c:pt idx="4">
                  <c:v>37769</c:v>
                </c:pt>
                <c:pt idx="5">
                  <c:v>36929</c:v>
                </c:pt>
              </c:numCache>
            </c:numRef>
          </c:val>
        </c:ser>
        <c:marker val="1"/>
        <c:axId val="69541248"/>
        <c:axId val="69551232"/>
      </c:lineChart>
      <c:catAx>
        <c:axId val="69541248"/>
        <c:scaling>
          <c:orientation val="minMax"/>
        </c:scaling>
        <c:axPos val="b"/>
        <c:numFmt formatCode="General" sourceLinked="1"/>
        <c:majorTickMark val="none"/>
        <c:tickLblPos val="nextTo"/>
        <c:crossAx val="69551232"/>
        <c:crosses val="autoZero"/>
        <c:auto val="1"/>
        <c:lblAlgn val="ctr"/>
        <c:lblOffset val="100"/>
      </c:catAx>
      <c:valAx>
        <c:axId val="69551232"/>
        <c:scaling>
          <c:orientation val="minMax"/>
          <c:max val="40000"/>
          <c:min val="2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695412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Blad1!$A$73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Blad1!$B$73:$M$73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  <c:pt idx="9">
                  <c:v>56482</c:v>
                </c:pt>
                <c:pt idx="10">
                  <c:v>49690</c:v>
                </c:pt>
                <c:pt idx="11">
                  <c:v>34586</c:v>
                </c:pt>
              </c:numCache>
            </c:numRef>
          </c:val>
        </c:ser>
        <c:ser>
          <c:idx val="1"/>
          <c:order val="1"/>
          <c:tx>
            <c:strRef>
              <c:f>Blad1!$A$72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Blad1!$B$72:$M$72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</c:ser>
        <c:ser>
          <c:idx val="0"/>
          <c:order val="2"/>
          <c:tx>
            <c:strRef>
              <c:f>Blad1!$A$71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Blad1!$B$71:$M$71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  <c:pt idx="3">
                  <c:v>48860</c:v>
                </c:pt>
                <c:pt idx="4">
                  <c:v>54949</c:v>
                </c:pt>
                <c:pt idx="5">
                  <c:v>52805</c:v>
                </c:pt>
              </c:numCache>
            </c:numRef>
          </c:val>
        </c:ser>
        <c:marker val="1"/>
        <c:axId val="33685504"/>
        <c:axId val="33687040"/>
      </c:lineChart>
      <c:catAx>
        <c:axId val="33685504"/>
        <c:scaling>
          <c:orientation val="minMax"/>
        </c:scaling>
        <c:axPos val="b"/>
        <c:numFmt formatCode="mmm/yy" sourceLinked="1"/>
        <c:majorTickMark val="none"/>
        <c:tickLblPos val="nextTo"/>
        <c:crossAx val="33687040"/>
        <c:crosses val="autoZero"/>
        <c:auto val="1"/>
        <c:lblAlgn val="ctr"/>
        <c:lblOffset val="100"/>
      </c:catAx>
      <c:valAx>
        <c:axId val="33687040"/>
        <c:scaling>
          <c:orientation val="minMax"/>
          <c:max val="70000"/>
          <c:min val="30000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33685504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sv-SE" sz="1400"/>
              <a:t>Marknadsandel av sålda fordon till privatpersoner 2000-2014</a:t>
            </a:r>
          </a:p>
        </c:rich>
      </c:tx>
      <c:layout>
        <c:manualLayout>
          <c:xMode val="edge"/>
          <c:yMode val="edge"/>
          <c:x val="0.15340064291117286"/>
          <c:y val="3.2356536763522549E-2"/>
        </c:manualLayout>
      </c:layout>
    </c:title>
    <c:plotArea>
      <c:layout/>
      <c:lineChart>
        <c:grouping val="standard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UTV!$B$12:$P$12</c:f>
              <c:numCache>
                <c:formatCode>0.0%</c:formatCode>
                <c:ptCount val="15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0.61548958311910007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0.546889178821101</c:v>
                </c:pt>
              </c:numCache>
            </c:numRef>
          </c:val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UTV!$B$13:$P$13</c:f>
              <c:numCache>
                <c:formatCode>0.0%</c:formatCode>
                <c:ptCount val="15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0.41217455650108076</c:v>
                </c:pt>
              </c:numCache>
            </c:numRef>
          </c:val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UTV!$B$14:$P$14</c:f>
              <c:numCache>
                <c:formatCode>0.0%</c:formatCode>
                <c:ptCount val="15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4.0936264677818239E-2</c:v>
                </c:pt>
              </c:numCache>
            </c:numRef>
          </c:val>
        </c:ser>
        <c:marker val="1"/>
        <c:axId val="33722752"/>
        <c:axId val="33724288"/>
      </c:lineChart>
      <c:catAx>
        <c:axId val="33722752"/>
        <c:scaling>
          <c:orientation val="minMax"/>
        </c:scaling>
        <c:axPos val="b"/>
        <c:numFmt formatCode="@" sourceLinked="1"/>
        <c:majorTickMark val="none"/>
        <c:tickLblPos val="nextTo"/>
        <c:crossAx val="33724288"/>
        <c:crosses val="autoZero"/>
        <c:auto val="1"/>
        <c:lblAlgn val="ctr"/>
        <c:lblOffset val="100"/>
      </c:catAx>
      <c:valAx>
        <c:axId val="33724288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337227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2014-07-04T14:28:00Z</dcterms:created>
  <dcterms:modified xsi:type="dcterms:W3CDTF">2014-07-04T14:28:00Z</dcterms:modified>
</cp:coreProperties>
</file>