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2A" w:rsidRPr="001B2B62" w:rsidRDefault="0084282A" w:rsidP="0084282A">
      <w:pPr>
        <w:pStyle w:val="Heading2"/>
        <w:spacing w:after="240"/>
        <w:ind w:left="288"/>
        <w:rPr>
          <w:rFonts w:asciiTheme="minorHAnsi" w:hAnsiTheme="minorHAnsi" w:cstheme="minorHAnsi"/>
          <w:b w:val="0"/>
          <w:sz w:val="44"/>
        </w:rPr>
      </w:pPr>
      <w:r>
        <w:rPr>
          <w:rFonts w:asciiTheme="minorHAnsi" w:hAnsiTheme="minorHAnsi" w:cstheme="minorHAnsi"/>
          <w:sz w:val="44"/>
        </w:rPr>
        <w:t>Strong Volumes drive steady growth in Q2</w:t>
      </w:r>
    </w:p>
    <w:p w:rsidR="0084282A" w:rsidRPr="00D55DDA" w:rsidRDefault="0084282A" w:rsidP="0084282A">
      <w:pPr>
        <w:pStyle w:val="Heading2"/>
        <w:spacing w:before="120" w:after="240"/>
        <w:ind w:left="288"/>
        <w:rPr>
          <w:b w:val="0"/>
          <w:sz w:val="36"/>
        </w:rPr>
      </w:pPr>
      <w:r w:rsidRPr="00D55DDA">
        <w:rPr>
          <w:rFonts w:asciiTheme="minorHAnsi" w:hAnsiTheme="minorHAnsi" w:cstheme="minorHAnsi"/>
          <w:b w:val="0"/>
          <w:sz w:val="36"/>
        </w:rPr>
        <w:t xml:space="preserve">Revenue at </w:t>
      </w:r>
      <w:r w:rsidRPr="0084282A">
        <w:rPr>
          <w:rFonts w:asciiTheme="minorHAnsi" w:hAnsiTheme="minorHAnsi" w:cstheme="minorHAnsi"/>
          <w:b w:val="0"/>
          <w:sz w:val="36"/>
        </w:rPr>
        <w:t>$3.9</w:t>
      </w:r>
      <w:r w:rsidR="005300EA">
        <w:rPr>
          <w:rFonts w:asciiTheme="minorHAnsi" w:hAnsiTheme="minorHAnsi" w:cstheme="minorHAnsi"/>
          <w:b w:val="0"/>
          <w:sz w:val="36"/>
        </w:rPr>
        <w:t>3</w:t>
      </w:r>
      <w:r>
        <w:rPr>
          <w:rFonts w:ascii="Rupee Foradian" w:hAnsi="Rupee Foradian" w:cstheme="minorHAnsi"/>
          <w:b w:val="0"/>
          <w:sz w:val="36"/>
        </w:rPr>
        <w:t xml:space="preserve"> </w:t>
      </w:r>
      <w:r>
        <w:rPr>
          <w:rFonts w:asciiTheme="minorHAnsi" w:hAnsiTheme="minorHAnsi" w:cstheme="minorHAnsi"/>
          <w:b w:val="0"/>
          <w:sz w:val="36"/>
        </w:rPr>
        <w:t>billion</w:t>
      </w:r>
      <w:r w:rsidRPr="00D55DDA">
        <w:rPr>
          <w:rFonts w:asciiTheme="minorHAnsi" w:hAnsiTheme="minorHAnsi" w:cstheme="minorHAnsi"/>
          <w:b w:val="0"/>
          <w:sz w:val="36"/>
        </w:rPr>
        <w:t xml:space="preserve"> up </w:t>
      </w:r>
      <w:r>
        <w:rPr>
          <w:rFonts w:asciiTheme="minorHAnsi" w:hAnsiTheme="minorHAnsi" w:cstheme="minorHAnsi"/>
          <w:b w:val="0"/>
          <w:sz w:val="36"/>
        </w:rPr>
        <w:t>6.4</w:t>
      </w:r>
      <w:r w:rsidRPr="00D55DDA">
        <w:rPr>
          <w:rFonts w:asciiTheme="minorHAnsi" w:hAnsiTheme="minorHAnsi" w:cstheme="minorHAnsi"/>
          <w:b w:val="0"/>
          <w:sz w:val="36"/>
        </w:rPr>
        <w:t xml:space="preserve">% Q-o-Q; up </w:t>
      </w:r>
      <w:r>
        <w:rPr>
          <w:rFonts w:asciiTheme="minorHAnsi" w:hAnsiTheme="minorHAnsi" w:cstheme="minorHAnsi"/>
          <w:b w:val="0"/>
          <w:sz w:val="36"/>
        </w:rPr>
        <w:t>17.7</w:t>
      </w:r>
      <w:r w:rsidRPr="00D55DDA">
        <w:rPr>
          <w:rFonts w:asciiTheme="minorHAnsi" w:hAnsiTheme="minorHAnsi" w:cstheme="minorHAnsi"/>
          <w:b w:val="0"/>
          <w:sz w:val="36"/>
        </w:rPr>
        <w:t>% Y-o-Y</w:t>
      </w:r>
    </w:p>
    <w:p w:rsidR="0084282A" w:rsidRPr="00A14657" w:rsidRDefault="0084282A" w:rsidP="0084282A">
      <w:pPr>
        <w:pStyle w:val="Heading2"/>
        <w:numPr>
          <w:ilvl w:val="0"/>
          <w:numId w:val="4"/>
        </w:numPr>
        <w:spacing w:before="120"/>
        <w:jc w:val="left"/>
      </w:pPr>
      <w:r w:rsidRPr="00A14657">
        <w:rPr>
          <w:rFonts w:asciiTheme="minorHAnsi" w:hAnsiTheme="minorHAnsi" w:cstheme="minorHAnsi"/>
          <w:sz w:val="28"/>
        </w:rPr>
        <w:t xml:space="preserve">Net </w:t>
      </w:r>
      <w:r>
        <w:rPr>
          <w:rFonts w:asciiTheme="minorHAnsi" w:hAnsiTheme="minorHAnsi" w:cstheme="minorHAnsi"/>
          <w:sz w:val="28"/>
        </w:rPr>
        <w:t>Income</w:t>
      </w:r>
      <w:r w:rsidRPr="00A14657">
        <w:rPr>
          <w:rFonts w:asciiTheme="minorHAnsi" w:hAnsiTheme="minorHAnsi" w:cstheme="minorHAnsi"/>
          <w:sz w:val="28"/>
        </w:rPr>
        <w:t xml:space="preserve"> at </w:t>
      </w:r>
      <w:r w:rsidR="006779AB">
        <w:rPr>
          <w:rFonts w:asciiTheme="minorHAnsi" w:hAnsiTheme="minorHAnsi" w:cstheme="minorHAnsi"/>
          <w:sz w:val="28"/>
        </w:rPr>
        <w:t>$</w:t>
      </w:r>
      <w:r>
        <w:rPr>
          <w:rFonts w:asciiTheme="minorHAnsi" w:hAnsiTheme="minorHAnsi" w:cstheme="minorHAnsi"/>
          <w:sz w:val="28"/>
        </w:rPr>
        <w:t>872 million</w:t>
      </w:r>
      <w:r w:rsidRPr="00A14657">
        <w:rPr>
          <w:rFonts w:asciiTheme="minorHAnsi" w:hAnsiTheme="minorHAnsi" w:cstheme="minorHAnsi"/>
          <w:sz w:val="28"/>
        </w:rPr>
        <w:t xml:space="preserve"> up </w:t>
      </w:r>
      <w:r>
        <w:rPr>
          <w:rFonts w:asciiTheme="minorHAnsi" w:hAnsiTheme="minorHAnsi" w:cstheme="minorHAnsi"/>
          <w:sz w:val="28"/>
        </w:rPr>
        <w:t>3.2</w:t>
      </w:r>
      <w:r w:rsidRPr="00A14657">
        <w:rPr>
          <w:rFonts w:asciiTheme="minorHAnsi" w:hAnsiTheme="minorHAnsi" w:cstheme="minorHAnsi"/>
          <w:sz w:val="28"/>
        </w:rPr>
        <w:t xml:space="preserve">% Q-o-Q; up </w:t>
      </w:r>
      <w:r w:rsidR="006779AB">
        <w:rPr>
          <w:rFonts w:asciiTheme="minorHAnsi" w:hAnsiTheme="minorHAnsi" w:cstheme="minorHAnsi"/>
          <w:sz w:val="28"/>
        </w:rPr>
        <w:t>17.8</w:t>
      </w:r>
      <w:r w:rsidRPr="00A14657">
        <w:rPr>
          <w:rFonts w:asciiTheme="minorHAnsi" w:hAnsiTheme="minorHAnsi" w:cstheme="minorHAnsi"/>
          <w:sz w:val="28"/>
        </w:rPr>
        <w:t>% Y-o-Y</w:t>
      </w:r>
    </w:p>
    <w:p w:rsidR="0084282A" w:rsidRDefault="0084282A" w:rsidP="0084282A">
      <w:pPr>
        <w:pStyle w:val="Heading2"/>
        <w:numPr>
          <w:ilvl w:val="0"/>
          <w:numId w:val="4"/>
        </w:numPr>
        <w:spacing w:before="120"/>
        <w:jc w:val="left"/>
        <w:rPr>
          <w:rFonts w:asciiTheme="minorHAnsi" w:hAnsiTheme="minorHAnsi" w:cstheme="minorHAnsi"/>
          <w:sz w:val="28"/>
        </w:rPr>
      </w:pPr>
      <w:r w:rsidRPr="003E541F">
        <w:rPr>
          <w:rFonts w:asciiTheme="minorHAnsi" w:hAnsiTheme="minorHAnsi" w:cstheme="minorHAnsi"/>
          <w:sz w:val="28"/>
        </w:rPr>
        <w:t>Strong Volume growth at 6.1%</w:t>
      </w:r>
    </w:p>
    <w:p w:rsidR="0084282A" w:rsidRDefault="0084282A" w:rsidP="0084282A">
      <w:pPr>
        <w:pStyle w:val="Heading2"/>
        <w:numPr>
          <w:ilvl w:val="0"/>
          <w:numId w:val="4"/>
        </w:numPr>
        <w:spacing w:before="120"/>
        <w:jc w:val="left"/>
        <w:rPr>
          <w:rFonts w:asciiTheme="minorHAnsi" w:hAnsiTheme="minorHAnsi" w:cstheme="minorHAnsi"/>
          <w:sz w:val="28"/>
        </w:rPr>
      </w:pPr>
      <w:r>
        <w:rPr>
          <w:rFonts w:asciiTheme="minorHAnsi" w:hAnsiTheme="minorHAnsi" w:cstheme="minorHAnsi"/>
          <w:sz w:val="28"/>
        </w:rPr>
        <w:t>Crosses Milestone of employing 100,000 women professionals</w:t>
      </w:r>
    </w:p>
    <w:p w:rsidR="0084282A" w:rsidRPr="00DF59B8" w:rsidRDefault="0084282A" w:rsidP="0084282A"/>
    <w:p w:rsidR="0084282A" w:rsidRDefault="0084282A" w:rsidP="0084282A">
      <w:pPr>
        <w:ind w:left="360"/>
        <w:rPr>
          <w:rFonts w:asciiTheme="minorHAnsi" w:hAnsiTheme="minorHAnsi" w:cstheme="minorHAnsi"/>
          <w:b/>
          <w:sz w:val="22"/>
          <w:szCs w:val="22"/>
        </w:rPr>
      </w:pPr>
    </w:p>
    <w:p w:rsidR="0084282A" w:rsidRPr="00A06F0E" w:rsidRDefault="0084282A" w:rsidP="0084282A">
      <w:pPr>
        <w:ind w:left="360"/>
        <w:rPr>
          <w:rFonts w:asciiTheme="minorHAnsi" w:hAnsiTheme="minorHAnsi" w:cstheme="minorHAnsi"/>
          <w:sz w:val="22"/>
          <w:szCs w:val="22"/>
        </w:rPr>
      </w:pPr>
      <w:r w:rsidRPr="00A06F0E">
        <w:rPr>
          <w:rFonts w:asciiTheme="minorHAnsi" w:hAnsiTheme="minorHAnsi" w:cstheme="minorHAnsi"/>
          <w:b/>
          <w:sz w:val="22"/>
          <w:szCs w:val="22"/>
        </w:rPr>
        <w:t xml:space="preserve">MUMBAI, </w:t>
      </w:r>
      <w:r>
        <w:rPr>
          <w:rFonts w:asciiTheme="minorHAnsi" w:hAnsiTheme="minorHAnsi" w:cstheme="minorHAnsi"/>
          <w:b/>
          <w:sz w:val="22"/>
          <w:szCs w:val="22"/>
        </w:rPr>
        <w:t>October 16</w:t>
      </w:r>
      <w:r w:rsidRPr="00A06F0E">
        <w:rPr>
          <w:rFonts w:asciiTheme="minorHAnsi" w:hAnsiTheme="minorHAnsi" w:cstheme="minorHAnsi"/>
          <w:b/>
          <w:sz w:val="22"/>
          <w:szCs w:val="22"/>
        </w:rPr>
        <w:t xml:space="preserve">, </w:t>
      </w:r>
      <w:r>
        <w:rPr>
          <w:rFonts w:asciiTheme="minorHAnsi" w:hAnsiTheme="minorHAnsi" w:cstheme="minorHAnsi"/>
          <w:b/>
          <w:sz w:val="22"/>
          <w:szCs w:val="22"/>
        </w:rPr>
        <w:t>2014</w:t>
      </w:r>
      <w:r w:rsidRPr="00A06F0E">
        <w:rPr>
          <w:rFonts w:asciiTheme="minorHAnsi" w:hAnsiTheme="minorHAnsi" w:cstheme="minorHAnsi"/>
          <w:b/>
          <w:sz w:val="22"/>
          <w:szCs w:val="22"/>
        </w:rPr>
        <w:t>:</w:t>
      </w:r>
      <w:r w:rsidRPr="00A06F0E">
        <w:rPr>
          <w:rFonts w:asciiTheme="minorHAnsi" w:hAnsiTheme="minorHAnsi" w:cstheme="minorHAnsi"/>
          <w:sz w:val="22"/>
          <w:szCs w:val="22"/>
        </w:rPr>
        <w:t xml:space="preserve"> Tata Consultancy Services (BSE: </w:t>
      </w:r>
      <w:r>
        <w:rPr>
          <w:rFonts w:asciiTheme="minorHAnsi" w:hAnsiTheme="minorHAnsi" w:cstheme="minorHAnsi"/>
          <w:sz w:val="22"/>
          <w:szCs w:val="22"/>
        </w:rPr>
        <w:t>532540</w:t>
      </w:r>
      <w:r w:rsidRPr="00A06F0E">
        <w:rPr>
          <w:rFonts w:asciiTheme="minorHAnsi" w:hAnsiTheme="minorHAnsi" w:cstheme="minorHAnsi"/>
          <w:sz w:val="22"/>
          <w:szCs w:val="22"/>
        </w:rPr>
        <w:t>, NSE: TCS), the leading IT services,</w:t>
      </w:r>
      <w:r>
        <w:rPr>
          <w:rFonts w:asciiTheme="minorHAnsi" w:hAnsiTheme="minorHAnsi" w:cstheme="minorHAnsi"/>
          <w:sz w:val="22"/>
          <w:szCs w:val="22"/>
        </w:rPr>
        <w:t xml:space="preserve"> consulting and </w:t>
      </w:r>
      <w:r w:rsidRPr="00A06F0E">
        <w:rPr>
          <w:rFonts w:asciiTheme="minorHAnsi" w:hAnsiTheme="minorHAnsi" w:cstheme="minorHAnsi"/>
          <w:sz w:val="22"/>
          <w:szCs w:val="22"/>
        </w:rPr>
        <w:t>business solutions firm reported its consolidated financial results according to I</w:t>
      </w:r>
      <w:r>
        <w:rPr>
          <w:rFonts w:asciiTheme="minorHAnsi" w:hAnsiTheme="minorHAnsi" w:cstheme="minorHAnsi"/>
          <w:sz w:val="22"/>
          <w:szCs w:val="22"/>
        </w:rPr>
        <w:t>FRS</w:t>
      </w:r>
      <w:r w:rsidRPr="00A06F0E">
        <w:rPr>
          <w:rFonts w:asciiTheme="minorHAnsi" w:hAnsiTheme="minorHAnsi" w:cstheme="minorHAnsi"/>
          <w:sz w:val="22"/>
          <w:szCs w:val="22"/>
        </w:rPr>
        <w:t xml:space="preserve"> for the quarter</w:t>
      </w:r>
      <w:r>
        <w:rPr>
          <w:rFonts w:asciiTheme="minorHAnsi" w:hAnsiTheme="minorHAnsi" w:cstheme="minorHAnsi"/>
          <w:sz w:val="22"/>
          <w:szCs w:val="22"/>
        </w:rPr>
        <w:t xml:space="preserve"> e</w:t>
      </w:r>
      <w:r w:rsidRPr="00A06F0E">
        <w:rPr>
          <w:rFonts w:asciiTheme="minorHAnsi" w:hAnsiTheme="minorHAnsi" w:cstheme="minorHAnsi"/>
          <w:sz w:val="22"/>
          <w:szCs w:val="22"/>
        </w:rPr>
        <w:t xml:space="preserve">nded </w:t>
      </w:r>
      <w:r>
        <w:rPr>
          <w:rFonts w:asciiTheme="minorHAnsi" w:hAnsiTheme="minorHAnsi" w:cstheme="minorHAnsi"/>
          <w:sz w:val="22"/>
          <w:szCs w:val="22"/>
        </w:rPr>
        <w:t>September</w:t>
      </w:r>
      <w:r w:rsidRPr="00A06F0E">
        <w:rPr>
          <w:rFonts w:asciiTheme="minorHAnsi" w:hAnsiTheme="minorHAnsi" w:cstheme="minorHAnsi"/>
          <w:sz w:val="22"/>
          <w:szCs w:val="22"/>
        </w:rPr>
        <w:t xml:space="preserve"> 30</w:t>
      </w:r>
      <w:r>
        <w:rPr>
          <w:rFonts w:asciiTheme="minorHAnsi" w:hAnsiTheme="minorHAnsi" w:cstheme="minorHAnsi"/>
          <w:sz w:val="22"/>
          <w:szCs w:val="22"/>
        </w:rPr>
        <w:t>, 2014</w:t>
      </w:r>
      <w:r w:rsidRPr="00A06F0E">
        <w:rPr>
          <w:rFonts w:asciiTheme="minorHAnsi" w:hAnsiTheme="minorHAnsi" w:cstheme="minorHAnsi"/>
          <w:sz w:val="22"/>
          <w:szCs w:val="22"/>
        </w:rPr>
        <w:t>.</w:t>
      </w:r>
    </w:p>
    <w:p w:rsidR="0084282A" w:rsidRPr="00C75AF4" w:rsidRDefault="0084282A" w:rsidP="0084282A">
      <w:pPr>
        <w:ind w:left="360"/>
        <w:rPr>
          <w:rFonts w:asciiTheme="minorHAnsi" w:hAnsiTheme="minorHAnsi" w:cstheme="minorHAnsi"/>
          <w:b/>
        </w:rPr>
      </w:pPr>
    </w:p>
    <w:p w:rsidR="0084282A" w:rsidRPr="008A1C9F" w:rsidRDefault="0084282A" w:rsidP="0084282A">
      <w:pPr>
        <w:ind w:left="360"/>
        <w:rPr>
          <w:rFonts w:asciiTheme="minorHAnsi" w:hAnsiTheme="minorHAnsi" w:cstheme="minorHAnsi"/>
          <w:b/>
          <w:sz w:val="22"/>
          <w:szCs w:val="22"/>
        </w:rPr>
      </w:pPr>
      <w:r w:rsidRPr="008A1C9F">
        <w:rPr>
          <w:rFonts w:asciiTheme="minorHAnsi" w:hAnsiTheme="minorHAnsi" w:cstheme="minorHAnsi"/>
          <w:b/>
          <w:sz w:val="22"/>
          <w:szCs w:val="22"/>
        </w:rPr>
        <w:t xml:space="preserve">Financial Highlights for Quarter Ended </w:t>
      </w:r>
      <w:r>
        <w:rPr>
          <w:rFonts w:asciiTheme="minorHAnsi" w:hAnsiTheme="minorHAnsi" w:cstheme="minorHAnsi"/>
          <w:b/>
          <w:sz w:val="22"/>
          <w:szCs w:val="22"/>
        </w:rPr>
        <w:t>September</w:t>
      </w:r>
      <w:r w:rsidRPr="008A1C9F">
        <w:rPr>
          <w:rFonts w:asciiTheme="minorHAnsi" w:hAnsiTheme="minorHAnsi" w:cstheme="minorHAnsi"/>
          <w:b/>
          <w:sz w:val="22"/>
          <w:szCs w:val="22"/>
        </w:rPr>
        <w:t xml:space="preserve"> 30, </w:t>
      </w:r>
      <w:r>
        <w:rPr>
          <w:rFonts w:asciiTheme="minorHAnsi" w:hAnsiTheme="minorHAnsi" w:cstheme="minorHAnsi"/>
          <w:b/>
          <w:sz w:val="22"/>
          <w:szCs w:val="22"/>
        </w:rPr>
        <w:t>2014</w:t>
      </w:r>
      <w:r w:rsidRPr="008A1C9F">
        <w:rPr>
          <w:rFonts w:asciiTheme="minorHAnsi" w:hAnsiTheme="minorHAnsi" w:cstheme="minorHAnsi"/>
          <w:b/>
          <w:sz w:val="22"/>
          <w:szCs w:val="22"/>
        </w:rPr>
        <w:t xml:space="preserve"> </w:t>
      </w:r>
    </w:p>
    <w:p w:rsidR="0084282A" w:rsidRDefault="0084282A" w:rsidP="00D0532B">
      <w:pPr>
        <w:pStyle w:val="ListParagraph"/>
        <w:numPr>
          <w:ilvl w:val="0"/>
          <w:numId w:val="5"/>
        </w:numPr>
        <w:ind w:left="1080"/>
        <w:rPr>
          <w:rFonts w:asciiTheme="minorHAnsi" w:hAnsiTheme="minorHAnsi" w:cstheme="minorHAnsi"/>
          <w:sz w:val="22"/>
          <w:szCs w:val="22"/>
        </w:rPr>
      </w:pPr>
      <w:r w:rsidRPr="0084282A">
        <w:rPr>
          <w:rFonts w:asciiTheme="minorHAnsi" w:hAnsiTheme="minorHAnsi" w:cstheme="minorHAnsi"/>
          <w:sz w:val="22"/>
          <w:szCs w:val="22"/>
        </w:rPr>
        <w:t>Operating Profit at $</w:t>
      </w:r>
      <w:r w:rsidR="006779AB">
        <w:rPr>
          <w:rFonts w:asciiTheme="minorHAnsi" w:hAnsiTheme="minorHAnsi" w:cstheme="minorHAnsi"/>
          <w:sz w:val="22"/>
          <w:szCs w:val="22"/>
        </w:rPr>
        <w:t>1,055 million; Growth of 8.6% Q-o-Q and 4.8</w:t>
      </w:r>
      <w:r w:rsidRPr="0084282A">
        <w:rPr>
          <w:rFonts w:asciiTheme="minorHAnsi" w:hAnsiTheme="minorHAnsi" w:cstheme="minorHAnsi"/>
          <w:sz w:val="22"/>
          <w:szCs w:val="22"/>
        </w:rPr>
        <w:t xml:space="preserve">% Y-o-Y </w:t>
      </w:r>
    </w:p>
    <w:p w:rsidR="0084282A" w:rsidRPr="00D27CEA" w:rsidRDefault="0084282A" w:rsidP="0084282A">
      <w:pPr>
        <w:pStyle w:val="ListParagraph"/>
        <w:numPr>
          <w:ilvl w:val="0"/>
          <w:numId w:val="5"/>
        </w:numPr>
        <w:ind w:left="1080"/>
        <w:rPr>
          <w:rFonts w:asciiTheme="minorHAnsi" w:hAnsiTheme="minorHAnsi" w:cstheme="minorHAnsi"/>
          <w:sz w:val="22"/>
          <w:szCs w:val="22"/>
        </w:rPr>
      </w:pPr>
      <w:r w:rsidRPr="00D27D86">
        <w:rPr>
          <w:rFonts w:asciiTheme="minorHAnsi" w:hAnsiTheme="minorHAnsi" w:cstheme="minorHAnsi"/>
          <w:sz w:val="22"/>
          <w:szCs w:val="22"/>
        </w:rPr>
        <w:t xml:space="preserve">Earnings Per Share at </w:t>
      </w:r>
      <w:r w:rsidR="00D27CEA" w:rsidRPr="00D27CEA">
        <w:rPr>
          <w:rFonts w:asciiTheme="minorHAnsi" w:hAnsiTheme="minorHAnsi" w:cstheme="minorHAnsi"/>
          <w:sz w:val="22"/>
          <w:szCs w:val="22"/>
        </w:rPr>
        <w:t>$</w:t>
      </w:r>
      <w:r w:rsidR="00D27CEA">
        <w:rPr>
          <w:rFonts w:asciiTheme="minorHAnsi" w:hAnsiTheme="minorHAnsi" w:cstheme="minorHAnsi"/>
          <w:sz w:val="22"/>
          <w:szCs w:val="22"/>
        </w:rPr>
        <w:t>0.45</w:t>
      </w:r>
    </w:p>
    <w:p w:rsidR="0084282A" w:rsidRPr="00C75AF4" w:rsidRDefault="0084282A" w:rsidP="0084282A">
      <w:pPr>
        <w:ind w:left="1080"/>
        <w:rPr>
          <w:rFonts w:asciiTheme="minorHAnsi" w:hAnsiTheme="minorHAnsi" w:cstheme="minorHAnsi"/>
          <w:b/>
        </w:rPr>
      </w:pPr>
    </w:p>
    <w:p w:rsidR="0084282A" w:rsidRPr="008A1C9F" w:rsidRDefault="0084282A" w:rsidP="0084282A">
      <w:pPr>
        <w:ind w:left="360"/>
        <w:rPr>
          <w:rFonts w:asciiTheme="minorHAnsi" w:hAnsiTheme="minorHAnsi" w:cstheme="minorHAnsi"/>
          <w:b/>
          <w:sz w:val="22"/>
          <w:szCs w:val="22"/>
        </w:rPr>
      </w:pPr>
      <w:r w:rsidRPr="008A1C9F">
        <w:rPr>
          <w:rFonts w:asciiTheme="minorHAnsi" w:hAnsiTheme="minorHAnsi" w:cstheme="minorHAnsi"/>
          <w:b/>
          <w:sz w:val="22"/>
          <w:szCs w:val="22"/>
        </w:rPr>
        <w:t xml:space="preserve">Business Highlights for Quarter Ended </w:t>
      </w:r>
      <w:r>
        <w:rPr>
          <w:rFonts w:asciiTheme="minorHAnsi" w:hAnsiTheme="minorHAnsi" w:cstheme="minorHAnsi"/>
          <w:b/>
          <w:sz w:val="22"/>
          <w:szCs w:val="22"/>
        </w:rPr>
        <w:t>September</w:t>
      </w:r>
      <w:r w:rsidR="006779AB">
        <w:rPr>
          <w:rFonts w:asciiTheme="minorHAnsi" w:hAnsiTheme="minorHAnsi" w:cstheme="minorHAnsi"/>
          <w:b/>
          <w:sz w:val="22"/>
          <w:szCs w:val="22"/>
        </w:rPr>
        <w:t xml:space="preserve"> </w:t>
      </w:r>
      <w:r>
        <w:rPr>
          <w:rFonts w:asciiTheme="minorHAnsi" w:hAnsiTheme="minorHAnsi" w:cstheme="minorHAnsi"/>
          <w:b/>
          <w:sz w:val="22"/>
          <w:szCs w:val="22"/>
        </w:rPr>
        <w:t>30, 2014</w:t>
      </w:r>
      <w:r w:rsidRPr="008A1C9F">
        <w:rPr>
          <w:rFonts w:asciiTheme="minorHAnsi" w:hAnsiTheme="minorHAnsi" w:cstheme="minorHAnsi"/>
          <w:b/>
          <w:sz w:val="22"/>
          <w:szCs w:val="22"/>
        </w:rPr>
        <w:t xml:space="preserve"> </w:t>
      </w:r>
    </w:p>
    <w:p w:rsidR="0084282A" w:rsidRDefault="0084282A" w:rsidP="0084282A">
      <w:pPr>
        <w:pStyle w:val="ListParagraph"/>
        <w:numPr>
          <w:ilvl w:val="0"/>
          <w:numId w:val="5"/>
        </w:numPr>
        <w:ind w:left="1080"/>
        <w:rPr>
          <w:rFonts w:asciiTheme="minorHAnsi" w:hAnsiTheme="minorHAnsi" w:cstheme="minorHAnsi"/>
          <w:sz w:val="22"/>
          <w:szCs w:val="22"/>
        </w:rPr>
      </w:pPr>
      <w:r>
        <w:rPr>
          <w:rFonts w:asciiTheme="minorHAnsi" w:hAnsiTheme="minorHAnsi" w:cstheme="minorHAnsi"/>
          <w:sz w:val="22"/>
          <w:szCs w:val="22"/>
        </w:rPr>
        <w:t>Gross employee addition:</w:t>
      </w:r>
      <w:r w:rsidRPr="00CB35E2">
        <w:rPr>
          <w:rFonts w:asciiTheme="minorHAnsi" w:hAnsiTheme="minorHAnsi" w:cstheme="minorHAnsi"/>
          <w:sz w:val="22"/>
          <w:szCs w:val="22"/>
        </w:rPr>
        <w:t xml:space="preserve"> </w:t>
      </w:r>
      <w:r>
        <w:rPr>
          <w:rFonts w:asciiTheme="minorHAnsi" w:hAnsiTheme="minorHAnsi" w:cstheme="minorHAnsi"/>
          <w:b/>
          <w:bCs/>
          <w:sz w:val="22"/>
          <w:szCs w:val="22"/>
        </w:rPr>
        <w:t>20,350</w:t>
      </w:r>
      <w:r w:rsidRPr="00CB35E2">
        <w:rPr>
          <w:rFonts w:asciiTheme="minorHAnsi" w:hAnsiTheme="minorHAnsi" w:cstheme="minorHAnsi"/>
          <w:b/>
          <w:bCs/>
          <w:sz w:val="22"/>
          <w:szCs w:val="22"/>
        </w:rPr>
        <w:t xml:space="preserve"> </w:t>
      </w:r>
    </w:p>
    <w:p w:rsidR="0084282A" w:rsidRPr="00CB35E2" w:rsidRDefault="0084282A" w:rsidP="0084282A">
      <w:pPr>
        <w:pStyle w:val="ListParagraph"/>
        <w:numPr>
          <w:ilvl w:val="0"/>
          <w:numId w:val="5"/>
        </w:numPr>
        <w:ind w:left="1080"/>
        <w:rPr>
          <w:rFonts w:asciiTheme="minorHAnsi" w:hAnsiTheme="minorHAnsi" w:cstheme="minorHAnsi"/>
          <w:sz w:val="22"/>
          <w:szCs w:val="22"/>
        </w:rPr>
      </w:pPr>
      <w:r w:rsidRPr="00CB35E2">
        <w:rPr>
          <w:rFonts w:asciiTheme="minorHAnsi" w:hAnsiTheme="minorHAnsi" w:cstheme="minorHAnsi"/>
          <w:sz w:val="22"/>
          <w:szCs w:val="22"/>
        </w:rPr>
        <w:t xml:space="preserve">Total headcount: </w:t>
      </w:r>
      <w:r>
        <w:rPr>
          <w:rFonts w:asciiTheme="minorHAnsi" w:hAnsiTheme="minorHAnsi" w:cstheme="minorHAnsi"/>
          <w:b/>
          <w:bCs/>
          <w:sz w:val="22"/>
          <w:szCs w:val="22"/>
        </w:rPr>
        <w:t>313,757</w:t>
      </w:r>
    </w:p>
    <w:p w:rsidR="0084282A" w:rsidRPr="00447AC1" w:rsidRDefault="0084282A" w:rsidP="0084282A">
      <w:pPr>
        <w:pStyle w:val="ListParagraph"/>
        <w:numPr>
          <w:ilvl w:val="0"/>
          <w:numId w:val="5"/>
        </w:numPr>
        <w:ind w:left="1080"/>
        <w:rPr>
          <w:rFonts w:asciiTheme="minorHAnsi" w:hAnsiTheme="minorHAnsi" w:cstheme="minorHAnsi"/>
          <w:sz w:val="22"/>
          <w:szCs w:val="22"/>
        </w:rPr>
      </w:pPr>
      <w:r w:rsidRPr="00447AC1">
        <w:rPr>
          <w:rFonts w:asciiTheme="minorHAnsi" w:hAnsiTheme="minorHAnsi" w:cstheme="minorHAnsi"/>
          <w:sz w:val="22"/>
          <w:szCs w:val="22"/>
        </w:rPr>
        <w:t xml:space="preserve">Utilization: </w:t>
      </w:r>
      <w:r w:rsidRPr="003E541F">
        <w:rPr>
          <w:rFonts w:asciiTheme="minorHAnsi" w:hAnsiTheme="minorHAnsi" w:cstheme="minorHAnsi"/>
          <w:b/>
          <w:bCs/>
          <w:sz w:val="22"/>
          <w:szCs w:val="22"/>
        </w:rPr>
        <w:t>86.</w:t>
      </w:r>
      <w:r w:rsidR="008A35C9">
        <w:rPr>
          <w:rFonts w:asciiTheme="minorHAnsi" w:hAnsiTheme="minorHAnsi" w:cstheme="minorHAnsi"/>
          <w:b/>
          <w:bCs/>
          <w:sz w:val="22"/>
          <w:szCs w:val="22"/>
        </w:rPr>
        <w:t>2</w:t>
      </w:r>
      <w:r w:rsidRPr="003E541F">
        <w:rPr>
          <w:rFonts w:asciiTheme="minorHAnsi" w:hAnsiTheme="minorHAnsi" w:cstheme="minorHAnsi"/>
          <w:b/>
          <w:bCs/>
          <w:sz w:val="22"/>
          <w:szCs w:val="22"/>
        </w:rPr>
        <w:t>%</w:t>
      </w:r>
      <w:r w:rsidRPr="00447AC1">
        <w:rPr>
          <w:rFonts w:asciiTheme="minorHAnsi" w:hAnsiTheme="minorHAnsi" w:cstheme="minorHAnsi"/>
          <w:sz w:val="22"/>
          <w:szCs w:val="22"/>
        </w:rPr>
        <w:t xml:space="preserve"> (excluding trainees) &amp; </w:t>
      </w:r>
      <w:r>
        <w:rPr>
          <w:rFonts w:asciiTheme="minorHAnsi" w:hAnsiTheme="minorHAnsi" w:cstheme="minorHAnsi"/>
          <w:b/>
          <w:bCs/>
          <w:sz w:val="22"/>
          <w:szCs w:val="22"/>
        </w:rPr>
        <w:t>81.</w:t>
      </w:r>
      <w:r w:rsidR="008A35C9">
        <w:rPr>
          <w:rFonts w:asciiTheme="minorHAnsi" w:hAnsiTheme="minorHAnsi" w:cstheme="minorHAnsi"/>
          <w:b/>
          <w:bCs/>
          <w:sz w:val="22"/>
          <w:szCs w:val="22"/>
        </w:rPr>
        <w:t>3</w:t>
      </w:r>
      <w:r w:rsidRPr="00447AC1">
        <w:rPr>
          <w:rFonts w:asciiTheme="minorHAnsi" w:hAnsiTheme="minorHAnsi" w:cstheme="minorHAnsi"/>
          <w:b/>
          <w:bCs/>
          <w:sz w:val="22"/>
          <w:szCs w:val="22"/>
        </w:rPr>
        <w:t>% (</w:t>
      </w:r>
      <w:r w:rsidRPr="00447AC1">
        <w:rPr>
          <w:rFonts w:asciiTheme="minorHAnsi" w:hAnsiTheme="minorHAnsi" w:cstheme="minorHAnsi"/>
          <w:sz w:val="22"/>
          <w:szCs w:val="22"/>
        </w:rPr>
        <w:t>including trainees)</w:t>
      </w:r>
    </w:p>
    <w:p w:rsidR="0084282A" w:rsidRPr="008A1C9F" w:rsidRDefault="0084282A" w:rsidP="0084282A">
      <w:pPr>
        <w:pStyle w:val="ListParagraph"/>
        <w:numPr>
          <w:ilvl w:val="0"/>
          <w:numId w:val="5"/>
        </w:numPr>
        <w:ind w:left="1080"/>
        <w:rPr>
          <w:rFonts w:asciiTheme="minorHAnsi" w:hAnsiTheme="minorHAnsi" w:cstheme="minorHAnsi"/>
          <w:sz w:val="22"/>
          <w:szCs w:val="22"/>
        </w:rPr>
      </w:pPr>
      <w:r>
        <w:rPr>
          <w:rFonts w:asciiTheme="minorHAnsi" w:hAnsiTheme="minorHAnsi" w:cstheme="minorHAnsi"/>
          <w:sz w:val="22"/>
          <w:szCs w:val="22"/>
        </w:rPr>
        <w:t>Four</w:t>
      </w:r>
      <w:r w:rsidRPr="00447AC1">
        <w:rPr>
          <w:rFonts w:asciiTheme="minorHAnsi" w:hAnsiTheme="minorHAnsi" w:cstheme="minorHAnsi"/>
          <w:sz w:val="22"/>
          <w:szCs w:val="22"/>
        </w:rPr>
        <w:t xml:space="preserve"> $</w:t>
      </w:r>
      <w:r>
        <w:rPr>
          <w:rFonts w:asciiTheme="minorHAnsi" w:hAnsiTheme="minorHAnsi" w:cstheme="minorHAnsi"/>
          <w:sz w:val="22"/>
          <w:szCs w:val="22"/>
        </w:rPr>
        <w:t>50</w:t>
      </w:r>
      <w:r w:rsidRPr="00447AC1">
        <w:rPr>
          <w:rFonts w:asciiTheme="minorHAnsi" w:hAnsiTheme="minorHAnsi" w:cstheme="minorHAnsi"/>
          <w:sz w:val="22"/>
          <w:szCs w:val="22"/>
        </w:rPr>
        <w:t xml:space="preserve">+ million clients </w:t>
      </w:r>
      <w:r>
        <w:rPr>
          <w:rFonts w:asciiTheme="minorHAnsi" w:hAnsiTheme="minorHAnsi" w:cstheme="minorHAnsi"/>
          <w:sz w:val="22"/>
          <w:szCs w:val="22"/>
        </w:rPr>
        <w:t xml:space="preserve">added; Nine $20+ million clients added </w:t>
      </w:r>
    </w:p>
    <w:p w:rsidR="0084282A" w:rsidRPr="00B42AE2" w:rsidRDefault="0084282A" w:rsidP="0084282A">
      <w:pPr>
        <w:tabs>
          <w:tab w:val="left" w:pos="10440"/>
        </w:tabs>
        <w:autoSpaceDE w:val="0"/>
        <w:autoSpaceDN w:val="0"/>
        <w:adjustRightInd w:val="0"/>
        <w:ind w:left="180" w:right="440"/>
        <w:jc w:val="both"/>
        <w:rPr>
          <w:rFonts w:asciiTheme="minorHAnsi" w:hAnsiTheme="minorHAnsi" w:cstheme="minorHAnsi"/>
          <w:b/>
          <w:sz w:val="21"/>
          <w:szCs w:val="21"/>
        </w:rPr>
      </w:pPr>
    </w:p>
    <w:p w:rsidR="0084282A" w:rsidRDefault="0084282A" w:rsidP="0084282A">
      <w:pPr>
        <w:autoSpaceDE w:val="0"/>
        <w:autoSpaceDN w:val="0"/>
        <w:adjustRightInd w:val="0"/>
        <w:ind w:left="90" w:right="115"/>
        <w:jc w:val="both"/>
        <w:rPr>
          <w:rFonts w:asciiTheme="minorHAnsi" w:hAnsiTheme="minorHAnsi" w:cstheme="minorHAnsi"/>
          <w:sz w:val="22"/>
          <w:szCs w:val="22"/>
        </w:rPr>
      </w:pPr>
      <w:r w:rsidRPr="00C7723B">
        <w:rPr>
          <w:rFonts w:asciiTheme="minorHAnsi" w:hAnsiTheme="minorHAnsi" w:cstheme="minorHAnsi"/>
          <w:b/>
          <w:sz w:val="22"/>
          <w:szCs w:val="22"/>
        </w:rPr>
        <w:t>Commenting on the Q</w:t>
      </w:r>
      <w:r>
        <w:rPr>
          <w:rFonts w:asciiTheme="minorHAnsi" w:hAnsiTheme="minorHAnsi" w:cstheme="minorHAnsi"/>
          <w:b/>
          <w:sz w:val="22"/>
          <w:szCs w:val="22"/>
        </w:rPr>
        <w:t>2</w:t>
      </w:r>
      <w:r w:rsidRPr="00C7723B">
        <w:rPr>
          <w:rFonts w:asciiTheme="minorHAnsi" w:hAnsiTheme="minorHAnsi" w:cstheme="minorHAnsi"/>
          <w:b/>
          <w:sz w:val="22"/>
          <w:szCs w:val="22"/>
        </w:rPr>
        <w:t xml:space="preserve"> performance, Chief Executive Officer and Managing Director, N Chandrasekaran said: </w:t>
      </w:r>
      <w:r>
        <w:rPr>
          <w:rFonts w:asciiTheme="minorHAnsi" w:hAnsiTheme="minorHAnsi" w:cstheme="minorHAnsi"/>
          <w:b/>
          <w:sz w:val="22"/>
          <w:szCs w:val="22"/>
        </w:rPr>
        <w:t>“</w:t>
      </w:r>
      <w:r>
        <w:rPr>
          <w:rFonts w:asciiTheme="minorHAnsi" w:hAnsiTheme="minorHAnsi" w:cstheme="minorHAnsi"/>
          <w:sz w:val="22"/>
          <w:szCs w:val="22"/>
        </w:rPr>
        <w:t xml:space="preserve">Driven by strong volumes and robust utilization rates, this has been a quarter of steady, consistent performance. Our well-rounded showing has been highlighted by broad-based growth in our key markets, industries and services as we continued to deepen our engagement with customers.” </w:t>
      </w:r>
    </w:p>
    <w:p w:rsidR="0084282A" w:rsidRDefault="0084282A" w:rsidP="0084282A">
      <w:pPr>
        <w:autoSpaceDE w:val="0"/>
        <w:autoSpaceDN w:val="0"/>
        <w:adjustRightInd w:val="0"/>
        <w:ind w:left="90" w:right="115"/>
        <w:jc w:val="both"/>
        <w:rPr>
          <w:rFonts w:asciiTheme="minorHAnsi" w:hAnsiTheme="minorHAnsi" w:cstheme="minorHAnsi"/>
          <w:sz w:val="22"/>
          <w:szCs w:val="22"/>
        </w:rPr>
      </w:pPr>
    </w:p>
    <w:p w:rsidR="0084282A" w:rsidRDefault="0084282A" w:rsidP="0084282A">
      <w:pPr>
        <w:autoSpaceDE w:val="0"/>
        <w:autoSpaceDN w:val="0"/>
        <w:adjustRightInd w:val="0"/>
        <w:ind w:left="90" w:right="115"/>
        <w:jc w:val="both"/>
        <w:rPr>
          <w:rFonts w:asciiTheme="minorHAnsi" w:hAnsiTheme="minorHAnsi" w:cstheme="minorHAnsi"/>
          <w:sz w:val="22"/>
          <w:szCs w:val="22"/>
        </w:rPr>
      </w:pPr>
      <w:r w:rsidRPr="00BF2302">
        <w:rPr>
          <w:rFonts w:asciiTheme="minorHAnsi" w:hAnsiTheme="minorHAnsi" w:cstheme="minorHAnsi"/>
          <w:b/>
          <w:sz w:val="22"/>
          <w:szCs w:val="22"/>
        </w:rPr>
        <w:t>Mr Chandrasekaran added:</w:t>
      </w:r>
      <w:r w:rsidRPr="00BF2302">
        <w:rPr>
          <w:rFonts w:asciiTheme="minorHAnsi" w:hAnsiTheme="minorHAnsi" w:cstheme="minorHAnsi"/>
          <w:sz w:val="22"/>
          <w:szCs w:val="22"/>
        </w:rPr>
        <w:t xml:space="preserve"> </w:t>
      </w:r>
      <w:r>
        <w:rPr>
          <w:rFonts w:asciiTheme="minorHAnsi" w:hAnsiTheme="minorHAnsi" w:cstheme="minorHAnsi"/>
          <w:sz w:val="22"/>
          <w:szCs w:val="22"/>
        </w:rPr>
        <w:t xml:space="preserve">“Our </w:t>
      </w:r>
      <w:r w:rsidR="006779AB">
        <w:rPr>
          <w:rFonts w:asciiTheme="minorHAnsi" w:hAnsiTheme="minorHAnsi" w:cstheme="minorHAnsi"/>
          <w:sz w:val="22"/>
          <w:szCs w:val="22"/>
        </w:rPr>
        <w:t>customers are focused on using d</w:t>
      </w:r>
      <w:r>
        <w:rPr>
          <w:rFonts w:asciiTheme="minorHAnsi" w:hAnsiTheme="minorHAnsi" w:cstheme="minorHAnsi"/>
          <w:sz w:val="22"/>
          <w:szCs w:val="22"/>
        </w:rPr>
        <w:t xml:space="preserve">igital technologies to reimagine their business in multiple dimensions and with our significant investments as well as deep capabilities in these areas, we remain well positioned to act as a catalyst and enable their business innovation across the enterprise.” </w:t>
      </w:r>
    </w:p>
    <w:p w:rsidR="0084282A" w:rsidRDefault="0084282A" w:rsidP="0084282A">
      <w:pPr>
        <w:autoSpaceDE w:val="0"/>
        <w:autoSpaceDN w:val="0"/>
        <w:adjustRightInd w:val="0"/>
        <w:ind w:left="90" w:right="115"/>
        <w:jc w:val="both"/>
        <w:rPr>
          <w:rFonts w:asciiTheme="minorHAnsi" w:hAnsiTheme="minorHAnsi" w:cstheme="minorHAnsi"/>
          <w:sz w:val="22"/>
          <w:szCs w:val="22"/>
        </w:rPr>
      </w:pPr>
    </w:p>
    <w:p w:rsidR="0084282A" w:rsidRDefault="0084282A" w:rsidP="0084282A">
      <w:pPr>
        <w:ind w:left="90"/>
        <w:rPr>
          <w:rFonts w:asciiTheme="minorHAnsi" w:hAnsiTheme="minorHAnsi" w:cstheme="minorHAnsi"/>
          <w:sz w:val="22"/>
          <w:szCs w:val="22"/>
        </w:rPr>
      </w:pPr>
      <w:r w:rsidRPr="007F3271">
        <w:rPr>
          <w:rFonts w:asciiTheme="minorHAnsi" w:hAnsiTheme="minorHAnsi" w:cstheme="minorHAnsi"/>
          <w:b/>
          <w:sz w:val="21"/>
          <w:szCs w:val="21"/>
        </w:rPr>
        <w:t>Rajesh Gopinathan, Chief Financial Officer, said</w:t>
      </w:r>
      <w:r w:rsidRPr="001E0239">
        <w:rPr>
          <w:rFonts w:asciiTheme="minorHAnsi" w:hAnsiTheme="minorHAnsi" w:cstheme="minorHAnsi"/>
          <w:sz w:val="22"/>
          <w:szCs w:val="22"/>
        </w:rPr>
        <w:t xml:space="preserve">: </w:t>
      </w:r>
      <w:r>
        <w:rPr>
          <w:rFonts w:asciiTheme="minorHAnsi" w:hAnsiTheme="minorHAnsi" w:cstheme="minorHAnsi"/>
          <w:sz w:val="22"/>
          <w:szCs w:val="22"/>
        </w:rPr>
        <w:t>“We remain focused on supporting business growth by optimizing our operations and maintaining margins in our desired range. Our cash generation has been strong resulting in high cash conversion ratios and we continue to make investments for the business growth.”</w:t>
      </w:r>
    </w:p>
    <w:p w:rsidR="0084282A" w:rsidRDefault="0084282A" w:rsidP="0084282A">
      <w:pPr>
        <w:ind w:left="90"/>
        <w:rPr>
          <w:rFonts w:asciiTheme="minorHAnsi" w:hAnsiTheme="minorHAnsi" w:cstheme="minorHAnsi"/>
          <w:sz w:val="22"/>
          <w:szCs w:val="22"/>
        </w:rPr>
      </w:pPr>
    </w:p>
    <w:p w:rsidR="0084282A" w:rsidRDefault="0084282A" w:rsidP="0084282A">
      <w:pPr>
        <w:ind w:left="90"/>
        <w:rPr>
          <w:rFonts w:asciiTheme="minorHAnsi" w:hAnsiTheme="minorHAnsi" w:cstheme="minorHAnsi"/>
          <w:sz w:val="22"/>
          <w:szCs w:val="22"/>
        </w:rPr>
      </w:pPr>
      <w:r w:rsidRPr="006D17FA">
        <w:rPr>
          <w:rFonts w:asciiTheme="minorHAnsi" w:hAnsiTheme="minorHAnsi" w:cstheme="minorHAnsi"/>
          <w:sz w:val="22"/>
          <w:szCs w:val="22"/>
        </w:rPr>
        <w:t xml:space="preserve">Growth in Q2 was broad-based with all industries growing on a sequential basis. The impact of the integration of newly merged entity in Japan also provided </w:t>
      </w:r>
      <w:r>
        <w:rPr>
          <w:rFonts w:asciiTheme="minorHAnsi" w:hAnsiTheme="minorHAnsi" w:cstheme="minorHAnsi"/>
          <w:sz w:val="22"/>
          <w:szCs w:val="22"/>
        </w:rPr>
        <w:t>additional</w:t>
      </w:r>
      <w:r w:rsidRPr="006D17FA">
        <w:rPr>
          <w:rFonts w:asciiTheme="minorHAnsi" w:hAnsiTheme="minorHAnsi" w:cstheme="minorHAnsi"/>
          <w:sz w:val="22"/>
          <w:szCs w:val="22"/>
        </w:rPr>
        <w:t xml:space="preserve"> growth to units like Manufacturing, Hi-Tech. All core markets </w:t>
      </w:r>
      <w:r>
        <w:rPr>
          <w:rFonts w:asciiTheme="minorHAnsi" w:hAnsiTheme="minorHAnsi" w:cstheme="minorHAnsi"/>
          <w:sz w:val="22"/>
          <w:szCs w:val="22"/>
        </w:rPr>
        <w:t xml:space="preserve">like North America, Europe and UK </w:t>
      </w:r>
      <w:r w:rsidRPr="006D17FA">
        <w:rPr>
          <w:rFonts w:asciiTheme="minorHAnsi" w:hAnsiTheme="minorHAnsi" w:cstheme="minorHAnsi"/>
          <w:sz w:val="22"/>
          <w:szCs w:val="22"/>
        </w:rPr>
        <w:t>grew smartly. Emerging markets continued to be volatile with India growing while Latin America faltered in Q2. There was balanced growth across IT and other service lines led by Infrastructure Services</w:t>
      </w:r>
      <w:r>
        <w:rPr>
          <w:rFonts w:asciiTheme="minorHAnsi" w:hAnsiTheme="minorHAnsi" w:cstheme="minorHAnsi"/>
          <w:sz w:val="22"/>
          <w:szCs w:val="22"/>
        </w:rPr>
        <w:t xml:space="preserve"> and </w:t>
      </w:r>
      <w:r w:rsidRPr="006D17FA">
        <w:rPr>
          <w:rFonts w:asciiTheme="minorHAnsi" w:hAnsiTheme="minorHAnsi" w:cstheme="minorHAnsi"/>
          <w:sz w:val="22"/>
          <w:szCs w:val="22"/>
        </w:rPr>
        <w:t>Engineering Services.</w:t>
      </w:r>
    </w:p>
    <w:p w:rsidR="0084282A" w:rsidRDefault="0084282A" w:rsidP="0084282A">
      <w:pPr>
        <w:autoSpaceDE w:val="0"/>
        <w:autoSpaceDN w:val="0"/>
        <w:adjustRightInd w:val="0"/>
        <w:ind w:left="90" w:right="115"/>
        <w:rPr>
          <w:rFonts w:asciiTheme="minorHAnsi" w:hAnsiTheme="minorHAnsi" w:cstheme="minorHAnsi"/>
          <w:sz w:val="22"/>
          <w:szCs w:val="22"/>
        </w:rPr>
      </w:pPr>
    </w:p>
    <w:p w:rsidR="005300EA" w:rsidRDefault="0084282A" w:rsidP="0084282A">
      <w:pPr>
        <w:tabs>
          <w:tab w:val="left" w:pos="10440"/>
        </w:tabs>
        <w:ind w:left="90" w:right="440"/>
        <w:rPr>
          <w:rFonts w:asciiTheme="minorHAnsi" w:hAnsiTheme="minorHAnsi" w:cstheme="minorHAnsi"/>
          <w:b/>
          <w:sz w:val="22"/>
          <w:szCs w:val="21"/>
        </w:rPr>
      </w:pPr>
      <w:r>
        <w:rPr>
          <w:rFonts w:asciiTheme="minorHAnsi" w:hAnsiTheme="minorHAnsi" w:cstheme="minorHAnsi"/>
          <w:b/>
          <w:sz w:val="22"/>
          <w:szCs w:val="21"/>
        </w:rPr>
        <w:br/>
      </w:r>
    </w:p>
    <w:p w:rsidR="0084282A" w:rsidRPr="00246538" w:rsidRDefault="0084282A" w:rsidP="0084282A">
      <w:pPr>
        <w:tabs>
          <w:tab w:val="left" w:pos="10440"/>
        </w:tabs>
        <w:ind w:left="90" w:right="440"/>
        <w:rPr>
          <w:rFonts w:asciiTheme="minorHAnsi" w:hAnsiTheme="minorHAnsi" w:cstheme="minorHAnsi"/>
          <w:b/>
          <w:sz w:val="22"/>
          <w:szCs w:val="21"/>
        </w:rPr>
      </w:pPr>
      <w:r>
        <w:rPr>
          <w:rFonts w:asciiTheme="minorHAnsi" w:hAnsiTheme="minorHAnsi" w:cstheme="minorHAnsi"/>
          <w:b/>
          <w:sz w:val="22"/>
          <w:szCs w:val="21"/>
        </w:rPr>
        <w:t xml:space="preserve">Select </w:t>
      </w:r>
      <w:r w:rsidRPr="00246538">
        <w:rPr>
          <w:rFonts w:asciiTheme="minorHAnsi" w:hAnsiTheme="minorHAnsi" w:cstheme="minorHAnsi"/>
          <w:b/>
          <w:sz w:val="22"/>
          <w:szCs w:val="21"/>
        </w:rPr>
        <w:t>Key Wins</w:t>
      </w:r>
    </w:p>
    <w:p w:rsidR="0084282A" w:rsidRPr="00A14657"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C</w:t>
      </w:r>
      <w:r w:rsidRPr="00A14657">
        <w:rPr>
          <w:rFonts w:asciiTheme="minorHAnsi" w:eastAsiaTheme="minorHAnsi" w:hAnsiTheme="minorHAnsi" w:cstheme="minorHAnsi"/>
          <w:color w:val="000000"/>
          <w:sz w:val="22"/>
          <w:szCs w:val="20"/>
        </w:rPr>
        <w:t xml:space="preserve">hosen as a strategic partner by a leading </w:t>
      </w:r>
      <w:r>
        <w:rPr>
          <w:rFonts w:asciiTheme="minorHAnsi" w:eastAsiaTheme="minorHAnsi" w:hAnsiTheme="minorHAnsi" w:cstheme="minorHAnsi"/>
          <w:color w:val="000000"/>
          <w:sz w:val="22"/>
          <w:szCs w:val="20"/>
        </w:rPr>
        <w:t>North American</w:t>
      </w:r>
      <w:r w:rsidRPr="00A14657">
        <w:rPr>
          <w:rFonts w:asciiTheme="minorHAnsi" w:eastAsiaTheme="minorHAnsi" w:hAnsiTheme="minorHAnsi" w:cstheme="minorHAnsi"/>
          <w:color w:val="000000"/>
          <w:sz w:val="22"/>
          <w:szCs w:val="20"/>
        </w:rPr>
        <w:t xml:space="preserve"> diversified process manufacturing major for providing Application</w:t>
      </w:r>
      <w:r>
        <w:rPr>
          <w:rFonts w:asciiTheme="minorHAnsi" w:eastAsiaTheme="minorHAnsi" w:hAnsiTheme="minorHAnsi" w:cstheme="minorHAnsi"/>
          <w:color w:val="000000"/>
          <w:sz w:val="22"/>
          <w:szCs w:val="20"/>
        </w:rPr>
        <w:t xml:space="preserve"> Management &amp; Support services</w:t>
      </w:r>
    </w:p>
    <w:p w:rsidR="0084282A" w:rsidRPr="00A14657"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C</w:t>
      </w:r>
      <w:r w:rsidRPr="00A14657">
        <w:rPr>
          <w:rFonts w:asciiTheme="minorHAnsi" w:eastAsiaTheme="minorHAnsi" w:hAnsiTheme="minorHAnsi" w:cstheme="minorHAnsi"/>
          <w:color w:val="000000"/>
          <w:sz w:val="22"/>
          <w:szCs w:val="20"/>
        </w:rPr>
        <w:t>hosen as the Technology Partner by a leading Europe</w:t>
      </w:r>
      <w:r>
        <w:rPr>
          <w:rFonts w:asciiTheme="minorHAnsi" w:eastAsiaTheme="minorHAnsi" w:hAnsiTheme="minorHAnsi" w:cstheme="minorHAnsi"/>
          <w:color w:val="000000"/>
          <w:sz w:val="22"/>
          <w:szCs w:val="20"/>
        </w:rPr>
        <w:t>an</w:t>
      </w:r>
      <w:r w:rsidRPr="00A14657">
        <w:rPr>
          <w:rFonts w:asciiTheme="minorHAnsi" w:eastAsiaTheme="minorHAnsi" w:hAnsiTheme="minorHAnsi" w:cstheme="minorHAnsi"/>
          <w:color w:val="000000"/>
          <w:sz w:val="22"/>
          <w:szCs w:val="20"/>
        </w:rPr>
        <w:t xml:space="preserve"> Global Communications Software and Services Company and has been awarded the full Service Desk, Application Maintenance and Development portfolios</w:t>
      </w:r>
    </w:p>
    <w:p w:rsidR="0084282A" w:rsidRPr="00A14657"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Selected by a</w:t>
      </w:r>
      <w:r w:rsidRPr="00A14657">
        <w:rPr>
          <w:rFonts w:asciiTheme="minorHAnsi" w:eastAsiaTheme="minorHAnsi" w:hAnsiTheme="minorHAnsi" w:cstheme="minorHAnsi"/>
          <w:color w:val="000000"/>
          <w:sz w:val="22"/>
          <w:szCs w:val="20"/>
        </w:rPr>
        <w:t xml:space="preserve"> </w:t>
      </w:r>
      <w:r>
        <w:rPr>
          <w:rFonts w:asciiTheme="minorHAnsi" w:eastAsiaTheme="minorHAnsi" w:hAnsiTheme="minorHAnsi" w:cstheme="minorHAnsi"/>
          <w:color w:val="000000"/>
          <w:sz w:val="22"/>
          <w:szCs w:val="20"/>
        </w:rPr>
        <w:t>l</w:t>
      </w:r>
      <w:r w:rsidRPr="00A14657">
        <w:rPr>
          <w:rFonts w:asciiTheme="minorHAnsi" w:eastAsiaTheme="minorHAnsi" w:hAnsiTheme="minorHAnsi" w:cstheme="minorHAnsi"/>
          <w:color w:val="000000"/>
          <w:sz w:val="22"/>
          <w:szCs w:val="20"/>
        </w:rPr>
        <w:t xml:space="preserve">eading </w:t>
      </w:r>
      <w:r>
        <w:rPr>
          <w:rFonts w:asciiTheme="minorHAnsi" w:eastAsiaTheme="minorHAnsi" w:hAnsiTheme="minorHAnsi" w:cstheme="minorHAnsi"/>
          <w:color w:val="000000"/>
          <w:sz w:val="22"/>
          <w:szCs w:val="20"/>
        </w:rPr>
        <w:t xml:space="preserve">North </w:t>
      </w:r>
      <w:r w:rsidRPr="00A14657">
        <w:rPr>
          <w:rFonts w:asciiTheme="minorHAnsi" w:eastAsiaTheme="minorHAnsi" w:hAnsiTheme="minorHAnsi" w:cstheme="minorHAnsi"/>
          <w:color w:val="000000"/>
          <w:sz w:val="22"/>
          <w:szCs w:val="20"/>
        </w:rPr>
        <w:t>American Investment Management Company as the sole right sourcing partner for providing Application Development, Assuranc</w:t>
      </w:r>
      <w:r>
        <w:rPr>
          <w:rFonts w:asciiTheme="minorHAnsi" w:eastAsiaTheme="minorHAnsi" w:hAnsiTheme="minorHAnsi" w:cstheme="minorHAnsi"/>
          <w:color w:val="000000"/>
          <w:sz w:val="22"/>
          <w:szCs w:val="20"/>
        </w:rPr>
        <w:t>e &amp; IT Infrastructure Services</w:t>
      </w:r>
    </w:p>
    <w:p w:rsidR="0084282A" w:rsidRPr="00A14657"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W</w:t>
      </w:r>
      <w:r w:rsidRPr="00A14657">
        <w:rPr>
          <w:rFonts w:asciiTheme="minorHAnsi" w:eastAsiaTheme="minorHAnsi" w:hAnsiTheme="minorHAnsi" w:cstheme="minorHAnsi"/>
          <w:color w:val="000000"/>
          <w:sz w:val="22"/>
          <w:szCs w:val="20"/>
        </w:rPr>
        <w:t xml:space="preserve">on an engagement to provide Infrastructure Services to a leading </w:t>
      </w:r>
      <w:r>
        <w:rPr>
          <w:rFonts w:asciiTheme="minorHAnsi" w:eastAsiaTheme="minorHAnsi" w:hAnsiTheme="minorHAnsi" w:cstheme="minorHAnsi"/>
          <w:color w:val="000000"/>
          <w:sz w:val="22"/>
          <w:szCs w:val="20"/>
        </w:rPr>
        <w:t>European oil services company</w:t>
      </w:r>
    </w:p>
    <w:p w:rsidR="0084282A" w:rsidRPr="00A14657"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C</w:t>
      </w:r>
      <w:r w:rsidRPr="00A14657">
        <w:rPr>
          <w:rFonts w:asciiTheme="minorHAnsi" w:eastAsiaTheme="minorHAnsi" w:hAnsiTheme="minorHAnsi" w:cstheme="minorHAnsi"/>
          <w:color w:val="000000"/>
          <w:sz w:val="22"/>
          <w:szCs w:val="20"/>
        </w:rPr>
        <w:t xml:space="preserve">hosen as a strategic partner by a large </w:t>
      </w:r>
      <w:r>
        <w:rPr>
          <w:rFonts w:asciiTheme="minorHAnsi" w:eastAsiaTheme="minorHAnsi" w:hAnsiTheme="minorHAnsi" w:cstheme="minorHAnsi"/>
          <w:color w:val="000000"/>
          <w:sz w:val="22"/>
          <w:szCs w:val="20"/>
        </w:rPr>
        <w:t xml:space="preserve">North American </w:t>
      </w:r>
      <w:r w:rsidRPr="00A14657">
        <w:rPr>
          <w:rFonts w:asciiTheme="minorHAnsi" w:eastAsiaTheme="minorHAnsi" w:hAnsiTheme="minorHAnsi" w:cstheme="minorHAnsi"/>
          <w:color w:val="000000"/>
          <w:sz w:val="22"/>
          <w:szCs w:val="20"/>
        </w:rPr>
        <w:t xml:space="preserve">health plan </w:t>
      </w:r>
      <w:r>
        <w:rPr>
          <w:rFonts w:asciiTheme="minorHAnsi" w:eastAsiaTheme="minorHAnsi" w:hAnsiTheme="minorHAnsi" w:cstheme="minorHAnsi"/>
          <w:color w:val="000000"/>
          <w:sz w:val="22"/>
          <w:szCs w:val="20"/>
        </w:rPr>
        <w:t xml:space="preserve">provider </w:t>
      </w:r>
      <w:r w:rsidRPr="00A14657">
        <w:rPr>
          <w:rFonts w:asciiTheme="minorHAnsi" w:eastAsiaTheme="minorHAnsi" w:hAnsiTheme="minorHAnsi" w:cstheme="minorHAnsi"/>
          <w:color w:val="000000"/>
          <w:sz w:val="22"/>
          <w:szCs w:val="20"/>
        </w:rPr>
        <w:t>to provide next gener</w:t>
      </w:r>
      <w:r>
        <w:rPr>
          <w:rFonts w:asciiTheme="minorHAnsi" w:eastAsiaTheme="minorHAnsi" w:hAnsiTheme="minorHAnsi" w:cstheme="minorHAnsi"/>
          <w:color w:val="000000"/>
          <w:sz w:val="22"/>
          <w:szCs w:val="20"/>
        </w:rPr>
        <w:t>ation infrastructure solutions</w:t>
      </w:r>
    </w:p>
    <w:p w:rsidR="0084282A" w:rsidRPr="00A14657"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S</w:t>
      </w:r>
      <w:r w:rsidRPr="00A14657">
        <w:rPr>
          <w:rFonts w:asciiTheme="minorHAnsi" w:eastAsiaTheme="minorHAnsi" w:hAnsiTheme="minorHAnsi" w:cstheme="minorHAnsi"/>
          <w:color w:val="000000"/>
          <w:sz w:val="22"/>
          <w:szCs w:val="20"/>
        </w:rPr>
        <w:t xml:space="preserve">elected by a leading </w:t>
      </w:r>
      <w:r>
        <w:rPr>
          <w:rFonts w:asciiTheme="minorHAnsi" w:eastAsiaTheme="minorHAnsi" w:hAnsiTheme="minorHAnsi" w:cstheme="minorHAnsi"/>
          <w:color w:val="000000"/>
          <w:sz w:val="22"/>
          <w:szCs w:val="20"/>
        </w:rPr>
        <w:t>UK-based</w:t>
      </w:r>
      <w:r w:rsidRPr="00A14657">
        <w:rPr>
          <w:rFonts w:asciiTheme="minorHAnsi" w:eastAsiaTheme="minorHAnsi" w:hAnsiTheme="minorHAnsi" w:cstheme="minorHAnsi"/>
          <w:color w:val="000000"/>
          <w:sz w:val="22"/>
          <w:szCs w:val="20"/>
        </w:rPr>
        <w:t xml:space="preserve"> mutual Financial Institution as their strategic partner to manage their core banking systems and Busin</w:t>
      </w:r>
      <w:r>
        <w:rPr>
          <w:rFonts w:asciiTheme="minorHAnsi" w:eastAsiaTheme="minorHAnsi" w:hAnsiTheme="minorHAnsi" w:cstheme="minorHAnsi"/>
          <w:color w:val="000000"/>
          <w:sz w:val="22"/>
          <w:szCs w:val="20"/>
        </w:rPr>
        <w:t>ess Process Management Platform</w:t>
      </w:r>
    </w:p>
    <w:p w:rsidR="0084282A"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sidRPr="006709A2">
        <w:rPr>
          <w:rFonts w:asciiTheme="minorHAnsi" w:eastAsiaTheme="minorHAnsi" w:hAnsiTheme="minorHAnsi" w:cstheme="minorHAnsi"/>
          <w:color w:val="000000"/>
          <w:sz w:val="22"/>
          <w:szCs w:val="20"/>
        </w:rPr>
        <w:t>Chosen by a North American Utility major as a Strategic Partner to provide managed services across a</w:t>
      </w:r>
      <w:r>
        <w:rPr>
          <w:rFonts w:asciiTheme="minorHAnsi" w:eastAsiaTheme="minorHAnsi" w:hAnsiTheme="minorHAnsi" w:cstheme="minorHAnsi"/>
          <w:color w:val="000000"/>
          <w:sz w:val="22"/>
          <w:szCs w:val="20"/>
        </w:rPr>
        <w:t>pplications and infrastructure</w:t>
      </w:r>
    </w:p>
    <w:p w:rsidR="0084282A" w:rsidRPr="006709A2" w:rsidRDefault="0084282A" w:rsidP="0084282A">
      <w:pPr>
        <w:pStyle w:val="ListParagraph"/>
        <w:numPr>
          <w:ilvl w:val="0"/>
          <w:numId w:val="24"/>
        </w:numPr>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sidRPr="006709A2">
        <w:rPr>
          <w:rFonts w:asciiTheme="minorHAnsi" w:eastAsiaTheme="minorHAnsi" w:hAnsiTheme="minorHAnsi" w:cstheme="minorHAnsi"/>
          <w:color w:val="000000"/>
          <w:sz w:val="22"/>
          <w:szCs w:val="20"/>
        </w:rPr>
        <w:t>Chosen by a leading UK based Airline as its s</w:t>
      </w:r>
      <w:r w:rsidR="006779AB">
        <w:rPr>
          <w:rFonts w:asciiTheme="minorHAnsi" w:eastAsiaTheme="minorHAnsi" w:hAnsiTheme="minorHAnsi" w:cstheme="minorHAnsi"/>
          <w:color w:val="000000"/>
          <w:sz w:val="22"/>
          <w:szCs w:val="20"/>
        </w:rPr>
        <w:t>trategic partner to provide end-to-</w:t>
      </w:r>
      <w:r w:rsidRPr="006709A2">
        <w:rPr>
          <w:rFonts w:asciiTheme="minorHAnsi" w:eastAsiaTheme="minorHAnsi" w:hAnsiTheme="minorHAnsi" w:cstheme="minorHAnsi"/>
          <w:color w:val="000000"/>
          <w:sz w:val="22"/>
          <w:szCs w:val="20"/>
        </w:rPr>
        <w:t>end Application and Infrastructure Transformation services across the Enterprise</w:t>
      </w:r>
    </w:p>
    <w:p w:rsidR="0084282A" w:rsidRDefault="0084282A" w:rsidP="0084282A">
      <w:pPr>
        <w:tabs>
          <w:tab w:val="left" w:pos="10440"/>
        </w:tabs>
        <w:ind w:left="90" w:right="440"/>
        <w:rPr>
          <w:rFonts w:asciiTheme="minorHAnsi" w:hAnsiTheme="minorHAnsi" w:cstheme="minorHAnsi"/>
          <w:b/>
          <w:sz w:val="22"/>
          <w:szCs w:val="22"/>
        </w:rPr>
      </w:pPr>
    </w:p>
    <w:p w:rsidR="0084282A" w:rsidRPr="00D6279A" w:rsidRDefault="0084282A" w:rsidP="0084282A">
      <w:pPr>
        <w:tabs>
          <w:tab w:val="left" w:pos="10440"/>
        </w:tabs>
        <w:ind w:left="90" w:right="440"/>
        <w:rPr>
          <w:rFonts w:asciiTheme="minorHAnsi" w:hAnsiTheme="minorHAnsi" w:cstheme="minorHAnsi"/>
          <w:b/>
          <w:sz w:val="22"/>
          <w:szCs w:val="22"/>
        </w:rPr>
      </w:pPr>
      <w:r w:rsidRPr="00D6279A">
        <w:rPr>
          <w:rFonts w:asciiTheme="minorHAnsi" w:hAnsiTheme="minorHAnsi" w:cstheme="minorHAnsi"/>
          <w:b/>
          <w:sz w:val="22"/>
          <w:szCs w:val="22"/>
        </w:rPr>
        <w:t>Key Wins in Digital Services and Solutions</w:t>
      </w:r>
    </w:p>
    <w:p w:rsidR="0084282A" w:rsidRPr="00F5250F" w:rsidRDefault="0084282A" w:rsidP="0084282A">
      <w:pPr>
        <w:pStyle w:val="ListParagraph"/>
        <w:numPr>
          <w:ilvl w:val="0"/>
          <w:numId w:val="24"/>
        </w:numPr>
        <w:autoSpaceDE w:val="0"/>
        <w:autoSpaceDN w:val="0"/>
        <w:adjustRightInd w:val="0"/>
        <w:spacing w:line="240" w:lineRule="atLeast"/>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Selected by a global technology pioneer to help architect and deliver its workplace re-</w:t>
      </w:r>
      <w:r>
        <w:rPr>
          <w:rFonts w:asciiTheme="minorHAnsi" w:eastAsiaTheme="minorHAnsi" w:hAnsiTheme="minorHAnsi" w:cstheme="minorHAnsi"/>
          <w:color w:val="000000"/>
          <w:sz w:val="22"/>
          <w:szCs w:val="20"/>
        </w:rPr>
        <w:t>imagination initiative</w:t>
      </w:r>
    </w:p>
    <w:p w:rsidR="0084282A" w:rsidRPr="00F5250F" w:rsidRDefault="0084282A" w:rsidP="0084282A">
      <w:pPr>
        <w:pStyle w:val="ListParagraph"/>
        <w:numPr>
          <w:ilvl w:val="0"/>
          <w:numId w:val="24"/>
        </w:numPr>
        <w:autoSpaceDE w:val="0"/>
        <w:autoSpaceDN w:val="0"/>
        <w:adjustRightInd w:val="0"/>
        <w:spacing w:line="240" w:lineRule="atLeast"/>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 xml:space="preserve">Selected as a strategic partner by a </w:t>
      </w:r>
      <w:r>
        <w:rPr>
          <w:rFonts w:asciiTheme="minorHAnsi" w:eastAsiaTheme="minorHAnsi" w:hAnsiTheme="minorHAnsi" w:cstheme="minorHAnsi"/>
          <w:color w:val="000000"/>
          <w:sz w:val="22"/>
          <w:szCs w:val="20"/>
        </w:rPr>
        <w:t>North American</w:t>
      </w:r>
      <w:r w:rsidRPr="00F5250F">
        <w:rPr>
          <w:rFonts w:asciiTheme="minorHAnsi" w:eastAsiaTheme="minorHAnsi" w:hAnsiTheme="minorHAnsi" w:cstheme="minorHAnsi"/>
          <w:color w:val="000000"/>
          <w:sz w:val="22"/>
          <w:szCs w:val="20"/>
        </w:rPr>
        <w:t xml:space="preserve"> property and casualty insurance company to drive its digital technology initiatives that involve policies and customer lifecycle management</w:t>
      </w:r>
    </w:p>
    <w:p w:rsidR="0084282A" w:rsidRPr="00F5250F"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Selected by a</w:t>
      </w:r>
      <w:r>
        <w:rPr>
          <w:rFonts w:asciiTheme="minorHAnsi" w:eastAsiaTheme="minorHAnsi" w:hAnsiTheme="minorHAnsi" w:cstheme="minorHAnsi"/>
          <w:color w:val="000000"/>
          <w:sz w:val="22"/>
          <w:szCs w:val="20"/>
        </w:rPr>
        <w:t xml:space="preserve"> North</w:t>
      </w:r>
      <w:r w:rsidRPr="00F5250F">
        <w:rPr>
          <w:rFonts w:asciiTheme="minorHAnsi" w:eastAsiaTheme="minorHAnsi" w:hAnsiTheme="minorHAnsi" w:cstheme="minorHAnsi"/>
          <w:color w:val="000000"/>
          <w:sz w:val="22"/>
          <w:szCs w:val="20"/>
        </w:rPr>
        <w:t xml:space="preserve"> American commercial bank as a strategic partner to transform their Information Management landscape</w:t>
      </w:r>
    </w:p>
    <w:p w:rsidR="0084282A" w:rsidRPr="00F5250F"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Selected by one of the largest retailers in A</w:t>
      </w:r>
      <w:r>
        <w:rPr>
          <w:rFonts w:asciiTheme="minorHAnsi" w:eastAsiaTheme="minorHAnsi" w:hAnsiTheme="minorHAnsi" w:cstheme="minorHAnsi"/>
          <w:color w:val="000000"/>
          <w:sz w:val="22"/>
          <w:szCs w:val="20"/>
        </w:rPr>
        <w:t>sia-Pacific</w:t>
      </w:r>
      <w:r w:rsidRPr="00F5250F">
        <w:rPr>
          <w:rFonts w:asciiTheme="minorHAnsi" w:eastAsiaTheme="minorHAnsi" w:hAnsiTheme="minorHAnsi" w:cstheme="minorHAnsi"/>
          <w:color w:val="000000"/>
          <w:sz w:val="22"/>
          <w:szCs w:val="20"/>
        </w:rPr>
        <w:t xml:space="preserve"> for complete migration of their structured and unstructured data to a Hadoop based platform using the TCS Active Archive™ Big Data product</w:t>
      </w:r>
    </w:p>
    <w:p w:rsidR="0084282A" w:rsidRPr="00F5250F"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Won an engagement with an Asia Pacific airline, to enable hyper</w:t>
      </w:r>
      <w:r>
        <w:rPr>
          <w:rFonts w:asciiTheme="minorHAnsi" w:eastAsiaTheme="minorHAnsi" w:hAnsiTheme="minorHAnsi" w:cstheme="minorHAnsi"/>
          <w:color w:val="000000"/>
          <w:sz w:val="22"/>
          <w:szCs w:val="20"/>
        </w:rPr>
        <w:t>-</w:t>
      </w:r>
      <w:r w:rsidRPr="00F5250F">
        <w:rPr>
          <w:rFonts w:asciiTheme="minorHAnsi" w:eastAsiaTheme="minorHAnsi" w:hAnsiTheme="minorHAnsi" w:cstheme="minorHAnsi"/>
          <w:color w:val="000000"/>
          <w:sz w:val="22"/>
          <w:szCs w:val="20"/>
        </w:rPr>
        <w:t>connected social collaboration within their operations unit by leveraging TCS Knome™ product</w:t>
      </w:r>
    </w:p>
    <w:p w:rsidR="0084282A" w:rsidRPr="00F5250F"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 xml:space="preserve">Engaged by a leading European Airline company to enhance all their customer facing channels including </w:t>
      </w:r>
      <w:r>
        <w:rPr>
          <w:rFonts w:asciiTheme="minorHAnsi" w:eastAsiaTheme="minorHAnsi" w:hAnsiTheme="minorHAnsi" w:cstheme="minorHAnsi"/>
          <w:color w:val="000000"/>
          <w:sz w:val="22"/>
          <w:szCs w:val="20"/>
        </w:rPr>
        <w:t>web, mobile and airport kiosks</w:t>
      </w:r>
    </w:p>
    <w:p w:rsidR="0084282A" w:rsidRPr="00F5250F"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E</w:t>
      </w:r>
      <w:r w:rsidRPr="00F5250F">
        <w:rPr>
          <w:rFonts w:asciiTheme="minorHAnsi" w:eastAsiaTheme="minorHAnsi" w:hAnsiTheme="minorHAnsi" w:cstheme="minorHAnsi"/>
          <w:color w:val="000000"/>
          <w:sz w:val="22"/>
          <w:szCs w:val="20"/>
        </w:rPr>
        <w:t xml:space="preserve">ngaged by a leading </w:t>
      </w:r>
      <w:r>
        <w:rPr>
          <w:rFonts w:asciiTheme="minorHAnsi" w:eastAsiaTheme="minorHAnsi" w:hAnsiTheme="minorHAnsi" w:cstheme="minorHAnsi"/>
          <w:color w:val="000000"/>
          <w:sz w:val="22"/>
          <w:szCs w:val="20"/>
        </w:rPr>
        <w:t xml:space="preserve">North </w:t>
      </w:r>
      <w:r w:rsidRPr="00F5250F">
        <w:rPr>
          <w:rFonts w:asciiTheme="minorHAnsi" w:eastAsiaTheme="minorHAnsi" w:hAnsiTheme="minorHAnsi" w:cstheme="minorHAnsi"/>
          <w:color w:val="000000"/>
          <w:sz w:val="22"/>
          <w:szCs w:val="20"/>
        </w:rPr>
        <w:t>Ame</w:t>
      </w:r>
      <w:r w:rsidR="006779AB">
        <w:rPr>
          <w:rFonts w:asciiTheme="minorHAnsi" w:eastAsiaTheme="minorHAnsi" w:hAnsiTheme="minorHAnsi" w:cstheme="minorHAnsi"/>
          <w:color w:val="000000"/>
          <w:sz w:val="22"/>
          <w:szCs w:val="20"/>
        </w:rPr>
        <w:t>rican Bank to establish a Cent</w:t>
      </w:r>
      <w:r w:rsidRPr="00F5250F">
        <w:rPr>
          <w:rFonts w:asciiTheme="minorHAnsi" w:eastAsiaTheme="minorHAnsi" w:hAnsiTheme="minorHAnsi" w:cstheme="minorHAnsi"/>
          <w:color w:val="000000"/>
          <w:sz w:val="22"/>
          <w:szCs w:val="20"/>
        </w:rPr>
        <w:t>e</w:t>
      </w:r>
      <w:r w:rsidR="006779AB">
        <w:rPr>
          <w:rFonts w:asciiTheme="minorHAnsi" w:eastAsiaTheme="minorHAnsi" w:hAnsiTheme="minorHAnsi" w:cstheme="minorHAnsi"/>
          <w:color w:val="000000"/>
          <w:sz w:val="22"/>
          <w:szCs w:val="20"/>
        </w:rPr>
        <w:t>r</w:t>
      </w:r>
      <w:r w:rsidRPr="00F5250F">
        <w:rPr>
          <w:rFonts w:asciiTheme="minorHAnsi" w:eastAsiaTheme="minorHAnsi" w:hAnsiTheme="minorHAnsi" w:cstheme="minorHAnsi"/>
          <w:color w:val="000000"/>
          <w:sz w:val="22"/>
          <w:szCs w:val="20"/>
        </w:rPr>
        <w:t xml:space="preserve"> of Excellence for Creative Design</w:t>
      </w:r>
    </w:p>
    <w:p w:rsidR="0084282A"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F5250F">
        <w:rPr>
          <w:rFonts w:asciiTheme="minorHAnsi" w:eastAsiaTheme="minorHAnsi" w:hAnsiTheme="minorHAnsi" w:cstheme="minorHAnsi"/>
          <w:color w:val="000000"/>
          <w:sz w:val="22"/>
          <w:szCs w:val="20"/>
        </w:rPr>
        <w:t>Engaged by a multi-brand online retailer to provide consulting services for personalized promotions at scale, product recommendations, and customer strategy and lifecycle management</w:t>
      </w:r>
    </w:p>
    <w:p w:rsidR="0084282A"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46432C">
        <w:rPr>
          <w:rFonts w:asciiTheme="minorHAnsi" w:eastAsiaTheme="minorHAnsi" w:hAnsiTheme="minorHAnsi" w:cstheme="minorHAnsi"/>
          <w:color w:val="000000"/>
          <w:sz w:val="22"/>
          <w:szCs w:val="20"/>
        </w:rPr>
        <w:t xml:space="preserve">Engaged by a leading global bank to set up a User Experience </w:t>
      </w:r>
      <w:r>
        <w:rPr>
          <w:rFonts w:asciiTheme="minorHAnsi" w:eastAsiaTheme="minorHAnsi" w:hAnsiTheme="minorHAnsi" w:cstheme="minorHAnsi"/>
          <w:color w:val="000000"/>
          <w:sz w:val="22"/>
          <w:szCs w:val="20"/>
        </w:rPr>
        <w:t>C</w:t>
      </w:r>
      <w:r w:rsidRPr="0046432C">
        <w:rPr>
          <w:rFonts w:asciiTheme="minorHAnsi" w:eastAsiaTheme="minorHAnsi" w:hAnsiTheme="minorHAnsi" w:cstheme="minorHAnsi"/>
          <w:color w:val="000000"/>
          <w:sz w:val="22"/>
          <w:szCs w:val="20"/>
        </w:rPr>
        <w:t>enter for its retail banking division</w:t>
      </w:r>
    </w:p>
    <w:p w:rsidR="0084282A"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46432C">
        <w:rPr>
          <w:rFonts w:asciiTheme="minorHAnsi" w:eastAsiaTheme="minorHAnsi" w:hAnsiTheme="minorHAnsi" w:cstheme="minorHAnsi"/>
          <w:color w:val="000000"/>
          <w:sz w:val="22"/>
          <w:szCs w:val="20"/>
        </w:rPr>
        <w:t>Engaged by a leading provider of general hospital healthcare services in the United States to consolidate huge volumes of data and enable analytics</w:t>
      </w:r>
    </w:p>
    <w:p w:rsidR="0084282A" w:rsidRDefault="0084282A" w:rsidP="0084282A">
      <w:pPr>
        <w:pStyle w:val="ListParagraph"/>
        <w:numPr>
          <w:ilvl w:val="0"/>
          <w:numId w:val="24"/>
        </w:numPr>
        <w:autoSpaceDE w:val="0"/>
        <w:autoSpaceDN w:val="0"/>
        <w:adjustRightInd w:val="0"/>
        <w:ind w:left="446" w:right="461"/>
        <w:jc w:val="both"/>
        <w:rPr>
          <w:rFonts w:asciiTheme="minorHAnsi" w:eastAsiaTheme="minorHAnsi" w:hAnsiTheme="minorHAnsi" w:cstheme="minorHAnsi"/>
          <w:color w:val="000000"/>
          <w:sz w:val="22"/>
          <w:szCs w:val="20"/>
        </w:rPr>
      </w:pPr>
      <w:r w:rsidRPr="0046432C">
        <w:rPr>
          <w:rFonts w:asciiTheme="minorHAnsi" w:eastAsiaTheme="minorHAnsi" w:hAnsiTheme="minorHAnsi" w:cstheme="minorHAnsi"/>
          <w:color w:val="000000"/>
          <w:sz w:val="22"/>
          <w:szCs w:val="20"/>
        </w:rPr>
        <w:t>Engaged by an American drug wholesale company to provide consulting, implementation and enhancement for their data management initiative</w:t>
      </w:r>
    </w:p>
    <w:p w:rsidR="0084282A" w:rsidRDefault="0084282A" w:rsidP="0084282A">
      <w:pPr>
        <w:pStyle w:val="ListParagraph"/>
        <w:autoSpaceDE w:val="0"/>
        <w:autoSpaceDN w:val="0"/>
        <w:adjustRightInd w:val="0"/>
        <w:spacing w:line="240" w:lineRule="atLeast"/>
        <w:ind w:right="467"/>
        <w:jc w:val="both"/>
        <w:rPr>
          <w:rFonts w:asciiTheme="minorHAnsi" w:eastAsiaTheme="minorHAnsi" w:hAnsiTheme="minorHAnsi" w:cstheme="minorHAnsi"/>
          <w:color w:val="000000"/>
          <w:sz w:val="22"/>
          <w:szCs w:val="20"/>
        </w:rPr>
      </w:pPr>
      <w:r>
        <w:rPr>
          <w:rFonts w:asciiTheme="minorHAnsi" w:eastAsiaTheme="minorHAnsi" w:hAnsiTheme="minorHAnsi" w:cstheme="minorHAnsi"/>
          <w:color w:val="000000"/>
          <w:sz w:val="22"/>
          <w:szCs w:val="20"/>
        </w:rPr>
        <w:t xml:space="preserve"> </w:t>
      </w:r>
    </w:p>
    <w:p w:rsidR="0084282A" w:rsidRPr="00CB35E2" w:rsidRDefault="0084282A" w:rsidP="0084282A">
      <w:pPr>
        <w:autoSpaceDE w:val="0"/>
        <w:autoSpaceDN w:val="0"/>
        <w:adjustRightInd w:val="0"/>
        <w:spacing w:line="240" w:lineRule="atLeast"/>
        <w:ind w:right="467"/>
        <w:jc w:val="both"/>
        <w:rPr>
          <w:rFonts w:asciiTheme="minorHAnsi" w:eastAsiaTheme="minorHAnsi" w:hAnsiTheme="minorHAnsi" w:cstheme="minorHAnsi"/>
          <w:b/>
          <w:color w:val="000000"/>
          <w:sz w:val="22"/>
          <w:szCs w:val="20"/>
        </w:rPr>
      </w:pPr>
      <w:r w:rsidRPr="00CB35E2">
        <w:rPr>
          <w:rFonts w:asciiTheme="minorHAnsi" w:eastAsiaTheme="minorHAnsi" w:hAnsiTheme="minorHAnsi" w:cstheme="minorHAnsi"/>
          <w:b/>
          <w:color w:val="000000"/>
          <w:sz w:val="22"/>
          <w:szCs w:val="20"/>
        </w:rPr>
        <w:t>Innovation and Intellectual Property:</w:t>
      </w:r>
    </w:p>
    <w:p w:rsidR="0084282A" w:rsidRPr="009F333F" w:rsidRDefault="0084282A" w:rsidP="006779AB">
      <w:pPr>
        <w:pStyle w:val="ListParagraph"/>
        <w:numPr>
          <w:ilvl w:val="0"/>
          <w:numId w:val="18"/>
        </w:numPr>
        <w:autoSpaceDE w:val="0"/>
        <w:autoSpaceDN w:val="0"/>
        <w:adjustRightInd w:val="0"/>
        <w:spacing w:line="240" w:lineRule="atLeast"/>
        <w:ind w:left="450" w:right="467"/>
        <w:jc w:val="both"/>
        <w:rPr>
          <w:rFonts w:asciiTheme="minorHAnsi" w:hAnsiTheme="minorHAnsi" w:cstheme="minorHAnsi"/>
          <w:b/>
          <w:sz w:val="24"/>
          <w:szCs w:val="22"/>
        </w:rPr>
      </w:pPr>
      <w:r w:rsidRPr="009F333F">
        <w:rPr>
          <w:rFonts w:asciiTheme="minorHAnsi" w:eastAsiaTheme="minorHAnsi" w:hAnsiTheme="minorHAnsi" w:cstheme="minorHAnsi"/>
          <w:color w:val="000000"/>
          <w:sz w:val="22"/>
          <w:szCs w:val="22"/>
        </w:rPr>
        <w:t xml:space="preserve">As of September 30, 2014, the company has applied for </w:t>
      </w:r>
      <w:r w:rsidRPr="009F333F">
        <w:rPr>
          <w:rFonts w:asciiTheme="minorHAnsi" w:eastAsiaTheme="minorHAnsi" w:hAnsiTheme="minorHAnsi" w:cstheme="minorHAnsi"/>
          <w:b/>
          <w:bCs/>
          <w:color w:val="000000"/>
          <w:sz w:val="22"/>
          <w:szCs w:val="22"/>
        </w:rPr>
        <w:t>1931</w:t>
      </w:r>
      <w:r w:rsidRPr="009F333F">
        <w:rPr>
          <w:rFonts w:asciiTheme="minorHAnsi" w:eastAsiaTheme="minorHAnsi" w:hAnsiTheme="minorHAnsi" w:cstheme="minorHAnsi"/>
          <w:color w:val="000000"/>
          <w:sz w:val="22"/>
          <w:szCs w:val="22"/>
        </w:rPr>
        <w:t xml:space="preserve"> patents including </w:t>
      </w:r>
      <w:r w:rsidRPr="009F333F">
        <w:rPr>
          <w:rFonts w:asciiTheme="minorHAnsi" w:eastAsiaTheme="minorHAnsi" w:hAnsiTheme="minorHAnsi" w:cstheme="minorHAnsi"/>
          <w:b/>
          <w:bCs/>
          <w:color w:val="000000"/>
          <w:sz w:val="22"/>
          <w:szCs w:val="22"/>
        </w:rPr>
        <w:t xml:space="preserve">94 </w:t>
      </w:r>
      <w:r w:rsidRPr="009F333F">
        <w:rPr>
          <w:rFonts w:asciiTheme="minorHAnsi" w:eastAsiaTheme="minorHAnsi" w:hAnsiTheme="minorHAnsi" w:cstheme="minorHAnsi"/>
          <w:color w:val="000000"/>
          <w:sz w:val="22"/>
          <w:szCs w:val="22"/>
        </w:rPr>
        <w:t>applied</w:t>
      </w:r>
      <w:r w:rsidR="006779AB">
        <w:rPr>
          <w:rFonts w:asciiTheme="minorHAnsi" w:eastAsiaTheme="minorHAnsi" w:hAnsiTheme="minorHAnsi" w:cstheme="minorHAnsi"/>
          <w:color w:val="000000"/>
          <w:sz w:val="22"/>
          <w:szCs w:val="22"/>
        </w:rPr>
        <w:t xml:space="preserve"> during the quarter. To</w:t>
      </w:r>
      <w:r w:rsidRPr="009F333F">
        <w:rPr>
          <w:rFonts w:asciiTheme="minorHAnsi" w:eastAsiaTheme="minorHAnsi" w:hAnsiTheme="minorHAnsi" w:cstheme="minorHAnsi"/>
          <w:color w:val="000000"/>
          <w:sz w:val="22"/>
          <w:szCs w:val="22"/>
        </w:rPr>
        <w:t xml:space="preserve"> date, the company has been granted </w:t>
      </w:r>
      <w:r w:rsidRPr="009F333F">
        <w:rPr>
          <w:rFonts w:asciiTheme="minorHAnsi" w:eastAsiaTheme="minorHAnsi" w:hAnsiTheme="minorHAnsi" w:cstheme="minorHAnsi"/>
          <w:b/>
          <w:bCs/>
          <w:color w:val="000000"/>
          <w:sz w:val="22"/>
          <w:szCs w:val="22"/>
        </w:rPr>
        <w:t>150</w:t>
      </w:r>
      <w:r w:rsidRPr="009F333F">
        <w:rPr>
          <w:rFonts w:asciiTheme="minorHAnsi" w:eastAsiaTheme="minorHAnsi" w:hAnsiTheme="minorHAnsi" w:cstheme="minorHAnsi"/>
          <w:color w:val="000000"/>
          <w:sz w:val="22"/>
          <w:szCs w:val="22"/>
        </w:rPr>
        <w:t xml:space="preserve"> patents.</w:t>
      </w:r>
    </w:p>
    <w:p w:rsidR="0084282A" w:rsidRDefault="0084282A" w:rsidP="0084282A">
      <w:pPr>
        <w:autoSpaceDE w:val="0"/>
        <w:autoSpaceDN w:val="0"/>
        <w:adjustRightInd w:val="0"/>
        <w:spacing w:line="240" w:lineRule="atLeast"/>
        <w:ind w:right="467"/>
        <w:jc w:val="both"/>
        <w:rPr>
          <w:rFonts w:asciiTheme="minorHAnsi" w:hAnsiTheme="minorHAnsi" w:cstheme="minorHAnsi"/>
          <w:b/>
          <w:sz w:val="22"/>
          <w:szCs w:val="22"/>
        </w:rPr>
      </w:pPr>
    </w:p>
    <w:p w:rsidR="0084282A" w:rsidRDefault="0084282A" w:rsidP="0084282A">
      <w:pPr>
        <w:autoSpaceDE w:val="0"/>
        <w:autoSpaceDN w:val="0"/>
        <w:adjustRightInd w:val="0"/>
        <w:spacing w:line="240" w:lineRule="atLeast"/>
        <w:ind w:right="467"/>
        <w:jc w:val="both"/>
        <w:rPr>
          <w:rFonts w:asciiTheme="minorHAnsi" w:hAnsiTheme="minorHAnsi" w:cstheme="minorHAnsi"/>
          <w:b/>
          <w:bCs/>
          <w:sz w:val="22"/>
          <w:szCs w:val="22"/>
          <w:lang w:val="en-IN"/>
        </w:rPr>
      </w:pPr>
      <w:r>
        <w:rPr>
          <w:rFonts w:asciiTheme="minorHAnsi" w:hAnsiTheme="minorHAnsi" w:cstheme="minorHAnsi"/>
          <w:b/>
          <w:sz w:val="22"/>
          <w:szCs w:val="22"/>
        </w:rPr>
        <w:br/>
      </w:r>
      <w:r w:rsidRPr="00D00E48">
        <w:rPr>
          <w:rFonts w:asciiTheme="minorHAnsi" w:hAnsiTheme="minorHAnsi" w:cstheme="minorHAnsi"/>
          <w:b/>
          <w:sz w:val="22"/>
          <w:szCs w:val="22"/>
        </w:rPr>
        <w:t>Human Resources</w:t>
      </w:r>
      <w:r w:rsidRPr="00D00E48">
        <w:rPr>
          <w:rFonts w:asciiTheme="minorHAnsi" w:hAnsiTheme="minorHAnsi" w:cstheme="minorHAnsi"/>
          <w:b/>
          <w:bCs/>
          <w:sz w:val="22"/>
          <w:szCs w:val="22"/>
        </w:rPr>
        <w:t xml:space="preserve">: </w:t>
      </w:r>
    </w:p>
    <w:p w:rsidR="0084282A" w:rsidRDefault="0084282A" w:rsidP="006779AB">
      <w:pPr>
        <w:ind w:right="467"/>
        <w:rPr>
          <w:rFonts w:asciiTheme="minorHAnsi" w:hAnsiTheme="minorHAnsi" w:cstheme="minorHAnsi"/>
          <w:sz w:val="22"/>
          <w:szCs w:val="22"/>
        </w:rPr>
      </w:pPr>
      <w:r w:rsidRPr="00CB35E2">
        <w:rPr>
          <w:rFonts w:asciiTheme="minorHAnsi" w:hAnsiTheme="minorHAnsi" w:cstheme="minorHAnsi"/>
          <w:sz w:val="22"/>
          <w:szCs w:val="22"/>
        </w:rPr>
        <w:t xml:space="preserve">The company continued to hire to support business growth. There was a total gross addition of </w:t>
      </w:r>
      <w:r>
        <w:rPr>
          <w:rFonts w:asciiTheme="minorHAnsi" w:hAnsiTheme="minorHAnsi" w:cstheme="minorHAnsi"/>
          <w:sz w:val="22"/>
          <w:szCs w:val="22"/>
        </w:rPr>
        <w:t>20,350</w:t>
      </w:r>
      <w:r w:rsidRPr="00CB35E2">
        <w:rPr>
          <w:rFonts w:asciiTheme="minorHAnsi" w:hAnsiTheme="minorHAnsi" w:cstheme="minorHAnsi"/>
          <w:sz w:val="22"/>
          <w:szCs w:val="22"/>
        </w:rPr>
        <w:t xml:space="preserve"> people (net addition of </w:t>
      </w:r>
      <w:r>
        <w:rPr>
          <w:rFonts w:asciiTheme="minorHAnsi" w:hAnsiTheme="minorHAnsi" w:cstheme="minorHAnsi"/>
          <w:bCs/>
          <w:sz w:val="22"/>
          <w:szCs w:val="22"/>
        </w:rPr>
        <w:t>8,326</w:t>
      </w:r>
      <w:r w:rsidRPr="00CB35E2">
        <w:rPr>
          <w:rFonts w:asciiTheme="minorHAnsi" w:hAnsiTheme="minorHAnsi" w:cstheme="minorHAnsi"/>
          <w:bCs/>
          <w:sz w:val="22"/>
          <w:szCs w:val="22"/>
        </w:rPr>
        <w:t xml:space="preserve"> employees</w:t>
      </w:r>
      <w:r w:rsidRPr="00CB35E2">
        <w:rPr>
          <w:rFonts w:asciiTheme="minorHAnsi" w:hAnsiTheme="minorHAnsi" w:cstheme="minorHAnsi"/>
          <w:sz w:val="22"/>
          <w:szCs w:val="22"/>
        </w:rPr>
        <w:t xml:space="preserve">) taking the total employee strength of </w:t>
      </w:r>
      <w:r>
        <w:rPr>
          <w:rFonts w:asciiTheme="minorHAnsi" w:hAnsiTheme="minorHAnsi" w:cstheme="minorHAnsi"/>
          <w:sz w:val="22"/>
          <w:szCs w:val="22"/>
        </w:rPr>
        <w:t>313,757</w:t>
      </w:r>
      <w:r w:rsidRPr="00CB35E2">
        <w:rPr>
          <w:rFonts w:asciiTheme="minorHAnsi" w:hAnsiTheme="minorHAnsi" w:cstheme="minorHAnsi"/>
          <w:sz w:val="22"/>
          <w:szCs w:val="22"/>
        </w:rPr>
        <w:t xml:space="preserve"> employees on a consolidated basis. The utilization rate (excluding trainees) was at </w:t>
      </w:r>
      <w:r>
        <w:rPr>
          <w:rFonts w:asciiTheme="minorHAnsi" w:hAnsiTheme="minorHAnsi" w:cstheme="minorHAnsi"/>
          <w:sz w:val="22"/>
          <w:szCs w:val="22"/>
        </w:rPr>
        <w:t>86.</w:t>
      </w:r>
      <w:r w:rsidR="00B93C87">
        <w:rPr>
          <w:rFonts w:asciiTheme="minorHAnsi" w:hAnsiTheme="minorHAnsi" w:cstheme="minorHAnsi"/>
          <w:sz w:val="22"/>
          <w:szCs w:val="22"/>
        </w:rPr>
        <w:t>2</w:t>
      </w:r>
      <w:r w:rsidRPr="00CB35E2">
        <w:rPr>
          <w:rFonts w:asciiTheme="minorHAnsi" w:hAnsiTheme="minorHAnsi" w:cstheme="minorHAnsi"/>
          <w:sz w:val="22"/>
          <w:szCs w:val="22"/>
        </w:rPr>
        <w:t xml:space="preserve">% and that including trainees was </w:t>
      </w:r>
      <w:r>
        <w:rPr>
          <w:rFonts w:asciiTheme="minorHAnsi" w:hAnsiTheme="minorHAnsi" w:cstheme="minorHAnsi"/>
          <w:sz w:val="22"/>
          <w:szCs w:val="22"/>
        </w:rPr>
        <w:t>81.</w:t>
      </w:r>
      <w:r w:rsidR="00B93C87">
        <w:rPr>
          <w:rFonts w:asciiTheme="minorHAnsi" w:hAnsiTheme="minorHAnsi" w:cstheme="minorHAnsi"/>
          <w:sz w:val="22"/>
          <w:szCs w:val="22"/>
        </w:rPr>
        <w:t>3</w:t>
      </w:r>
      <w:r w:rsidRPr="00CB35E2">
        <w:rPr>
          <w:rFonts w:asciiTheme="minorHAnsi" w:hAnsiTheme="minorHAnsi" w:cstheme="minorHAnsi"/>
          <w:sz w:val="22"/>
          <w:szCs w:val="22"/>
        </w:rPr>
        <w:t xml:space="preserve">%. The attrition rate (LTM) was </w:t>
      </w:r>
      <w:r>
        <w:rPr>
          <w:rFonts w:asciiTheme="minorHAnsi" w:hAnsiTheme="minorHAnsi" w:cstheme="minorHAnsi"/>
          <w:sz w:val="22"/>
          <w:szCs w:val="22"/>
        </w:rPr>
        <w:t>at 12.8%</w:t>
      </w:r>
      <w:r w:rsidRPr="00CB35E2">
        <w:rPr>
          <w:rFonts w:asciiTheme="minorHAnsi" w:hAnsiTheme="minorHAnsi" w:cstheme="minorHAnsi"/>
          <w:sz w:val="22"/>
          <w:szCs w:val="22"/>
        </w:rPr>
        <w:t xml:space="preserve"> per cent including BP</w:t>
      </w:r>
      <w:r w:rsidR="005300EA">
        <w:rPr>
          <w:rFonts w:asciiTheme="minorHAnsi" w:hAnsiTheme="minorHAnsi" w:cstheme="minorHAnsi"/>
          <w:sz w:val="22"/>
          <w:szCs w:val="22"/>
        </w:rPr>
        <w:t>S</w:t>
      </w:r>
      <w:r w:rsidRPr="00CB35E2">
        <w:rPr>
          <w:rFonts w:asciiTheme="minorHAnsi" w:hAnsiTheme="minorHAnsi" w:cstheme="minorHAnsi"/>
          <w:sz w:val="22"/>
          <w:szCs w:val="22"/>
        </w:rPr>
        <w:t xml:space="preserve">. </w:t>
      </w:r>
    </w:p>
    <w:p w:rsidR="0084282A" w:rsidRDefault="0084282A" w:rsidP="0084282A">
      <w:pPr>
        <w:ind w:left="180" w:right="467"/>
        <w:rPr>
          <w:rFonts w:asciiTheme="minorHAnsi" w:hAnsiTheme="minorHAnsi" w:cstheme="minorHAnsi"/>
          <w:sz w:val="22"/>
          <w:szCs w:val="22"/>
        </w:rPr>
      </w:pPr>
    </w:p>
    <w:p w:rsidR="0084282A" w:rsidRDefault="0084282A" w:rsidP="006779AB">
      <w:pPr>
        <w:ind w:right="467"/>
        <w:rPr>
          <w:rFonts w:asciiTheme="minorHAnsi" w:hAnsiTheme="minorHAnsi" w:cstheme="minorHAnsi"/>
          <w:sz w:val="22"/>
          <w:szCs w:val="22"/>
        </w:rPr>
      </w:pPr>
      <w:r>
        <w:rPr>
          <w:rFonts w:asciiTheme="minorHAnsi" w:hAnsiTheme="minorHAnsi" w:cstheme="minorHAnsi"/>
          <w:sz w:val="22"/>
          <w:szCs w:val="22"/>
        </w:rPr>
        <w:t>During the quarter, the company crossed the milestone of employing 100,000 women professionals with a gender diversity ratio of 3</w:t>
      </w:r>
      <w:r w:rsidR="005300EA">
        <w:rPr>
          <w:rFonts w:asciiTheme="minorHAnsi" w:hAnsiTheme="minorHAnsi" w:cstheme="minorHAnsi"/>
          <w:sz w:val="22"/>
          <w:szCs w:val="22"/>
        </w:rPr>
        <w:t>2</w:t>
      </w:r>
      <w:r>
        <w:rPr>
          <w:rFonts w:asciiTheme="minorHAnsi" w:hAnsiTheme="minorHAnsi" w:cstheme="minorHAnsi"/>
          <w:sz w:val="22"/>
          <w:szCs w:val="22"/>
        </w:rPr>
        <w:t>.</w:t>
      </w:r>
      <w:r w:rsidR="005300EA">
        <w:rPr>
          <w:rFonts w:asciiTheme="minorHAnsi" w:hAnsiTheme="minorHAnsi" w:cstheme="minorHAnsi"/>
          <w:sz w:val="22"/>
          <w:szCs w:val="22"/>
        </w:rPr>
        <w:t>9</w:t>
      </w:r>
      <w:r>
        <w:rPr>
          <w:rFonts w:asciiTheme="minorHAnsi" w:hAnsiTheme="minorHAnsi" w:cstheme="minorHAnsi"/>
          <w:sz w:val="22"/>
          <w:szCs w:val="22"/>
        </w:rPr>
        <w:t>%.</w:t>
      </w:r>
    </w:p>
    <w:p w:rsidR="0084282A" w:rsidRDefault="0084282A" w:rsidP="006779AB">
      <w:pPr>
        <w:ind w:right="467"/>
        <w:rPr>
          <w:rFonts w:asciiTheme="minorHAnsi" w:hAnsiTheme="minorHAnsi" w:cstheme="minorHAnsi"/>
          <w:sz w:val="22"/>
          <w:szCs w:val="22"/>
        </w:rPr>
      </w:pPr>
    </w:p>
    <w:p w:rsidR="0084282A" w:rsidRDefault="0084282A" w:rsidP="006779AB">
      <w:pPr>
        <w:ind w:right="467"/>
        <w:rPr>
          <w:rFonts w:asciiTheme="minorHAnsi" w:hAnsiTheme="minorHAnsi" w:cstheme="minorHAnsi"/>
          <w:sz w:val="22"/>
          <w:szCs w:val="22"/>
        </w:rPr>
      </w:pPr>
      <w:r>
        <w:rPr>
          <w:rFonts w:asciiTheme="minorHAnsi" w:hAnsiTheme="minorHAnsi" w:cstheme="minorHAnsi"/>
          <w:sz w:val="22"/>
          <w:szCs w:val="22"/>
        </w:rPr>
        <w:t xml:space="preserve">“Diversity of talent remains a key source of strength for the organization and during the quarter, we crossed the milestone of having 100,000 women professionals in our workforce,” </w:t>
      </w:r>
      <w:r w:rsidRPr="006D612B">
        <w:rPr>
          <w:rFonts w:asciiTheme="minorHAnsi" w:hAnsiTheme="minorHAnsi" w:cstheme="minorHAnsi"/>
          <w:sz w:val="22"/>
          <w:szCs w:val="22"/>
        </w:rPr>
        <w:t xml:space="preserve">said </w:t>
      </w:r>
      <w:r w:rsidRPr="006D612B">
        <w:rPr>
          <w:rFonts w:asciiTheme="minorHAnsi" w:hAnsiTheme="minorHAnsi" w:cstheme="minorHAnsi"/>
          <w:b/>
          <w:sz w:val="22"/>
          <w:szCs w:val="22"/>
        </w:rPr>
        <w:t>Ajoy Mukherjee</w:t>
      </w:r>
      <w:r w:rsidRPr="006D612B">
        <w:rPr>
          <w:rFonts w:asciiTheme="minorHAnsi" w:hAnsiTheme="minorHAnsi" w:cstheme="minorHAnsi"/>
          <w:sz w:val="22"/>
          <w:szCs w:val="22"/>
        </w:rPr>
        <w:t xml:space="preserve">, </w:t>
      </w:r>
      <w:r w:rsidRPr="006D612B">
        <w:rPr>
          <w:rFonts w:asciiTheme="minorHAnsi" w:hAnsiTheme="minorHAnsi" w:cstheme="minorHAnsi"/>
          <w:b/>
          <w:sz w:val="22"/>
          <w:szCs w:val="22"/>
        </w:rPr>
        <w:t>Executive vice president and Global Head, Human Resources</w:t>
      </w:r>
      <w:r>
        <w:rPr>
          <w:rFonts w:asciiTheme="minorHAnsi" w:hAnsiTheme="minorHAnsi" w:cstheme="minorHAnsi"/>
          <w:sz w:val="22"/>
          <w:szCs w:val="22"/>
        </w:rPr>
        <w:t>. “Our hiring plan for FY15 is on track as we continue to build a talent pipeline in line with business demands.”</w:t>
      </w:r>
    </w:p>
    <w:p w:rsidR="0084282A" w:rsidRDefault="0084282A" w:rsidP="0084282A">
      <w:pPr>
        <w:ind w:left="180" w:right="467"/>
        <w:rPr>
          <w:rFonts w:asciiTheme="minorHAnsi" w:hAnsiTheme="minorHAnsi" w:cstheme="minorHAnsi"/>
          <w:sz w:val="22"/>
          <w:szCs w:val="22"/>
        </w:rPr>
      </w:pPr>
    </w:p>
    <w:p w:rsidR="0084282A" w:rsidRDefault="0084282A" w:rsidP="0084282A">
      <w:pPr>
        <w:rPr>
          <w:rFonts w:asciiTheme="minorHAnsi" w:hAnsiTheme="minorHAnsi" w:cstheme="minorHAnsi"/>
          <w:b/>
          <w:sz w:val="22"/>
          <w:szCs w:val="22"/>
        </w:rPr>
      </w:pPr>
      <w:r w:rsidRPr="00CB35E2">
        <w:rPr>
          <w:rFonts w:asciiTheme="minorHAnsi" w:hAnsiTheme="minorHAnsi" w:cstheme="minorHAnsi"/>
          <w:b/>
          <w:sz w:val="22"/>
          <w:szCs w:val="22"/>
        </w:rPr>
        <w:t xml:space="preserve">Awards and Recognition: </w:t>
      </w:r>
    </w:p>
    <w:p w:rsidR="0084282A" w:rsidRDefault="0084282A" w:rsidP="0084282A">
      <w:pPr>
        <w:rPr>
          <w:rFonts w:asciiTheme="minorHAnsi" w:hAnsiTheme="minorHAnsi" w:cstheme="minorHAnsi"/>
          <w:b/>
          <w:sz w:val="22"/>
          <w:szCs w:val="22"/>
        </w:rPr>
      </w:pPr>
    </w:p>
    <w:p w:rsidR="0084282A" w:rsidRDefault="0084282A" w:rsidP="0084282A">
      <w:pPr>
        <w:rPr>
          <w:rFonts w:asciiTheme="minorHAnsi" w:hAnsiTheme="minorHAnsi" w:cstheme="minorHAnsi"/>
          <w:b/>
          <w:sz w:val="22"/>
          <w:szCs w:val="22"/>
        </w:rPr>
      </w:pPr>
      <w:r w:rsidRPr="00CB35E2">
        <w:rPr>
          <w:rFonts w:asciiTheme="minorHAnsi" w:hAnsiTheme="minorHAnsi" w:cstheme="minorHAnsi"/>
          <w:b/>
          <w:sz w:val="22"/>
          <w:szCs w:val="22"/>
        </w:rPr>
        <w:t>Business Leadership:</w:t>
      </w:r>
    </w:p>
    <w:p w:rsidR="0084282A" w:rsidRPr="001E284A" w:rsidRDefault="0084282A" w:rsidP="0084282A">
      <w:pPr>
        <w:pStyle w:val="ListParagraph"/>
        <w:numPr>
          <w:ilvl w:val="0"/>
          <w:numId w:val="19"/>
        </w:numPr>
        <w:rPr>
          <w:rFonts w:asciiTheme="minorHAnsi" w:hAnsiTheme="minorHAnsi" w:cstheme="minorHAnsi"/>
          <w:bCs/>
          <w:sz w:val="22"/>
        </w:rPr>
      </w:pPr>
      <w:r w:rsidRPr="001E284A">
        <w:rPr>
          <w:rFonts w:asciiTheme="minorHAnsi" w:hAnsiTheme="minorHAnsi" w:cstheme="minorHAnsi"/>
          <w:sz w:val="22"/>
        </w:rPr>
        <w:t>World'</w:t>
      </w:r>
      <w:r>
        <w:rPr>
          <w:rFonts w:asciiTheme="minorHAnsi" w:hAnsiTheme="minorHAnsi" w:cstheme="minorHAnsi"/>
          <w:sz w:val="22"/>
        </w:rPr>
        <w:t>s 100 Most Innovative Companies - Forbes</w:t>
      </w:r>
    </w:p>
    <w:p w:rsidR="0084282A" w:rsidRDefault="0084282A" w:rsidP="0084282A">
      <w:pPr>
        <w:pStyle w:val="ListParagraph"/>
        <w:numPr>
          <w:ilvl w:val="0"/>
          <w:numId w:val="19"/>
        </w:numPr>
        <w:rPr>
          <w:rFonts w:asciiTheme="minorHAnsi" w:hAnsiTheme="minorHAnsi" w:cstheme="minorHAnsi"/>
          <w:bCs/>
          <w:sz w:val="22"/>
        </w:rPr>
      </w:pPr>
      <w:r>
        <w:rPr>
          <w:rFonts w:asciiTheme="minorHAnsi" w:hAnsiTheme="minorHAnsi" w:cstheme="minorHAnsi"/>
          <w:bCs/>
          <w:sz w:val="22"/>
        </w:rPr>
        <w:t>Company of the Year – The Economic Times</w:t>
      </w:r>
    </w:p>
    <w:p w:rsidR="0084282A" w:rsidRDefault="0084282A" w:rsidP="0084282A">
      <w:pPr>
        <w:pStyle w:val="ListParagraph"/>
        <w:numPr>
          <w:ilvl w:val="0"/>
          <w:numId w:val="19"/>
        </w:numPr>
        <w:rPr>
          <w:rFonts w:asciiTheme="minorHAnsi" w:hAnsiTheme="minorHAnsi" w:cstheme="minorHAnsi"/>
          <w:bCs/>
          <w:sz w:val="22"/>
        </w:rPr>
      </w:pPr>
      <w:r>
        <w:rPr>
          <w:rFonts w:asciiTheme="minorHAnsi" w:hAnsiTheme="minorHAnsi" w:cstheme="minorHAnsi"/>
          <w:bCs/>
          <w:sz w:val="22"/>
        </w:rPr>
        <w:t>S</w:t>
      </w:r>
      <w:r w:rsidRPr="001E284A">
        <w:rPr>
          <w:rFonts w:asciiTheme="minorHAnsi" w:hAnsiTheme="minorHAnsi" w:cstheme="minorHAnsi"/>
          <w:bCs/>
          <w:sz w:val="22"/>
        </w:rPr>
        <w:t xml:space="preserve">ix awards at Asia's Best Employer Brand Awards 2014, Singapore: </w:t>
      </w:r>
    </w:p>
    <w:p w:rsidR="0084282A" w:rsidRPr="001E284A" w:rsidRDefault="0084282A" w:rsidP="0084282A">
      <w:pPr>
        <w:pStyle w:val="ListParagraph"/>
        <w:numPr>
          <w:ilvl w:val="1"/>
          <w:numId w:val="19"/>
        </w:numPr>
        <w:rPr>
          <w:rFonts w:asciiTheme="minorHAnsi" w:hAnsiTheme="minorHAnsi" w:cstheme="minorHAnsi"/>
          <w:bCs/>
          <w:sz w:val="22"/>
        </w:rPr>
      </w:pPr>
      <w:r w:rsidRPr="001E284A">
        <w:rPr>
          <w:rFonts w:asciiTheme="minorHAnsi" w:hAnsiTheme="minorHAnsi" w:cstheme="minorHAnsi"/>
          <w:sz w:val="22"/>
          <w:szCs w:val="24"/>
        </w:rPr>
        <w:t xml:space="preserve">BPO Organisation of the Year </w:t>
      </w:r>
    </w:p>
    <w:p w:rsidR="0084282A" w:rsidRPr="001E284A" w:rsidRDefault="0084282A" w:rsidP="0084282A">
      <w:pPr>
        <w:pStyle w:val="ListParagraph"/>
        <w:numPr>
          <w:ilvl w:val="1"/>
          <w:numId w:val="19"/>
        </w:numPr>
        <w:rPr>
          <w:rFonts w:asciiTheme="minorHAnsi" w:hAnsiTheme="minorHAnsi" w:cstheme="minorHAnsi"/>
          <w:bCs/>
          <w:sz w:val="22"/>
        </w:rPr>
      </w:pPr>
      <w:r w:rsidRPr="001E284A">
        <w:rPr>
          <w:rFonts w:asciiTheme="minorHAnsi" w:hAnsiTheme="minorHAnsi" w:cstheme="minorHAnsi"/>
          <w:sz w:val="22"/>
          <w:szCs w:val="24"/>
        </w:rPr>
        <w:t xml:space="preserve">Talent Management </w:t>
      </w:r>
    </w:p>
    <w:p w:rsidR="0084282A" w:rsidRPr="001E284A" w:rsidRDefault="0084282A" w:rsidP="0084282A">
      <w:pPr>
        <w:pStyle w:val="ListParagraph"/>
        <w:numPr>
          <w:ilvl w:val="1"/>
          <w:numId w:val="19"/>
        </w:numPr>
        <w:rPr>
          <w:rFonts w:asciiTheme="minorHAnsi" w:hAnsiTheme="minorHAnsi" w:cstheme="minorHAnsi"/>
          <w:bCs/>
          <w:sz w:val="22"/>
        </w:rPr>
      </w:pPr>
      <w:r w:rsidRPr="001E284A">
        <w:rPr>
          <w:rFonts w:asciiTheme="minorHAnsi" w:hAnsiTheme="minorHAnsi" w:cstheme="minorHAnsi"/>
          <w:sz w:val="22"/>
          <w:szCs w:val="24"/>
        </w:rPr>
        <w:t xml:space="preserve">Innovation in Recruitment </w:t>
      </w:r>
    </w:p>
    <w:p w:rsidR="0084282A" w:rsidRPr="001E284A" w:rsidRDefault="0084282A" w:rsidP="0084282A">
      <w:pPr>
        <w:pStyle w:val="ListParagraph"/>
        <w:numPr>
          <w:ilvl w:val="1"/>
          <w:numId w:val="19"/>
        </w:numPr>
        <w:rPr>
          <w:rFonts w:asciiTheme="minorHAnsi" w:hAnsiTheme="minorHAnsi" w:cstheme="minorHAnsi"/>
          <w:bCs/>
          <w:sz w:val="22"/>
        </w:rPr>
      </w:pPr>
      <w:r w:rsidRPr="001E284A">
        <w:rPr>
          <w:rFonts w:asciiTheme="minorHAnsi" w:hAnsiTheme="minorHAnsi" w:cstheme="minorHAnsi"/>
          <w:sz w:val="22"/>
          <w:szCs w:val="24"/>
        </w:rPr>
        <w:t xml:space="preserve">Excellence in Training </w:t>
      </w:r>
    </w:p>
    <w:p w:rsidR="0084282A" w:rsidRPr="001E284A" w:rsidRDefault="0084282A" w:rsidP="0084282A">
      <w:pPr>
        <w:pStyle w:val="ListParagraph"/>
        <w:numPr>
          <w:ilvl w:val="1"/>
          <w:numId w:val="19"/>
        </w:numPr>
        <w:rPr>
          <w:rFonts w:asciiTheme="minorHAnsi" w:hAnsiTheme="minorHAnsi" w:cstheme="minorHAnsi"/>
          <w:bCs/>
          <w:sz w:val="22"/>
        </w:rPr>
      </w:pPr>
      <w:r w:rsidRPr="001E284A">
        <w:rPr>
          <w:rFonts w:asciiTheme="minorHAnsi" w:hAnsiTheme="minorHAnsi" w:cstheme="minorHAnsi"/>
          <w:sz w:val="22"/>
          <w:szCs w:val="24"/>
        </w:rPr>
        <w:t xml:space="preserve">Best HR Strategy in Line With Business </w:t>
      </w:r>
    </w:p>
    <w:p w:rsidR="0084282A" w:rsidRPr="001E284A" w:rsidRDefault="0084282A" w:rsidP="0084282A">
      <w:pPr>
        <w:pStyle w:val="ListParagraph"/>
        <w:numPr>
          <w:ilvl w:val="1"/>
          <w:numId w:val="19"/>
        </w:numPr>
        <w:rPr>
          <w:rFonts w:asciiTheme="minorHAnsi" w:hAnsiTheme="minorHAnsi" w:cstheme="minorHAnsi"/>
          <w:bCs/>
          <w:sz w:val="22"/>
        </w:rPr>
      </w:pPr>
      <w:r w:rsidRPr="001E284A">
        <w:rPr>
          <w:rFonts w:asciiTheme="minorHAnsi" w:hAnsiTheme="minorHAnsi" w:cstheme="minorHAnsi"/>
          <w:sz w:val="22"/>
          <w:szCs w:val="24"/>
        </w:rPr>
        <w:t xml:space="preserve">Operational Excellence &amp; Quality in the BPO Industry </w:t>
      </w:r>
    </w:p>
    <w:p w:rsidR="0084282A" w:rsidRPr="001E284A" w:rsidRDefault="0084282A" w:rsidP="0084282A">
      <w:pPr>
        <w:pStyle w:val="ListParagraph"/>
        <w:numPr>
          <w:ilvl w:val="0"/>
          <w:numId w:val="19"/>
        </w:numPr>
        <w:rPr>
          <w:rFonts w:asciiTheme="minorHAnsi" w:hAnsiTheme="minorHAnsi" w:cstheme="minorHAnsi"/>
          <w:bCs/>
          <w:sz w:val="22"/>
        </w:rPr>
      </w:pPr>
      <w:r w:rsidRPr="001E284A">
        <w:rPr>
          <w:rFonts w:asciiTheme="minorHAnsi" w:hAnsiTheme="minorHAnsi" w:cstheme="minorHAnsi"/>
          <w:sz w:val="22"/>
        </w:rPr>
        <w:t>Indian Multinational of the Year award</w:t>
      </w:r>
      <w:r>
        <w:rPr>
          <w:rFonts w:asciiTheme="minorHAnsi" w:hAnsiTheme="minorHAnsi" w:cstheme="minorHAnsi"/>
          <w:sz w:val="22"/>
        </w:rPr>
        <w:t xml:space="preserve"> -</w:t>
      </w:r>
      <w:r w:rsidRPr="001E284A">
        <w:rPr>
          <w:rFonts w:asciiTheme="minorHAnsi" w:hAnsiTheme="minorHAnsi" w:cstheme="minorHAnsi"/>
          <w:sz w:val="22"/>
        </w:rPr>
        <w:t xml:space="preserve"> AIMA Managing India Awards 2014</w:t>
      </w:r>
    </w:p>
    <w:p w:rsidR="0084282A" w:rsidRPr="001E284A" w:rsidRDefault="0084282A" w:rsidP="0084282A">
      <w:pPr>
        <w:pStyle w:val="ListParagraph"/>
        <w:numPr>
          <w:ilvl w:val="0"/>
          <w:numId w:val="19"/>
        </w:numPr>
        <w:rPr>
          <w:rFonts w:asciiTheme="minorHAnsi" w:hAnsiTheme="minorHAnsi" w:cstheme="minorHAnsi"/>
          <w:sz w:val="22"/>
        </w:rPr>
      </w:pPr>
      <w:r>
        <w:rPr>
          <w:rFonts w:asciiTheme="minorHAnsi" w:hAnsiTheme="minorHAnsi" w:cstheme="minorHAnsi"/>
          <w:sz w:val="22"/>
        </w:rPr>
        <w:t>Best Technology Provider -</w:t>
      </w:r>
      <w:r w:rsidRPr="001E284A">
        <w:rPr>
          <w:rFonts w:asciiTheme="minorHAnsi" w:hAnsiTheme="minorHAnsi" w:cstheme="minorHAnsi"/>
          <w:sz w:val="22"/>
        </w:rPr>
        <w:t xml:space="preserve"> Reactions </w:t>
      </w:r>
      <w:r>
        <w:rPr>
          <w:rFonts w:asciiTheme="minorHAnsi" w:hAnsiTheme="minorHAnsi" w:cstheme="minorHAnsi"/>
          <w:sz w:val="22"/>
        </w:rPr>
        <w:t>(North America)</w:t>
      </w:r>
    </w:p>
    <w:p w:rsidR="0084282A" w:rsidRPr="001E284A" w:rsidRDefault="0084282A" w:rsidP="0084282A">
      <w:pPr>
        <w:pStyle w:val="ListParagraph"/>
        <w:numPr>
          <w:ilvl w:val="0"/>
          <w:numId w:val="19"/>
        </w:numPr>
        <w:rPr>
          <w:rFonts w:asciiTheme="minorHAnsi" w:hAnsiTheme="minorHAnsi" w:cstheme="minorHAnsi"/>
          <w:sz w:val="22"/>
        </w:rPr>
      </w:pPr>
      <w:r>
        <w:rPr>
          <w:rFonts w:asciiTheme="minorHAnsi" w:hAnsiTheme="minorHAnsi" w:cstheme="minorHAnsi"/>
          <w:sz w:val="22"/>
        </w:rPr>
        <w:t>M</w:t>
      </w:r>
      <w:r w:rsidRPr="001E284A">
        <w:rPr>
          <w:rFonts w:asciiTheme="minorHAnsi" w:hAnsiTheme="minorHAnsi" w:cstheme="minorHAnsi"/>
          <w:sz w:val="22"/>
        </w:rPr>
        <w:t>ultiple awards at Asian Telecom Leadership Awards 2014</w:t>
      </w:r>
    </w:p>
    <w:p w:rsidR="0084282A" w:rsidRPr="001E284A" w:rsidRDefault="0084282A" w:rsidP="0084282A">
      <w:pPr>
        <w:pStyle w:val="ListParagraph"/>
        <w:numPr>
          <w:ilvl w:val="1"/>
          <w:numId w:val="19"/>
        </w:numPr>
        <w:rPr>
          <w:rFonts w:asciiTheme="minorHAnsi" w:hAnsiTheme="minorHAnsi" w:cstheme="minorHAnsi"/>
          <w:bCs/>
          <w:sz w:val="22"/>
          <w:szCs w:val="24"/>
        </w:rPr>
      </w:pPr>
      <w:r w:rsidRPr="001E284A">
        <w:rPr>
          <w:rFonts w:asciiTheme="minorHAnsi" w:hAnsiTheme="minorHAnsi" w:cstheme="minorHAnsi"/>
          <w:bCs/>
          <w:sz w:val="22"/>
          <w:szCs w:val="24"/>
        </w:rPr>
        <w:t xml:space="preserve">Best Telecom Software </w:t>
      </w:r>
    </w:p>
    <w:p w:rsidR="0084282A" w:rsidRPr="001E284A" w:rsidRDefault="0084282A" w:rsidP="0084282A">
      <w:pPr>
        <w:pStyle w:val="ListParagraph"/>
        <w:numPr>
          <w:ilvl w:val="1"/>
          <w:numId w:val="19"/>
        </w:numPr>
        <w:rPr>
          <w:rFonts w:asciiTheme="minorHAnsi" w:hAnsiTheme="minorHAnsi" w:cstheme="minorHAnsi"/>
          <w:bCs/>
          <w:sz w:val="22"/>
          <w:szCs w:val="24"/>
        </w:rPr>
      </w:pPr>
      <w:r w:rsidRPr="001E284A">
        <w:rPr>
          <w:rFonts w:asciiTheme="minorHAnsi" w:hAnsiTheme="minorHAnsi" w:cstheme="minorHAnsi"/>
          <w:bCs/>
          <w:sz w:val="22"/>
          <w:szCs w:val="24"/>
        </w:rPr>
        <w:t xml:space="preserve">Best Value Added Services Providers </w:t>
      </w:r>
    </w:p>
    <w:p w:rsidR="0084282A" w:rsidRPr="001E284A" w:rsidRDefault="0084282A" w:rsidP="0084282A">
      <w:pPr>
        <w:pStyle w:val="ListParagraph"/>
        <w:numPr>
          <w:ilvl w:val="1"/>
          <w:numId w:val="19"/>
        </w:numPr>
        <w:rPr>
          <w:rFonts w:asciiTheme="minorHAnsi" w:hAnsiTheme="minorHAnsi" w:cstheme="minorHAnsi"/>
          <w:bCs/>
          <w:sz w:val="22"/>
          <w:szCs w:val="24"/>
        </w:rPr>
      </w:pPr>
      <w:r w:rsidRPr="001E284A">
        <w:rPr>
          <w:rFonts w:asciiTheme="minorHAnsi" w:hAnsiTheme="minorHAnsi" w:cstheme="minorHAnsi"/>
          <w:bCs/>
          <w:sz w:val="22"/>
          <w:szCs w:val="24"/>
        </w:rPr>
        <w:t xml:space="preserve">Best General Social Initiative Award for mKrishi </w:t>
      </w:r>
    </w:p>
    <w:p w:rsidR="0084282A" w:rsidRPr="00EF59A9" w:rsidRDefault="0084282A" w:rsidP="0084282A">
      <w:pPr>
        <w:pStyle w:val="ListParagraph"/>
        <w:numPr>
          <w:ilvl w:val="0"/>
          <w:numId w:val="19"/>
        </w:numPr>
        <w:autoSpaceDE w:val="0"/>
        <w:autoSpaceDN w:val="0"/>
        <w:adjustRightInd w:val="0"/>
        <w:spacing w:line="276" w:lineRule="auto"/>
        <w:ind w:right="467"/>
        <w:jc w:val="both"/>
        <w:rPr>
          <w:rFonts w:asciiTheme="minorHAnsi" w:hAnsiTheme="minorHAnsi" w:cstheme="minorHAnsi"/>
          <w:b/>
          <w:sz w:val="22"/>
          <w:szCs w:val="24"/>
        </w:rPr>
      </w:pPr>
      <w:r w:rsidRPr="00EF59A9">
        <w:rPr>
          <w:rFonts w:asciiTheme="minorHAnsi" w:hAnsiTheme="minorHAnsi" w:cstheme="minorHAnsi"/>
          <w:sz w:val="22"/>
        </w:rPr>
        <w:t xml:space="preserve">Ranked among Top 10 global service providers in China </w:t>
      </w:r>
    </w:p>
    <w:p w:rsidR="0084282A" w:rsidRPr="00C91289" w:rsidRDefault="0084282A" w:rsidP="0084282A">
      <w:pPr>
        <w:autoSpaceDE w:val="0"/>
        <w:autoSpaceDN w:val="0"/>
        <w:adjustRightInd w:val="0"/>
        <w:spacing w:line="240" w:lineRule="atLeast"/>
        <w:ind w:right="467"/>
        <w:jc w:val="both"/>
        <w:rPr>
          <w:rFonts w:asciiTheme="minorHAnsi" w:hAnsiTheme="minorHAnsi" w:cstheme="minorHAnsi"/>
          <w:b/>
          <w:sz w:val="22"/>
          <w:szCs w:val="24"/>
        </w:rPr>
      </w:pPr>
      <w:r w:rsidRPr="00C91289">
        <w:rPr>
          <w:rFonts w:asciiTheme="minorHAnsi" w:hAnsiTheme="minorHAnsi" w:cstheme="minorHAnsi"/>
          <w:b/>
          <w:sz w:val="22"/>
          <w:szCs w:val="24"/>
        </w:rPr>
        <w:t>Partner:</w:t>
      </w:r>
    </w:p>
    <w:p w:rsidR="0084282A" w:rsidRPr="001E284A" w:rsidRDefault="0084282A" w:rsidP="0084282A">
      <w:pPr>
        <w:pStyle w:val="ListParagraph"/>
        <w:numPr>
          <w:ilvl w:val="0"/>
          <w:numId w:val="20"/>
        </w:numPr>
        <w:tabs>
          <w:tab w:val="left" w:pos="10440"/>
        </w:tabs>
        <w:ind w:right="440"/>
        <w:rPr>
          <w:rStyle w:val="Strong"/>
          <w:b w:val="0"/>
          <w:sz w:val="16"/>
          <w:szCs w:val="22"/>
        </w:rPr>
      </w:pPr>
      <w:r w:rsidRPr="001E284A">
        <w:rPr>
          <w:rStyle w:val="Strong"/>
          <w:rFonts w:asciiTheme="minorHAnsi" w:hAnsiTheme="minorHAnsi" w:cstheme="minorHAnsi"/>
          <w:b w:val="0"/>
          <w:sz w:val="22"/>
          <w:szCs w:val="22"/>
        </w:rPr>
        <w:t>Multiple awards at the CA Technologies Partner Summit</w:t>
      </w:r>
      <w:r w:rsidRPr="001E284A">
        <w:rPr>
          <w:rStyle w:val="Strong"/>
          <w:b w:val="0"/>
          <w:sz w:val="16"/>
          <w:szCs w:val="22"/>
        </w:rPr>
        <w:t xml:space="preserve"> </w:t>
      </w:r>
      <w:r>
        <w:rPr>
          <w:rStyle w:val="Strong"/>
          <w:b w:val="0"/>
          <w:sz w:val="16"/>
          <w:szCs w:val="22"/>
        </w:rPr>
        <w:t>:</w:t>
      </w:r>
    </w:p>
    <w:p w:rsidR="0084282A" w:rsidRPr="001E284A" w:rsidRDefault="0084282A" w:rsidP="0084282A">
      <w:pPr>
        <w:pStyle w:val="ListParagraph"/>
        <w:numPr>
          <w:ilvl w:val="1"/>
          <w:numId w:val="20"/>
        </w:numPr>
        <w:tabs>
          <w:tab w:val="left" w:pos="10440"/>
        </w:tabs>
        <w:ind w:right="440"/>
        <w:rPr>
          <w:b/>
          <w:bCs/>
          <w:sz w:val="16"/>
          <w:szCs w:val="22"/>
        </w:rPr>
      </w:pPr>
      <w:r w:rsidRPr="001E284A">
        <w:rPr>
          <w:rFonts w:asciiTheme="minorHAnsi" w:hAnsiTheme="minorHAnsi" w:cstheme="minorHAnsi"/>
          <w:bCs/>
          <w:sz w:val="22"/>
          <w:szCs w:val="24"/>
        </w:rPr>
        <w:t>FY14 Country Partner of the Year</w:t>
      </w:r>
    </w:p>
    <w:p w:rsidR="0084282A" w:rsidRPr="001E284A" w:rsidRDefault="0084282A" w:rsidP="0084282A">
      <w:pPr>
        <w:pStyle w:val="ListParagraph"/>
        <w:numPr>
          <w:ilvl w:val="1"/>
          <w:numId w:val="20"/>
        </w:numPr>
        <w:tabs>
          <w:tab w:val="left" w:pos="10440"/>
        </w:tabs>
        <w:ind w:right="440"/>
        <w:rPr>
          <w:b/>
          <w:bCs/>
          <w:sz w:val="16"/>
          <w:szCs w:val="22"/>
        </w:rPr>
      </w:pPr>
      <w:r w:rsidRPr="001E284A">
        <w:rPr>
          <w:rFonts w:asciiTheme="minorHAnsi" w:hAnsiTheme="minorHAnsi" w:cstheme="minorHAnsi"/>
          <w:bCs/>
          <w:sz w:val="22"/>
          <w:szCs w:val="24"/>
        </w:rPr>
        <w:t>Partner of the Year - Security solutions</w:t>
      </w:r>
    </w:p>
    <w:p w:rsidR="0084282A" w:rsidRPr="00454408" w:rsidRDefault="0084282A" w:rsidP="0084282A">
      <w:pPr>
        <w:pStyle w:val="ListParagraph"/>
        <w:numPr>
          <w:ilvl w:val="1"/>
          <w:numId w:val="20"/>
        </w:numPr>
        <w:tabs>
          <w:tab w:val="left" w:pos="10440"/>
        </w:tabs>
        <w:ind w:right="440"/>
        <w:rPr>
          <w:b/>
          <w:bCs/>
          <w:sz w:val="16"/>
          <w:szCs w:val="22"/>
        </w:rPr>
      </w:pPr>
      <w:r w:rsidRPr="001E284A">
        <w:rPr>
          <w:rFonts w:asciiTheme="minorHAnsi" w:hAnsiTheme="minorHAnsi" w:cstheme="minorHAnsi"/>
          <w:bCs/>
          <w:sz w:val="22"/>
          <w:szCs w:val="24"/>
        </w:rPr>
        <w:t>Public Sector Partner of the Year</w:t>
      </w:r>
    </w:p>
    <w:p w:rsidR="0084282A" w:rsidRDefault="0084282A" w:rsidP="0084282A">
      <w:pPr>
        <w:pStyle w:val="ListParagraph"/>
        <w:numPr>
          <w:ilvl w:val="0"/>
          <w:numId w:val="21"/>
        </w:numPr>
        <w:tabs>
          <w:tab w:val="left" w:pos="10440"/>
        </w:tabs>
        <w:spacing w:line="276" w:lineRule="auto"/>
        <w:ind w:right="440"/>
        <w:rPr>
          <w:rStyle w:val="Strong"/>
          <w:rFonts w:asciiTheme="minorHAnsi" w:hAnsiTheme="minorHAnsi" w:cstheme="minorHAnsi"/>
          <w:b w:val="0"/>
          <w:sz w:val="22"/>
          <w:szCs w:val="24"/>
        </w:rPr>
      </w:pPr>
      <w:r w:rsidRPr="001E284A">
        <w:rPr>
          <w:rStyle w:val="Strong"/>
          <w:rFonts w:asciiTheme="minorHAnsi" w:hAnsiTheme="minorHAnsi" w:cstheme="minorHAnsi"/>
          <w:b w:val="0"/>
          <w:sz w:val="22"/>
          <w:szCs w:val="24"/>
        </w:rPr>
        <w:t xml:space="preserve">Oracle Excellence Awards </w:t>
      </w:r>
    </w:p>
    <w:p w:rsidR="0084282A" w:rsidRDefault="0084282A" w:rsidP="0084282A">
      <w:pPr>
        <w:pStyle w:val="ListParagraph"/>
        <w:numPr>
          <w:ilvl w:val="1"/>
          <w:numId w:val="21"/>
        </w:numPr>
        <w:tabs>
          <w:tab w:val="left" w:pos="10440"/>
        </w:tabs>
        <w:spacing w:line="276" w:lineRule="auto"/>
        <w:ind w:right="440"/>
        <w:rPr>
          <w:rStyle w:val="Strong"/>
          <w:rFonts w:asciiTheme="minorHAnsi" w:hAnsiTheme="minorHAnsi" w:cstheme="minorHAnsi"/>
          <w:b w:val="0"/>
          <w:sz w:val="22"/>
          <w:szCs w:val="24"/>
        </w:rPr>
      </w:pPr>
      <w:r w:rsidRPr="001E284A">
        <w:rPr>
          <w:rStyle w:val="Strong"/>
          <w:rFonts w:asciiTheme="minorHAnsi" w:hAnsiTheme="minorHAnsi" w:cstheme="minorHAnsi"/>
          <w:b w:val="0"/>
          <w:sz w:val="22"/>
          <w:szCs w:val="24"/>
        </w:rPr>
        <w:t>Global System Integrator Customer Experience (CX) Applications</w:t>
      </w:r>
    </w:p>
    <w:p w:rsidR="0084282A" w:rsidRPr="001E284A" w:rsidRDefault="0084282A" w:rsidP="0084282A">
      <w:pPr>
        <w:pStyle w:val="ListParagraph"/>
        <w:numPr>
          <w:ilvl w:val="1"/>
          <w:numId w:val="21"/>
        </w:numPr>
        <w:tabs>
          <w:tab w:val="left" w:pos="10440"/>
        </w:tabs>
        <w:spacing w:line="276" w:lineRule="auto"/>
        <w:ind w:right="440"/>
        <w:rPr>
          <w:rStyle w:val="Strong"/>
          <w:rFonts w:asciiTheme="minorHAnsi" w:hAnsiTheme="minorHAnsi" w:cstheme="minorHAnsi"/>
          <w:b w:val="0"/>
          <w:sz w:val="22"/>
          <w:szCs w:val="24"/>
        </w:rPr>
      </w:pPr>
      <w:r w:rsidRPr="001E284A">
        <w:rPr>
          <w:rStyle w:val="Strong"/>
          <w:rFonts w:asciiTheme="minorHAnsi" w:hAnsiTheme="minorHAnsi" w:cstheme="minorHAnsi"/>
          <w:b w:val="0"/>
          <w:sz w:val="22"/>
          <w:szCs w:val="24"/>
        </w:rPr>
        <w:t xml:space="preserve">Specialised Partner of the Year </w:t>
      </w:r>
    </w:p>
    <w:p w:rsidR="0084282A" w:rsidRDefault="0084282A" w:rsidP="0084282A">
      <w:pPr>
        <w:autoSpaceDE w:val="0"/>
        <w:autoSpaceDN w:val="0"/>
        <w:adjustRightInd w:val="0"/>
        <w:spacing w:before="100" w:beforeAutospacing="1" w:after="100" w:afterAutospacing="1" w:line="240" w:lineRule="atLeast"/>
        <w:ind w:right="467"/>
        <w:jc w:val="both"/>
        <w:outlineLvl w:val="0"/>
        <w:rPr>
          <w:rFonts w:asciiTheme="minorHAnsi" w:hAnsiTheme="minorHAnsi" w:cstheme="minorHAnsi"/>
          <w:b/>
          <w:sz w:val="22"/>
          <w:szCs w:val="24"/>
        </w:rPr>
      </w:pPr>
      <w:r w:rsidRPr="00C91289">
        <w:rPr>
          <w:rFonts w:asciiTheme="minorHAnsi" w:hAnsiTheme="minorHAnsi" w:cstheme="minorHAnsi"/>
          <w:b/>
          <w:sz w:val="22"/>
          <w:szCs w:val="24"/>
        </w:rPr>
        <w:t>Sustainability:</w:t>
      </w:r>
    </w:p>
    <w:p w:rsidR="0084282A" w:rsidRPr="00652C96" w:rsidRDefault="0084282A" w:rsidP="0084282A">
      <w:pPr>
        <w:pStyle w:val="ListParagraph"/>
        <w:numPr>
          <w:ilvl w:val="0"/>
          <w:numId w:val="22"/>
        </w:numPr>
        <w:tabs>
          <w:tab w:val="left" w:pos="10440"/>
        </w:tabs>
        <w:ind w:right="440"/>
        <w:rPr>
          <w:rStyle w:val="Strong"/>
          <w:rFonts w:asciiTheme="minorHAnsi" w:hAnsiTheme="minorHAnsi" w:cstheme="minorHAnsi"/>
          <w:b w:val="0"/>
          <w:sz w:val="22"/>
          <w:szCs w:val="22"/>
        </w:rPr>
      </w:pPr>
      <w:r>
        <w:rPr>
          <w:rStyle w:val="Strong"/>
          <w:rFonts w:asciiTheme="minorHAnsi" w:hAnsiTheme="minorHAnsi" w:cstheme="minorHAnsi"/>
          <w:b w:val="0"/>
          <w:sz w:val="22"/>
          <w:szCs w:val="22"/>
        </w:rPr>
        <w:t>G</w:t>
      </w:r>
      <w:r w:rsidRPr="00652C96">
        <w:rPr>
          <w:rStyle w:val="Strong"/>
          <w:rFonts w:asciiTheme="minorHAnsi" w:hAnsiTheme="minorHAnsi" w:cstheme="minorHAnsi"/>
          <w:b w:val="0"/>
          <w:sz w:val="22"/>
          <w:szCs w:val="22"/>
        </w:rPr>
        <w:t xml:space="preserve">lobal </w:t>
      </w:r>
      <w:r>
        <w:rPr>
          <w:rStyle w:val="Strong"/>
          <w:rFonts w:asciiTheme="minorHAnsi" w:hAnsiTheme="minorHAnsi" w:cstheme="minorHAnsi"/>
          <w:b w:val="0"/>
          <w:sz w:val="22"/>
          <w:szCs w:val="22"/>
        </w:rPr>
        <w:t>L</w:t>
      </w:r>
      <w:r w:rsidRPr="00652C96">
        <w:rPr>
          <w:rStyle w:val="Strong"/>
          <w:rFonts w:asciiTheme="minorHAnsi" w:hAnsiTheme="minorHAnsi" w:cstheme="minorHAnsi"/>
          <w:b w:val="0"/>
          <w:sz w:val="22"/>
          <w:szCs w:val="22"/>
        </w:rPr>
        <w:t>eader in sustainability</w:t>
      </w:r>
      <w:r>
        <w:rPr>
          <w:rStyle w:val="Strong"/>
          <w:rFonts w:asciiTheme="minorHAnsi" w:hAnsiTheme="minorHAnsi" w:cstheme="minorHAnsi"/>
          <w:b w:val="0"/>
          <w:sz w:val="22"/>
          <w:szCs w:val="22"/>
        </w:rPr>
        <w:t xml:space="preserve"> - </w:t>
      </w:r>
      <w:r w:rsidRPr="00652C96">
        <w:rPr>
          <w:rStyle w:val="Strong"/>
          <w:rFonts w:asciiTheme="minorHAnsi" w:hAnsiTheme="minorHAnsi" w:cstheme="minorHAnsi"/>
          <w:b w:val="0"/>
          <w:sz w:val="22"/>
          <w:szCs w:val="22"/>
        </w:rPr>
        <w:t>Dow Jones Sustaina</w:t>
      </w:r>
      <w:r>
        <w:rPr>
          <w:rStyle w:val="Strong"/>
          <w:rFonts w:asciiTheme="minorHAnsi" w:hAnsiTheme="minorHAnsi" w:cstheme="minorHAnsi"/>
          <w:b w:val="0"/>
          <w:sz w:val="22"/>
          <w:szCs w:val="22"/>
        </w:rPr>
        <w:t>bility World Index 2014</w:t>
      </w:r>
    </w:p>
    <w:p w:rsidR="0084282A" w:rsidRPr="001E284A" w:rsidRDefault="0084282A" w:rsidP="0084282A">
      <w:pPr>
        <w:pStyle w:val="ListParagraph"/>
        <w:numPr>
          <w:ilvl w:val="0"/>
          <w:numId w:val="22"/>
        </w:numPr>
        <w:tabs>
          <w:tab w:val="left" w:pos="10440"/>
        </w:tabs>
        <w:ind w:right="440"/>
        <w:rPr>
          <w:rStyle w:val="Strong"/>
          <w:rFonts w:asciiTheme="minorHAnsi" w:hAnsiTheme="minorHAnsi" w:cstheme="minorHAnsi"/>
          <w:b w:val="0"/>
          <w:sz w:val="22"/>
          <w:szCs w:val="22"/>
        </w:rPr>
      </w:pPr>
      <w:r w:rsidRPr="001E284A">
        <w:rPr>
          <w:rStyle w:val="Strong"/>
          <w:rFonts w:asciiTheme="minorHAnsi" w:hAnsiTheme="minorHAnsi" w:cstheme="minorHAnsi"/>
          <w:b w:val="0"/>
          <w:sz w:val="22"/>
          <w:szCs w:val="22"/>
        </w:rPr>
        <w:t xml:space="preserve">Ranked Number One of Top 100 Companies in Asia in Sustainability Ranking </w:t>
      </w:r>
    </w:p>
    <w:p w:rsidR="0084282A" w:rsidRPr="00C91289" w:rsidRDefault="0084282A" w:rsidP="004D5947">
      <w:pPr>
        <w:autoSpaceDE w:val="0"/>
        <w:autoSpaceDN w:val="0"/>
        <w:adjustRightInd w:val="0"/>
        <w:spacing w:before="120" w:after="120" w:line="240" w:lineRule="atLeast"/>
        <w:ind w:right="461"/>
        <w:jc w:val="both"/>
        <w:outlineLvl w:val="0"/>
        <w:rPr>
          <w:rFonts w:asciiTheme="minorHAnsi" w:hAnsiTheme="minorHAnsi" w:cstheme="minorHAnsi"/>
          <w:b/>
          <w:sz w:val="22"/>
          <w:szCs w:val="24"/>
        </w:rPr>
      </w:pPr>
      <w:r w:rsidRPr="00C91289">
        <w:rPr>
          <w:rFonts w:asciiTheme="minorHAnsi" w:hAnsiTheme="minorHAnsi" w:cstheme="minorHAnsi"/>
          <w:b/>
          <w:sz w:val="22"/>
          <w:szCs w:val="24"/>
        </w:rPr>
        <w:t xml:space="preserve">Leadership: </w:t>
      </w:r>
    </w:p>
    <w:p w:rsidR="0084282A" w:rsidRPr="00C91289" w:rsidRDefault="0084282A" w:rsidP="0084282A">
      <w:pPr>
        <w:rPr>
          <w:rFonts w:asciiTheme="minorHAnsi" w:hAnsiTheme="minorHAnsi" w:cstheme="minorHAnsi"/>
          <w:sz w:val="22"/>
          <w:szCs w:val="22"/>
        </w:rPr>
      </w:pPr>
      <w:r w:rsidRPr="00C91289">
        <w:rPr>
          <w:rFonts w:asciiTheme="minorHAnsi" w:hAnsiTheme="minorHAnsi" w:cstheme="minorHAnsi"/>
          <w:sz w:val="22"/>
          <w:szCs w:val="22"/>
        </w:rPr>
        <w:t xml:space="preserve">N Chandrasekaran: </w:t>
      </w:r>
    </w:p>
    <w:p w:rsidR="008D5CD7" w:rsidRPr="004D5947" w:rsidRDefault="0084282A" w:rsidP="008D5CD7">
      <w:pPr>
        <w:pStyle w:val="ListParagraph"/>
        <w:numPr>
          <w:ilvl w:val="0"/>
          <w:numId w:val="23"/>
        </w:numPr>
        <w:tabs>
          <w:tab w:val="left" w:pos="10440"/>
        </w:tabs>
        <w:spacing w:after="200" w:line="276" w:lineRule="auto"/>
        <w:ind w:right="440"/>
        <w:rPr>
          <w:rFonts w:ascii="Calibri" w:hAnsi="Calibri"/>
          <w:b/>
          <w:bCs/>
          <w:sz w:val="22"/>
          <w:szCs w:val="22"/>
        </w:rPr>
      </w:pPr>
      <w:r w:rsidRPr="004D5947">
        <w:rPr>
          <w:rStyle w:val="Strong"/>
          <w:rFonts w:asciiTheme="minorHAnsi" w:hAnsiTheme="minorHAnsi" w:cstheme="minorHAnsi"/>
          <w:b w:val="0"/>
          <w:sz w:val="22"/>
          <w:szCs w:val="24"/>
        </w:rPr>
        <w:t xml:space="preserve">Voted Best CEO in the Institutional Investor's 2014 Annual All-Asia Executive Team Rankings </w:t>
      </w:r>
      <w:r w:rsidR="008D5CD7" w:rsidRPr="004D5947">
        <w:rPr>
          <w:rFonts w:ascii="Calibri" w:hAnsi="Calibri"/>
          <w:b/>
          <w:bCs/>
          <w:sz w:val="22"/>
          <w:szCs w:val="22"/>
        </w:rPr>
        <w:br w:type="page"/>
      </w:r>
    </w:p>
    <w:p w:rsidR="00D61613" w:rsidRPr="003126B0" w:rsidRDefault="00D61613" w:rsidP="00D61613">
      <w:pPr>
        <w:autoSpaceDE w:val="0"/>
        <w:autoSpaceDN w:val="0"/>
        <w:adjustRightInd w:val="0"/>
        <w:jc w:val="center"/>
        <w:rPr>
          <w:rFonts w:asciiTheme="minorHAnsi" w:eastAsiaTheme="minorHAnsi" w:hAnsiTheme="minorHAnsi" w:cstheme="minorHAnsi"/>
          <w:b/>
          <w:sz w:val="22"/>
          <w:szCs w:val="22"/>
        </w:rPr>
      </w:pPr>
      <w:r w:rsidRPr="003126B0">
        <w:rPr>
          <w:rFonts w:asciiTheme="minorHAnsi" w:eastAsiaTheme="minorHAnsi" w:hAnsiTheme="minorHAnsi" w:cstheme="minorHAnsi"/>
          <w:b/>
          <w:color w:val="000000"/>
          <w:sz w:val="22"/>
          <w:szCs w:val="22"/>
        </w:rPr>
        <w:t>Unaudited Condensed Consolidated Statements of Comprehensive Income</w:t>
      </w:r>
    </w:p>
    <w:p w:rsidR="00D61613" w:rsidRPr="003126B0" w:rsidRDefault="00D61613" w:rsidP="00D61613">
      <w:pPr>
        <w:autoSpaceDE w:val="0"/>
        <w:autoSpaceDN w:val="0"/>
        <w:adjustRightInd w:val="0"/>
        <w:jc w:val="center"/>
        <w:rPr>
          <w:rFonts w:asciiTheme="minorHAnsi" w:eastAsiaTheme="minorHAnsi" w:hAnsiTheme="minorHAnsi" w:cstheme="minorHAnsi"/>
          <w:b/>
          <w:sz w:val="22"/>
          <w:szCs w:val="22"/>
        </w:rPr>
      </w:pPr>
      <w:r w:rsidRPr="003126B0">
        <w:rPr>
          <w:rFonts w:asciiTheme="minorHAnsi" w:eastAsiaTheme="minorHAnsi" w:hAnsiTheme="minorHAnsi" w:cstheme="minorHAnsi"/>
          <w:b/>
          <w:color w:val="000000"/>
          <w:sz w:val="22"/>
          <w:szCs w:val="22"/>
        </w:rPr>
        <w:t xml:space="preserve">For the three-month periods ended </w:t>
      </w:r>
      <w:r>
        <w:rPr>
          <w:rFonts w:asciiTheme="minorHAnsi" w:eastAsiaTheme="minorHAnsi" w:hAnsiTheme="minorHAnsi" w:cstheme="minorHAnsi"/>
          <w:b/>
          <w:color w:val="000000"/>
          <w:sz w:val="22"/>
          <w:szCs w:val="22"/>
        </w:rPr>
        <w:t>September</w:t>
      </w:r>
      <w:r w:rsidRPr="003126B0">
        <w:rPr>
          <w:rFonts w:asciiTheme="minorHAnsi" w:eastAsiaTheme="minorHAnsi" w:hAnsiTheme="minorHAnsi" w:cstheme="minorHAnsi"/>
          <w:b/>
          <w:color w:val="000000"/>
          <w:sz w:val="22"/>
          <w:szCs w:val="22"/>
        </w:rPr>
        <w:t xml:space="preserve"> 30, 201</w:t>
      </w:r>
      <w:r>
        <w:rPr>
          <w:rFonts w:asciiTheme="minorHAnsi" w:eastAsiaTheme="minorHAnsi" w:hAnsiTheme="minorHAnsi" w:cstheme="minorHAnsi"/>
          <w:b/>
          <w:color w:val="000000"/>
          <w:sz w:val="22"/>
          <w:szCs w:val="22"/>
        </w:rPr>
        <w:t>3</w:t>
      </w:r>
      <w:r w:rsidRPr="003126B0">
        <w:rPr>
          <w:rFonts w:asciiTheme="minorHAnsi" w:eastAsiaTheme="minorHAnsi" w:hAnsiTheme="minorHAnsi" w:cstheme="minorHAnsi"/>
          <w:b/>
          <w:color w:val="000000"/>
          <w:sz w:val="22"/>
          <w:szCs w:val="22"/>
        </w:rPr>
        <w:t xml:space="preserve">, </w:t>
      </w:r>
      <w:r w:rsidR="00C00AD8">
        <w:rPr>
          <w:rFonts w:asciiTheme="minorHAnsi" w:eastAsiaTheme="minorHAnsi" w:hAnsiTheme="minorHAnsi" w:cstheme="minorHAnsi"/>
          <w:b/>
          <w:color w:val="000000"/>
          <w:sz w:val="22"/>
          <w:szCs w:val="22"/>
        </w:rPr>
        <w:t>June</w:t>
      </w:r>
      <w:r w:rsidRPr="003126B0">
        <w:rPr>
          <w:rFonts w:asciiTheme="minorHAnsi" w:eastAsiaTheme="minorHAnsi" w:hAnsiTheme="minorHAnsi" w:cstheme="minorHAnsi"/>
          <w:b/>
          <w:color w:val="000000"/>
          <w:sz w:val="22"/>
          <w:szCs w:val="22"/>
        </w:rPr>
        <w:t xml:space="preserve"> 3</w:t>
      </w:r>
      <w:r w:rsidR="003270E9">
        <w:rPr>
          <w:rFonts w:asciiTheme="minorHAnsi" w:eastAsiaTheme="minorHAnsi" w:hAnsiTheme="minorHAnsi" w:cstheme="minorHAnsi"/>
          <w:b/>
          <w:color w:val="000000"/>
          <w:sz w:val="22"/>
          <w:szCs w:val="22"/>
        </w:rPr>
        <w:t>0</w:t>
      </w:r>
      <w:r w:rsidRPr="003126B0">
        <w:rPr>
          <w:rFonts w:asciiTheme="minorHAnsi" w:eastAsiaTheme="minorHAnsi" w:hAnsiTheme="minorHAnsi" w:cstheme="minorHAnsi"/>
          <w:b/>
          <w:color w:val="000000"/>
          <w:sz w:val="22"/>
          <w:szCs w:val="22"/>
        </w:rPr>
        <w:t>, 201</w:t>
      </w:r>
      <w:r>
        <w:rPr>
          <w:rFonts w:asciiTheme="minorHAnsi" w:eastAsiaTheme="minorHAnsi" w:hAnsiTheme="minorHAnsi" w:cstheme="minorHAnsi"/>
          <w:b/>
          <w:color w:val="000000"/>
          <w:sz w:val="22"/>
          <w:szCs w:val="22"/>
        </w:rPr>
        <w:t>4</w:t>
      </w:r>
      <w:r w:rsidRPr="003126B0">
        <w:rPr>
          <w:rFonts w:asciiTheme="minorHAnsi" w:eastAsiaTheme="minorHAnsi" w:hAnsiTheme="minorHAnsi" w:cstheme="minorHAnsi"/>
          <w:b/>
          <w:color w:val="000000"/>
          <w:sz w:val="22"/>
          <w:szCs w:val="22"/>
        </w:rPr>
        <w:t xml:space="preserve"> and </w:t>
      </w:r>
      <w:r>
        <w:rPr>
          <w:rFonts w:asciiTheme="minorHAnsi" w:eastAsiaTheme="minorHAnsi" w:hAnsiTheme="minorHAnsi" w:cstheme="minorHAnsi"/>
          <w:b/>
          <w:color w:val="000000"/>
          <w:sz w:val="22"/>
          <w:szCs w:val="22"/>
        </w:rPr>
        <w:t>September</w:t>
      </w:r>
      <w:r w:rsidRPr="003126B0">
        <w:rPr>
          <w:rFonts w:asciiTheme="minorHAnsi" w:eastAsiaTheme="minorHAnsi" w:hAnsiTheme="minorHAnsi" w:cstheme="minorHAnsi"/>
          <w:b/>
          <w:color w:val="000000"/>
          <w:sz w:val="22"/>
          <w:szCs w:val="22"/>
        </w:rPr>
        <w:t xml:space="preserve"> 30, 201</w:t>
      </w:r>
      <w:r>
        <w:rPr>
          <w:rFonts w:asciiTheme="minorHAnsi" w:eastAsiaTheme="minorHAnsi" w:hAnsiTheme="minorHAnsi" w:cstheme="minorHAnsi"/>
          <w:b/>
          <w:color w:val="000000"/>
          <w:sz w:val="22"/>
          <w:szCs w:val="22"/>
        </w:rPr>
        <w:t>4</w:t>
      </w:r>
    </w:p>
    <w:p w:rsidR="00D61613" w:rsidRPr="003126B0" w:rsidRDefault="00D61613" w:rsidP="00D6161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center"/>
        <w:rPr>
          <w:rFonts w:asciiTheme="minorHAnsi" w:eastAsiaTheme="minorHAnsi" w:hAnsiTheme="minorHAnsi" w:cstheme="minorHAnsi"/>
          <w:color w:val="000000"/>
          <w:sz w:val="22"/>
          <w:szCs w:val="22"/>
        </w:rPr>
      </w:pPr>
      <w:r w:rsidRPr="003126B0">
        <w:rPr>
          <w:rFonts w:asciiTheme="minorHAnsi" w:eastAsiaTheme="minorHAnsi" w:hAnsiTheme="minorHAnsi" w:cstheme="minorHAnsi"/>
          <w:b/>
          <w:color w:val="000000"/>
          <w:sz w:val="22"/>
          <w:szCs w:val="22"/>
        </w:rPr>
        <w:t>(In millions of USD, except per share data)</w:t>
      </w:r>
    </w:p>
    <w:p w:rsidR="00D61613" w:rsidRPr="003126B0" w:rsidRDefault="00D61613" w:rsidP="00D6161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both"/>
        <w:rPr>
          <w:rFonts w:asciiTheme="minorHAnsi" w:eastAsiaTheme="minorHAnsi" w:hAnsiTheme="minorHAnsi" w:cstheme="minorHAnsi"/>
          <w:color w:val="000000"/>
          <w:sz w:val="22"/>
          <w:szCs w:val="22"/>
        </w:rPr>
      </w:pPr>
    </w:p>
    <w:tbl>
      <w:tblPr>
        <w:tblStyle w:val="MediumGrid1"/>
        <w:tblW w:w="0" w:type="auto"/>
        <w:tblInd w:w="288" w:type="dxa"/>
        <w:tblLook w:val="06A0" w:firstRow="1" w:lastRow="0" w:firstColumn="1" w:lastColumn="0" w:noHBand="1" w:noVBand="1"/>
      </w:tblPr>
      <w:tblGrid>
        <w:gridCol w:w="3600"/>
        <w:gridCol w:w="2070"/>
        <w:gridCol w:w="1980"/>
        <w:gridCol w:w="2070"/>
      </w:tblGrid>
      <w:tr w:rsidR="00D61613" w:rsidRPr="003126B0" w:rsidTr="00C00AD8">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p>
        </w:tc>
        <w:tc>
          <w:tcPr>
            <w:tcW w:w="2070" w:type="dxa"/>
            <w:shd w:val="clear" w:color="auto" w:fill="FFFFFF" w:themeFill="background1"/>
          </w:tcPr>
          <w:p w:rsidR="00D61613" w:rsidRPr="003126B0" w:rsidRDefault="00D61613" w:rsidP="00CE1F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Three-month period ended </w:t>
            </w:r>
            <w:r>
              <w:rPr>
                <w:rFonts w:asciiTheme="minorHAnsi" w:eastAsiaTheme="minorHAnsi" w:hAnsiTheme="minorHAnsi" w:cstheme="minorHAnsi"/>
                <w:sz w:val="22"/>
                <w:szCs w:val="22"/>
              </w:rPr>
              <w:t>September</w:t>
            </w:r>
            <w:r w:rsidRPr="003126B0">
              <w:rPr>
                <w:rFonts w:asciiTheme="minorHAnsi" w:eastAsiaTheme="minorHAnsi" w:hAnsiTheme="minorHAnsi" w:cstheme="minorHAnsi"/>
                <w:sz w:val="22"/>
                <w:szCs w:val="22"/>
              </w:rPr>
              <w:t xml:space="preserve"> 30, 2013</w:t>
            </w:r>
          </w:p>
        </w:tc>
        <w:tc>
          <w:tcPr>
            <w:tcW w:w="1980" w:type="dxa"/>
          </w:tcPr>
          <w:p w:rsidR="00D61613" w:rsidRPr="003126B0" w:rsidRDefault="00D61613" w:rsidP="003270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Three-month period ended </w:t>
            </w:r>
            <w:r w:rsidR="00C00AD8">
              <w:rPr>
                <w:rFonts w:asciiTheme="minorHAnsi" w:eastAsiaTheme="minorHAnsi" w:hAnsiTheme="minorHAnsi" w:cstheme="minorHAnsi"/>
                <w:sz w:val="22"/>
                <w:szCs w:val="22"/>
              </w:rPr>
              <w:t>June</w:t>
            </w:r>
            <w:r w:rsidRPr="003126B0">
              <w:rPr>
                <w:rFonts w:asciiTheme="minorHAnsi" w:eastAsiaTheme="minorHAnsi" w:hAnsiTheme="minorHAnsi" w:cstheme="minorHAnsi"/>
                <w:sz w:val="22"/>
                <w:szCs w:val="22"/>
              </w:rPr>
              <w:t xml:space="preserve"> 3</w:t>
            </w:r>
            <w:r w:rsidR="003270E9">
              <w:rPr>
                <w:rFonts w:asciiTheme="minorHAnsi" w:eastAsiaTheme="minorHAnsi" w:hAnsiTheme="minorHAnsi" w:cstheme="minorHAnsi"/>
                <w:sz w:val="22"/>
                <w:szCs w:val="22"/>
              </w:rPr>
              <w:t>0</w:t>
            </w:r>
            <w:r w:rsidRPr="003126B0">
              <w:rPr>
                <w:rFonts w:asciiTheme="minorHAnsi" w:eastAsiaTheme="minorHAnsi" w:hAnsiTheme="minorHAnsi" w:cstheme="minorHAnsi"/>
                <w:sz w:val="22"/>
                <w:szCs w:val="22"/>
              </w:rPr>
              <w:t>, 201</w:t>
            </w:r>
            <w:r>
              <w:rPr>
                <w:rFonts w:asciiTheme="minorHAnsi" w:eastAsiaTheme="minorHAnsi" w:hAnsiTheme="minorHAnsi" w:cstheme="minorHAnsi"/>
                <w:sz w:val="22"/>
                <w:szCs w:val="22"/>
              </w:rPr>
              <w:t>4</w:t>
            </w:r>
          </w:p>
        </w:tc>
        <w:tc>
          <w:tcPr>
            <w:tcW w:w="2070" w:type="dxa"/>
          </w:tcPr>
          <w:p w:rsidR="00D61613" w:rsidRPr="003126B0" w:rsidRDefault="00D61613" w:rsidP="00CE1F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Three-month period ended </w:t>
            </w:r>
            <w:r>
              <w:rPr>
                <w:rFonts w:asciiTheme="minorHAnsi" w:eastAsiaTheme="minorHAnsi" w:hAnsiTheme="minorHAnsi" w:cstheme="minorHAnsi"/>
                <w:sz w:val="22"/>
                <w:szCs w:val="22"/>
              </w:rPr>
              <w:t>September</w:t>
            </w:r>
            <w:r w:rsidRPr="003126B0">
              <w:rPr>
                <w:rFonts w:asciiTheme="minorHAnsi" w:eastAsiaTheme="minorHAnsi" w:hAnsiTheme="minorHAnsi" w:cstheme="minorHAnsi"/>
                <w:sz w:val="22"/>
                <w:szCs w:val="22"/>
              </w:rPr>
              <w:t xml:space="preserve"> 30, 201</w:t>
            </w:r>
            <w:r>
              <w:rPr>
                <w:rFonts w:asciiTheme="minorHAnsi" w:eastAsiaTheme="minorHAnsi" w:hAnsiTheme="minorHAnsi" w:cstheme="minorHAnsi"/>
                <w:sz w:val="22"/>
                <w:szCs w:val="22"/>
              </w:rPr>
              <w:t>4</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Revenue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3,337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3,694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3,929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Cost of revenue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1,735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2,045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2,184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Gross margin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1,602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1,649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1,745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SG &amp; A expenses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595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677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690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Operating income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1,007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972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1,055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Other income (expense), net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136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93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Income before income taxes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993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1,108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1,148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Income taxes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248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256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265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Income after income taxes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745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852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883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Minority interest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5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7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11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Net income </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740 </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845 </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872 </w:t>
            </w:r>
          </w:p>
        </w:tc>
      </w:tr>
      <w:tr w:rsidR="00D61613" w:rsidRPr="003126B0" w:rsidTr="00C00AD8">
        <w:trPr>
          <w:trHeight w:val="230"/>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Earnings per share in </w:t>
            </w:r>
            <w:r>
              <w:rPr>
                <w:rFonts w:asciiTheme="minorHAnsi" w:eastAsiaTheme="minorHAnsi" w:hAnsiTheme="minorHAnsi" w:cstheme="minorHAnsi"/>
                <w:sz w:val="22"/>
                <w:szCs w:val="22"/>
              </w:rPr>
              <w:t>USD</w:t>
            </w:r>
          </w:p>
        </w:tc>
        <w:tc>
          <w:tcPr>
            <w:tcW w:w="2070" w:type="dxa"/>
            <w:shd w:val="clear" w:color="auto" w:fill="FFFFFF" w:themeFill="background1"/>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0.38</w:t>
            </w:r>
          </w:p>
        </w:tc>
        <w:tc>
          <w:tcPr>
            <w:tcW w:w="198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0.43</w:t>
            </w:r>
          </w:p>
        </w:tc>
        <w:tc>
          <w:tcPr>
            <w:tcW w:w="2070" w:type="dxa"/>
          </w:tcPr>
          <w:p w:rsidR="00D61613" w:rsidRDefault="00D61613"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r>
    </w:tbl>
    <w:p w:rsidR="00D61613" w:rsidRPr="003126B0" w:rsidRDefault="00D61613" w:rsidP="00D6161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both"/>
        <w:rPr>
          <w:rFonts w:asciiTheme="minorHAnsi" w:eastAsiaTheme="minorHAnsi" w:hAnsiTheme="minorHAnsi" w:cstheme="minorHAnsi"/>
          <w:color w:val="000000"/>
          <w:sz w:val="22"/>
          <w:szCs w:val="22"/>
        </w:rPr>
      </w:pPr>
    </w:p>
    <w:p w:rsidR="00D61613" w:rsidRPr="003126B0" w:rsidRDefault="00D61613" w:rsidP="00D61613">
      <w:pPr>
        <w:autoSpaceDE w:val="0"/>
        <w:autoSpaceDN w:val="0"/>
        <w:adjustRightInd w:val="0"/>
        <w:jc w:val="center"/>
        <w:rPr>
          <w:rFonts w:asciiTheme="minorHAnsi" w:eastAsiaTheme="minorHAnsi" w:hAnsiTheme="minorHAnsi" w:cstheme="minorHAnsi"/>
          <w:b/>
          <w:sz w:val="22"/>
          <w:szCs w:val="22"/>
        </w:rPr>
      </w:pPr>
      <w:r w:rsidRPr="003126B0">
        <w:rPr>
          <w:rFonts w:asciiTheme="minorHAnsi" w:eastAsiaTheme="minorHAnsi" w:hAnsiTheme="minorHAnsi" w:cstheme="minorHAnsi"/>
          <w:b/>
          <w:color w:val="000000"/>
          <w:sz w:val="22"/>
          <w:szCs w:val="22"/>
        </w:rPr>
        <w:t>Unaudited Condensed Consolidated Statements of Financial Position</w:t>
      </w:r>
    </w:p>
    <w:p w:rsidR="00D61613" w:rsidRPr="003126B0" w:rsidRDefault="00D61613" w:rsidP="00D61613">
      <w:pPr>
        <w:autoSpaceDE w:val="0"/>
        <w:autoSpaceDN w:val="0"/>
        <w:adjustRightInd w:val="0"/>
        <w:jc w:val="center"/>
        <w:rPr>
          <w:rFonts w:asciiTheme="minorHAnsi" w:eastAsiaTheme="minorHAnsi" w:hAnsiTheme="minorHAnsi" w:cstheme="minorHAnsi"/>
          <w:b/>
          <w:sz w:val="22"/>
          <w:szCs w:val="22"/>
        </w:rPr>
      </w:pPr>
      <w:r w:rsidRPr="003126B0">
        <w:rPr>
          <w:rFonts w:asciiTheme="minorHAnsi" w:eastAsiaTheme="minorHAnsi" w:hAnsiTheme="minorHAnsi" w:cstheme="minorHAnsi"/>
          <w:b/>
          <w:color w:val="000000"/>
          <w:sz w:val="22"/>
          <w:szCs w:val="22"/>
        </w:rPr>
        <w:t>As of March 31, 201</w:t>
      </w:r>
      <w:r>
        <w:rPr>
          <w:rFonts w:asciiTheme="minorHAnsi" w:eastAsiaTheme="minorHAnsi" w:hAnsiTheme="minorHAnsi" w:cstheme="minorHAnsi"/>
          <w:b/>
          <w:color w:val="000000"/>
          <w:sz w:val="22"/>
          <w:szCs w:val="22"/>
        </w:rPr>
        <w:t>4 and</w:t>
      </w:r>
      <w:r w:rsidRPr="003126B0">
        <w:rPr>
          <w:rFonts w:asciiTheme="minorHAnsi" w:eastAsiaTheme="minorHAnsi" w:hAnsiTheme="minorHAnsi" w:cstheme="minorHAnsi"/>
          <w:b/>
          <w:color w:val="000000"/>
          <w:sz w:val="22"/>
          <w:szCs w:val="22"/>
        </w:rPr>
        <w:t xml:space="preserve"> </w:t>
      </w:r>
      <w:r>
        <w:rPr>
          <w:rFonts w:asciiTheme="minorHAnsi" w:eastAsiaTheme="minorHAnsi" w:hAnsiTheme="minorHAnsi" w:cstheme="minorHAnsi"/>
          <w:b/>
          <w:color w:val="000000"/>
          <w:sz w:val="22"/>
          <w:szCs w:val="22"/>
        </w:rPr>
        <w:t>September</w:t>
      </w:r>
      <w:r w:rsidRPr="003126B0">
        <w:rPr>
          <w:rFonts w:asciiTheme="minorHAnsi" w:eastAsiaTheme="minorHAnsi" w:hAnsiTheme="minorHAnsi" w:cstheme="minorHAnsi"/>
          <w:b/>
          <w:color w:val="000000"/>
          <w:sz w:val="22"/>
          <w:szCs w:val="22"/>
        </w:rPr>
        <w:t xml:space="preserve"> 30, 201</w:t>
      </w:r>
      <w:r>
        <w:rPr>
          <w:rFonts w:asciiTheme="minorHAnsi" w:eastAsiaTheme="minorHAnsi" w:hAnsiTheme="minorHAnsi" w:cstheme="minorHAnsi"/>
          <w:b/>
          <w:color w:val="000000"/>
          <w:sz w:val="22"/>
          <w:szCs w:val="22"/>
        </w:rPr>
        <w:t>4</w:t>
      </w:r>
    </w:p>
    <w:p w:rsidR="00D61613" w:rsidRDefault="00D61613" w:rsidP="00D6161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center"/>
        <w:rPr>
          <w:rFonts w:asciiTheme="minorHAnsi" w:eastAsiaTheme="minorHAnsi" w:hAnsiTheme="minorHAnsi" w:cstheme="minorHAnsi"/>
          <w:b/>
          <w:color w:val="000000"/>
          <w:sz w:val="22"/>
          <w:szCs w:val="22"/>
        </w:rPr>
      </w:pPr>
      <w:r w:rsidRPr="003126B0">
        <w:rPr>
          <w:rFonts w:asciiTheme="minorHAnsi" w:eastAsiaTheme="minorHAnsi" w:hAnsiTheme="minorHAnsi" w:cstheme="minorHAnsi"/>
          <w:b/>
          <w:color w:val="000000"/>
          <w:sz w:val="22"/>
          <w:szCs w:val="22"/>
        </w:rPr>
        <w:t>(In millions of USD)</w:t>
      </w:r>
    </w:p>
    <w:p w:rsidR="00D61613" w:rsidRPr="003126B0" w:rsidRDefault="00D61613" w:rsidP="00D6161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center"/>
        <w:rPr>
          <w:rFonts w:asciiTheme="minorHAnsi" w:eastAsiaTheme="minorHAnsi" w:hAnsiTheme="minorHAnsi" w:cstheme="minorHAnsi"/>
          <w:color w:val="000000"/>
          <w:sz w:val="22"/>
          <w:szCs w:val="22"/>
        </w:rPr>
      </w:pPr>
    </w:p>
    <w:tbl>
      <w:tblPr>
        <w:tblStyle w:val="MediumGrid1"/>
        <w:tblW w:w="0" w:type="auto"/>
        <w:tblInd w:w="288" w:type="dxa"/>
        <w:tblLayout w:type="fixed"/>
        <w:tblLook w:val="06A0" w:firstRow="1" w:lastRow="0" w:firstColumn="1" w:lastColumn="0" w:noHBand="1" w:noVBand="1"/>
      </w:tblPr>
      <w:tblGrid>
        <w:gridCol w:w="4159"/>
        <w:gridCol w:w="2790"/>
        <w:gridCol w:w="2970"/>
      </w:tblGrid>
      <w:tr w:rsidR="00D61613" w:rsidRPr="003126B0" w:rsidTr="00CE1FDF">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sz w:val="22"/>
                <w:szCs w:val="22"/>
              </w:rPr>
            </w:pPr>
          </w:p>
        </w:tc>
        <w:tc>
          <w:tcPr>
            <w:tcW w:w="2790" w:type="dxa"/>
            <w:shd w:val="clear" w:color="auto" w:fill="FFFFFF" w:themeFill="background1"/>
          </w:tcPr>
          <w:p w:rsidR="00D61613" w:rsidRPr="003126B0" w:rsidRDefault="00D61613" w:rsidP="00CE1F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As of March 31, 201</w:t>
            </w:r>
            <w:r>
              <w:rPr>
                <w:rFonts w:asciiTheme="minorHAnsi" w:eastAsiaTheme="minorHAnsi" w:hAnsiTheme="minorHAnsi" w:cstheme="minorHAnsi"/>
                <w:sz w:val="22"/>
                <w:szCs w:val="22"/>
              </w:rPr>
              <w:t>4</w:t>
            </w:r>
          </w:p>
        </w:tc>
        <w:tc>
          <w:tcPr>
            <w:tcW w:w="2970" w:type="dxa"/>
          </w:tcPr>
          <w:p w:rsidR="00D61613" w:rsidRPr="003126B0" w:rsidRDefault="00D61613" w:rsidP="00CE1F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As of </w:t>
            </w:r>
            <w:r>
              <w:rPr>
                <w:rFonts w:asciiTheme="minorHAnsi" w:eastAsiaTheme="minorHAnsi" w:hAnsiTheme="minorHAnsi" w:cstheme="minorHAnsi"/>
                <w:sz w:val="22"/>
                <w:szCs w:val="22"/>
              </w:rPr>
              <w:t>September 30, 2014</w:t>
            </w:r>
          </w:p>
        </w:tc>
      </w:tr>
      <w:tr w:rsidR="00D61613"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9919" w:type="dxa"/>
            <w:gridSpan w:val="3"/>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Assets</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Property and equipment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1,726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1,808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Intangible assets and Goodwill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692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658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Accounts Receivable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3,035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3,226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Unbilled Revenues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667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737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Investments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576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111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Cash and Cash equivalents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245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231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Other current assets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3,012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2,712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34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Other non current assets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1,520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1,238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Total Assets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11,473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10,721 </w:t>
            </w:r>
          </w:p>
        </w:tc>
      </w:tr>
      <w:tr w:rsidR="00D61613"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9919" w:type="dxa"/>
            <w:gridSpan w:val="3"/>
            <w:shd w:val="clear" w:color="auto" w:fill="FFFFFF" w:themeFill="background1"/>
          </w:tcPr>
          <w:p w:rsidR="00D61613" w:rsidRPr="003126B0" w:rsidRDefault="00D61613"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Liabilities and Shareholders' Equity</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702" w:hanging="43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Shareholders' Funds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9,213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8,218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702" w:hanging="43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Long term borrowings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21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23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702" w:hanging="43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Short term borrowings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28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20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702" w:hanging="43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Other current liabilities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1,816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2,015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702" w:hanging="43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Other non-current liabilities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280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310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ind w:left="702" w:hanging="432"/>
              <w:rPr>
                <w:rFonts w:asciiTheme="minorHAnsi" w:eastAsiaTheme="minorHAnsi" w:hAnsiTheme="minorHAnsi" w:cstheme="minorHAnsi"/>
                <w:sz w:val="22"/>
                <w:szCs w:val="22"/>
              </w:rPr>
            </w:pPr>
            <w:r w:rsidRPr="003126B0">
              <w:rPr>
                <w:rFonts w:asciiTheme="minorHAnsi" w:eastAsiaTheme="minorHAnsi" w:hAnsiTheme="minorHAnsi" w:cstheme="minorHAnsi"/>
                <w:sz w:val="22"/>
                <w:szCs w:val="22"/>
              </w:rPr>
              <w:t xml:space="preserve"> Minority Interest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115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135 </w:t>
            </w:r>
          </w:p>
        </w:tc>
      </w:tr>
      <w:tr w:rsidR="00CB6205" w:rsidRPr="003126B0" w:rsidTr="00CE1FDF">
        <w:trPr>
          <w:trHeight w:val="230"/>
        </w:trPr>
        <w:tc>
          <w:tcPr>
            <w:cnfStyle w:val="001000000000" w:firstRow="0" w:lastRow="0" w:firstColumn="1" w:lastColumn="0" w:oddVBand="0" w:evenVBand="0" w:oddHBand="0" w:evenHBand="0" w:firstRowFirstColumn="0" w:firstRowLastColumn="0" w:lastRowFirstColumn="0" w:lastRowLastColumn="0"/>
            <w:tcW w:w="4159" w:type="dxa"/>
            <w:shd w:val="clear" w:color="auto" w:fill="FFFFFF" w:themeFill="background1"/>
          </w:tcPr>
          <w:p w:rsidR="00CB6205" w:rsidRPr="003126B0" w:rsidRDefault="00CB6205" w:rsidP="00CE1FDF">
            <w:pPr>
              <w:autoSpaceDE w:val="0"/>
              <w:autoSpaceDN w:val="0"/>
              <w:adjustRightInd w:val="0"/>
              <w:rPr>
                <w:rFonts w:asciiTheme="minorHAnsi" w:eastAsiaTheme="minorHAnsi" w:hAnsiTheme="minorHAnsi" w:cstheme="minorHAnsi"/>
                <w:b w:val="0"/>
                <w:bCs w:val="0"/>
                <w:sz w:val="22"/>
                <w:szCs w:val="22"/>
              </w:rPr>
            </w:pPr>
            <w:r w:rsidRPr="003126B0">
              <w:rPr>
                <w:rFonts w:asciiTheme="minorHAnsi" w:eastAsiaTheme="minorHAnsi" w:hAnsiTheme="minorHAnsi" w:cstheme="minorHAnsi"/>
                <w:sz w:val="22"/>
                <w:szCs w:val="22"/>
              </w:rPr>
              <w:t xml:space="preserve"> Total Liabilities </w:t>
            </w:r>
          </w:p>
        </w:tc>
        <w:tc>
          <w:tcPr>
            <w:tcW w:w="2790" w:type="dxa"/>
            <w:shd w:val="clear" w:color="auto" w:fill="FFFFFF" w:themeFill="background1"/>
          </w:tcPr>
          <w:p w:rsidR="00CB6205" w:rsidRDefault="00CB6205" w:rsidP="00CE1FDF">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11,473 </w:t>
            </w:r>
          </w:p>
        </w:tc>
        <w:tc>
          <w:tcPr>
            <w:tcW w:w="2970" w:type="dxa"/>
          </w:tcPr>
          <w:p w:rsidR="00CB6205" w:rsidRDefault="00CB62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Pr>
                <w:rFonts w:ascii="Calibri" w:hAnsi="Calibri"/>
                <w:b/>
                <w:bCs/>
                <w:color w:val="000000"/>
                <w:sz w:val="22"/>
                <w:szCs w:val="22"/>
              </w:rPr>
              <w:t xml:space="preserve">10,721 </w:t>
            </w:r>
          </w:p>
        </w:tc>
      </w:tr>
    </w:tbl>
    <w:p w:rsidR="00165BD9" w:rsidRDefault="00165BD9">
      <w:pPr>
        <w:spacing w:after="200" w:line="276" w:lineRule="auto"/>
      </w:pPr>
      <w:r>
        <w:br w:type="page"/>
      </w:r>
    </w:p>
    <w:p w:rsidR="00EE01D3" w:rsidRPr="00961238" w:rsidRDefault="00EE01D3" w:rsidP="00D70F67"/>
    <w:p w:rsidR="000175A0" w:rsidRDefault="000175A0">
      <w:pPr>
        <w:spacing w:after="200" w:line="276" w:lineRule="auto"/>
        <w:rPr>
          <w:rFonts w:asciiTheme="minorHAnsi" w:eastAsiaTheme="minorHAnsi" w:hAnsiTheme="minorHAnsi" w:cstheme="minorHAnsi"/>
          <w:b/>
          <w:color w:val="000000"/>
          <w:sz w:val="22"/>
          <w:szCs w:val="22"/>
        </w:rPr>
      </w:pPr>
    </w:p>
    <w:p w:rsidR="00DC7153" w:rsidRPr="007F3271" w:rsidRDefault="00DC7153" w:rsidP="00DC7153">
      <w:pPr>
        <w:autoSpaceDE w:val="0"/>
        <w:autoSpaceDN w:val="0"/>
        <w:adjustRightInd w:val="0"/>
        <w:spacing w:line="240" w:lineRule="atLeast"/>
        <w:ind w:right="-338"/>
        <w:jc w:val="both"/>
        <w:rPr>
          <w:rFonts w:ascii="Calibri" w:hAnsi="Calibri"/>
          <w:b/>
          <w:bCs/>
          <w:sz w:val="21"/>
          <w:szCs w:val="21"/>
        </w:rPr>
      </w:pPr>
      <w:r w:rsidRPr="007F3271">
        <w:rPr>
          <w:rFonts w:ascii="Calibri" w:hAnsi="Calibri"/>
          <w:b/>
          <w:bCs/>
          <w:sz w:val="21"/>
          <w:szCs w:val="21"/>
        </w:rPr>
        <w:t>About Tata Consultancy Services Ltd (TCS)</w:t>
      </w:r>
    </w:p>
    <w:p w:rsidR="001F449C" w:rsidRPr="001E284A" w:rsidRDefault="001F449C" w:rsidP="001F449C">
      <w:pPr>
        <w:ind w:left="90" w:right="25"/>
        <w:jc w:val="both"/>
        <w:rPr>
          <w:rFonts w:asciiTheme="minorHAnsi" w:hAnsiTheme="minorHAnsi" w:cstheme="minorHAnsi"/>
          <w:bCs/>
          <w:sz w:val="22"/>
          <w:szCs w:val="22"/>
        </w:rPr>
      </w:pPr>
      <w:r w:rsidRPr="001E284A">
        <w:rPr>
          <w:rFonts w:asciiTheme="minorHAnsi" w:eastAsiaTheme="minorHAnsi" w:hAnsiTheme="minorHAnsi" w:cstheme="minorHAnsi"/>
          <w:color w:val="000000"/>
          <w:sz w:val="22"/>
          <w:szCs w:val="22"/>
        </w:rPr>
        <w:t>Tata Consultancy Services is an </w:t>
      </w:r>
      <w:hyperlink r:id="rId9" w:history="1">
        <w:r w:rsidRPr="001E284A">
          <w:rPr>
            <w:rStyle w:val="Hyperlink"/>
            <w:rFonts w:asciiTheme="minorHAnsi" w:eastAsiaTheme="minorHAnsi" w:hAnsiTheme="minorHAnsi" w:cstheme="minorHAnsi"/>
            <w:sz w:val="22"/>
            <w:szCs w:val="22"/>
          </w:rPr>
          <w:t>IT services</w:t>
        </w:r>
      </w:hyperlink>
      <w:r w:rsidRPr="001E284A">
        <w:rPr>
          <w:rFonts w:asciiTheme="minorHAnsi" w:eastAsiaTheme="minorHAnsi" w:hAnsiTheme="minorHAnsi" w:cstheme="minorHAnsi"/>
          <w:color w:val="000000"/>
          <w:sz w:val="22"/>
          <w:szCs w:val="22"/>
        </w:rPr>
        <w:t>, </w:t>
      </w:r>
      <w:hyperlink r:id="rId10" w:history="1">
        <w:r w:rsidRPr="001E284A">
          <w:rPr>
            <w:rStyle w:val="Hyperlink"/>
            <w:rFonts w:asciiTheme="minorHAnsi" w:eastAsiaTheme="minorHAnsi" w:hAnsiTheme="minorHAnsi" w:cstheme="minorHAnsi"/>
            <w:sz w:val="22"/>
            <w:szCs w:val="22"/>
          </w:rPr>
          <w:t>consulting</w:t>
        </w:r>
      </w:hyperlink>
      <w:r w:rsidRPr="001E284A">
        <w:rPr>
          <w:rFonts w:asciiTheme="minorHAnsi" w:eastAsiaTheme="minorHAnsi" w:hAnsiTheme="minorHAnsi" w:cstheme="minorHAnsi"/>
          <w:color w:val="000000"/>
          <w:sz w:val="22"/>
          <w:szCs w:val="22"/>
        </w:rPr>
        <w:t> and business solutions organization that delivers real results to global business, ensuring a level of certainty no other firm can match. TCS offers a consulting-led, integrated portfolio of </w:t>
      </w:r>
      <w:hyperlink r:id="rId11" w:history="1">
        <w:r w:rsidRPr="001E284A">
          <w:rPr>
            <w:rStyle w:val="Hyperlink"/>
            <w:rFonts w:asciiTheme="minorHAnsi" w:eastAsiaTheme="minorHAnsi" w:hAnsiTheme="minorHAnsi" w:cstheme="minorHAnsi"/>
            <w:sz w:val="22"/>
            <w:szCs w:val="22"/>
          </w:rPr>
          <w:t>IT</w:t>
        </w:r>
      </w:hyperlink>
      <w:r w:rsidRPr="001E284A">
        <w:rPr>
          <w:rFonts w:asciiTheme="minorHAnsi" w:eastAsiaTheme="minorHAnsi" w:hAnsiTheme="minorHAnsi" w:cstheme="minorHAnsi"/>
          <w:color w:val="000000"/>
          <w:sz w:val="22"/>
          <w:szCs w:val="22"/>
        </w:rPr>
        <w:t>, </w:t>
      </w:r>
      <w:hyperlink r:id="rId12" w:history="1">
        <w:r w:rsidRPr="001E284A">
          <w:rPr>
            <w:rStyle w:val="Hyperlink"/>
            <w:rFonts w:asciiTheme="minorHAnsi" w:eastAsiaTheme="minorHAnsi" w:hAnsiTheme="minorHAnsi" w:cstheme="minorHAnsi"/>
            <w:sz w:val="22"/>
            <w:szCs w:val="22"/>
          </w:rPr>
          <w:t>BPS</w:t>
        </w:r>
      </w:hyperlink>
      <w:r w:rsidRPr="001E284A">
        <w:rPr>
          <w:rFonts w:asciiTheme="minorHAnsi" w:eastAsiaTheme="minorHAnsi" w:hAnsiTheme="minorHAnsi" w:cstheme="minorHAnsi"/>
          <w:color w:val="000000"/>
          <w:sz w:val="22"/>
          <w:szCs w:val="22"/>
        </w:rPr>
        <w:t>,</w:t>
      </w:r>
      <w:hyperlink r:id="rId13" w:history="1">
        <w:r w:rsidRPr="001E284A">
          <w:rPr>
            <w:rStyle w:val="Hyperlink"/>
            <w:rFonts w:asciiTheme="minorHAnsi" w:eastAsiaTheme="minorHAnsi" w:hAnsiTheme="minorHAnsi" w:cstheme="minorHAnsi"/>
            <w:sz w:val="22"/>
            <w:szCs w:val="22"/>
          </w:rPr>
          <w:t>infrastructure</w:t>
        </w:r>
      </w:hyperlink>
      <w:r w:rsidRPr="001E284A">
        <w:rPr>
          <w:rFonts w:asciiTheme="minorHAnsi" w:eastAsiaTheme="minorHAnsi" w:hAnsiTheme="minorHAnsi" w:cstheme="minorHAnsi"/>
          <w:color w:val="000000"/>
          <w:sz w:val="22"/>
          <w:szCs w:val="22"/>
        </w:rPr>
        <w:t>, </w:t>
      </w:r>
      <w:hyperlink r:id="rId14" w:history="1">
        <w:r w:rsidRPr="001E284A">
          <w:rPr>
            <w:rStyle w:val="Hyperlink"/>
            <w:rFonts w:asciiTheme="minorHAnsi" w:eastAsiaTheme="minorHAnsi" w:hAnsiTheme="minorHAnsi" w:cstheme="minorHAnsi"/>
            <w:sz w:val="22"/>
            <w:szCs w:val="22"/>
          </w:rPr>
          <w:t>engineering</w:t>
        </w:r>
      </w:hyperlink>
      <w:r w:rsidRPr="001E284A">
        <w:rPr>
          <w:rFonts w:asciiTheme="minorHAnsi" w:eastAsiaTheme="minorHAnsi" w:hAnsiTheme="minorHAnsi" w:cstheme="minorHAnsi"/>
          <w:color w:val="000000"/>
          <w:sz w:val="22"/>
          <w:szCs w:val="22"/>
        </w:rPr>
        <w:t> and </w:t>
      </w:r>
      <w:hyperlink r:id="rId15" w:history="1">
        <w:r w:rsidRPr="001E284A">
          <w:rPr>
            <w:rStyle w:val="Hyperlink"/>
            <w:rFonts w:asciiTheme="minorHAnsi" w:eastAsiaTheme="minorHAnsi" w:hAnsiTheme="minorHAnsi" w:cstheme="minorHAnsi"/>
            <w:sz w:val="22"/>
            <w:szCs w:val="22"/>
          </w:rPr>
          <w:t>assurance services</w:t>
        </w:r>
      </w:hyperlink>
      <w:r w:rsidRPr="001E284A">
        <w:rPr>
          <w:rFonts w:asciiTheme="minorHAnsi" w:eastAsiaTheme="minorHAnsi" w:hAnsiTheme="minorHAnsi" w:cstheme="minorHAnsi"/>
          <w:color w:val="000000"/>
          <w:sz w:val="22"/>
          <w:szCs w:val="22"/>
        </w:rPr>
        <w:t>. This is delivered through its unique </w:t>
      </w:r>
      <w:hyperlink r:id="rId16" w:history="1">
        <w:r w:rsidRPr="001E284A">
          <w:rPr>
            <w:rStyle w:val="Hyperlink"/>
            <w:rFonts w:asciiTheme="minorHAnsi" w:eastAsiaTheme="minorHAnsi" w:hAnsiTheme="minorHAnsi" w:cstheme="minorHAnsi"/>
            <w:sz w:val="22"/>
            <w:szCs w:val="22"/>
          </w:rPr>
          <w:t>Global Network Delivery Model</w:t>
        </w:r>
      </w:hyperlink>
      <w:r w:rsidRPr="001E284A">
        <w:rPr>
          <w:rFonts w:asciiTheme="minorHAnsi" w:eastAsiaTheme="minorHAnsi" w:hAnsiTheme="minorHAnsi" w:cstheme="minorHAnsi"/>
          <w:color w:val="000000"/>
          <w:sz w:val="22"/>
          <w:szCs w:val="22"/>
        </w:rPr>
        <w:t xml:space="preserve">™, recognized as the benchmark of excellence in software development. A part of the Tata group, India’s largest industrial conglomerate, TCS has over </w:t>
      </w:r>
      <w:r w:rsidR="008F56E9">
        <w:rPr>
          <w:rFonts w:asciiTheme="minorHAnsi" w:eastAsiaTheme="minorHAnsi" w:hAnsiTheme="minorHAnsi" w:cstheme="minorHAnsi"/>
          <w:color w:val="000000"/>
          <w:sz w:val="22"/>
          <w:szCs w:val="22"/>
        </w:rPr>
        <w:t>310,000</w:t>
      </w:r>
      <w:r w:rsidRPr="001E284A">
        <w:rPr>
          <w:rFonts w:asciiTheme="minorHAnsi" w:eastAsiaTheme="minorHAnsi" w:hAnsiTheme="minorHAnsi" w:cstheme="minorHAnsi"/>
          <w:color w:val="000000"/>
          <w:sz w:val="22"/>
          <w:szCs w:val="22"/>
        </w:rPr>
        <w:t xml:space="preserve"> of the world’s best-trained consultants in 46 countries. The company generated consolidated revenues of US $13.4 billion for year ended March 31, 2014 and is listed on the National Stock Exchange and Bombay Stock Exchange in India. For more information, visit us at </w:t>
      </w:r>
      <w:hyperlink r:id="rId17" w:history="1">
        <w:r w:rsidRPr="001E284A">
          <w:rPr>
            <w:rStyle w:val="Hyperlink"/>
            <w:rFonts w:asciiTheme="minorHAnsi" w:eastAsiaTheme="minorHAnsi" w:hAnsiTheme="minorHAnsi" w:cstheme="minorHAnsi"/>
            <w:sz w:val="22"/>
            <w:szCs w:val="22"/>
          </w:rPr>
          <w:t>www.tcs.com</w:t>
        </w:r>
      </w:hyperlink>
      <w:r w:rsidRPr="001E284A">
        <w:rPr>
          <w:rFonts w:asciiTheme="minorHAnsi" w:eastAsiaTheme="minorHAnsi" w:hAnsiTheme="minorHAnsi" w:cstheme="minorHAnsi"/>
          <w:color w:val="000000"/>
          <w:sz w:val="22"/>
          <w:szCs w:val="22"/>
        </w:rPr>
        <w:t>.</w:t>
      </w:r>
    </w:p>
    <w:p w:rsidR="001F449C" w:rsidRPr="001E284A" w:rsidRDefault="001F449C" w:rsidP="001F449C">
      <w:pPr>
        <w:ind w:left="90" w:right="25"/>
        <w:jc w:val="both"/>
        <w:rPr>
          <w:rFonts w:asciiTheme="minorHAnsi" w:eastAsiaTheme="minorHAnsi" w:hAnsiTheme="minorHAnsi" w:cstheme="minorHAnsi"/>
          <w:color w:val="000000"/>
          <w:sz w:val="22"/>
          <w:szCs w:val="22"/>
          <w:lang w:val="en-GB"/>
        </w:rPr>
      </w:pPr>
    </w:p>
    <w:p w:rsidR="001F449C" w:rsidRPr="001E284A" w:rsidRDefault="001F449C" w:rsidP="001F449C">
      <w:pPr>
        <w:ind w:left="90" w:right="25"/>
        <w:jc w:val="both"/>
        <w:rPr>
          <w:rFonts w:asciiTheme="minorHAnsi" w:hAnsiTheme="minorHAnsi" w:cstheme="minorHAnsi"/>
          <w:bCs/>
          <w:sz w:val="22"/>
          <w:szCs w:val="22"/>
        </w:rPr>
      </w:pPr>
      <w:r w:rsidRPr="001E284A">
        <w:rPr>
          <w:rFonts w:asciiTheme="minorHAnsi" w:eastAsiaTheme="minorHAnsi" w:hAnsiTheme="minorHAnsi" w:cstheme="minorHAnsi"/>
          <w:color w:val="000000"/>
          <w:sz w:val="22"/>
          <w:szCs w:val="22"/>
          <w:lang w:val="en-GB"/>
        </w:rPr>
        <w:t xml:space="preserve">Follow TCS on </w:t>
      </w:r>
      <w:hyperlink r:id="rId18" w:history="1">
        <w:r w:rsidRPr="001E284A">
          <w:rPr>
            <w:rStyle w:val="Hyperlink"/>
            <w:rFonts w:asciiTheme="minorHAnsi" w:eastAsiaTheme="minorHAnsi" w:hAnsiTheme="minorHAnsi" w:cstheme="minorHAnsi"/>
            <w:sz w:val="22"/>
            <w:szCs w:val="22"/>
          </w:rPr>
          <w:t>Twitter</w:t>
        </w:r>
      </w:hyperlink>
      <w:r w:rsidRPr="001E284A">
        <w:rPr>
          <w:rFonts w:asciiTheme="minorHAnsi" w:eastAsiaTheme="minorHAnsi" w:hAnsiTheme="minorHAnsi" w:cstheme="minorHAnsi"/>
          <w:color w:val="000000"/>
          <w:sz w:val="22"/>
          <w:szCs w:val="22"/>
          <w:lang w:val="en-GB"/>
        </w:rPr>
        <w:t xml:space="preserve">. </w:t>
      </w:r>
    </w:p>
    <w:p w:rsidR="001F449C" w:rsidRPr="001E284A" w:rsidRDefault="001F449C" w:rsidP="001F449C">
      <w:pPr>
        <w:ind w:left="90" w:right="25"/>
        <w:jc w:val="both"/>
        <w:rPr>
          <w:rFonts w:asciiTheme="minorHAnsi" w:hAnsiTheme="minorHAnsi" w:cstheme="minorHAnsi"/>
          <w:bCs/>
          <w:sz w:val="22"/>
          <w:szCs w:val="22"/>
        </w:rPr>
      </w:pPr>
      <w:r w:rsidRPr="001E284A">
        <w:rPr>
          <w:rFonts w:asciiTheme="minorHAnsi" w:eastAsiaTheme="minorHAnsi" w:hAnsiTheme="minorHAnsi" w:cstheme="minorHAnsi"/>
          <w:color w:val="000000"/>
          <w:sz w:val="22"/>
          <w:szCs w:val="22"/>
          <w:lang w:val="en-GB"/>
        </w:rPr>
        <w:t xml:space="preserve">Subscribe to an </w:t>
      </w:r>
      <w:hyperlink r:id="rId19" w:history="1">
        <w:r w:rsidRPr="001E284A">
          <w:rPr>
            <w:rStyle w:val="Hyperlink"/>
            <w:rFonts w:asciiTheme="minorHAnsi" w:eastAsiaTheme="minorHAnsi" w:hAnsiTheme="minorHAnsi" w:cstheme="minorHAnsi"/>
            <w:sz w:val="22"/>
            <w:szCs w:val="22"/>
          </w:rPr>
          <w:t>RSS Feed</w:t>
        </w:r>
      </w:hyperlink>
      <w:r w:rsidRPr="001E284A">
        <w:rPr>
          <w:rFonts w:asciiTheme="minorHAnsi" w:eastAsiaTheme="minorHAnsi" w:hAnsiTheme="minorHAnsi" w:cstheme="minorHAnsi"/>
          <w:color w:val="000000"/>
          <w:sz w:val="22"/>
          <w:szCs w:val="22"/>
          <w:lang w:val="en-GB"/>
        </w:rPr>
        <w:t xml:space="preserve"> of TCS Press Releases.</w:t>
      </w:r>
    </w:p>
    <w:p w:rsidR="001F449C" w:rsidRPr="00E97A8E" w:rsidRDefault="001F449C" w:rsidP="001F449C">
      <w:pPr>
        <w:tabs>
          <w:tab w:val="left" w:pos="90"/>
        </w:tabs>
        <w:rPr>
          <w:rFonts w:ascii="Calibri" w:hAnsi="Calibri" w:cs="Calibri"/>
          <w:b/>
          <w:bCs/>
          <w:sz w:val="22"/>
          <w:szCs w:val="22"/>
        </w:rPr>
      </w:pPr>
      <w:r>
        <w:rPr>
          <w:rFonts w:ascii="Calibri" w:hAnsi="Calibri" w:cs="Calibri"/>
          <w:b/>
          <w:bCs/>
          <w:sz w:val="22"/>
          <w:szCs w:val="22"/>
        </w:rPr>
        <w:t xml:space="preserve">  </w:t>
      </w:r>
      <w:r w:rsidRPr="00E97A8E">
        <w:rPr>
          <w:rFonts w:ascii="Calibri" w:hAnsi="Calibri" w:cs="Calibri"/>
          <w:b/>
          <w:bCs/>
          <w:sz w:val="22"/>
          <w:szCs w:val="22"/>
        </w:rPr>
        <w:t>For more information please contact:</w:t>
      </w:r>
    </w:p>
    <w:p w:rsidR="001F449C" w:rsidRDefault="001F449C" w:rsidP="00DC7153">
      <w:pPr>
        <w:tabs>
          <w:tab w:val="left" w:pos="90"/>
        </w:tabs>
        <w:ind w:left="180"/>
        <w:rPr>
          <w:rFonts w:ascii="Calibri" w:hAnsi="Calibri" w:cs="Calibri"/>
          <w:b/>
          <w:bCs/>
          <w:sz w:val="22"/>
          <w:szCs w:val="22"/>
        </w:rPr>
      </w:pPr>
    </w:p>
    <w:p w:rsidR="001F449C" w:rsidRDefault="001F449C" w:rsidP="00DC7153">
      <w:pPr>
        <w:tabs>
          <w:tab w:val="left" w:pos="90"/>
        </w:tabs>
        <w:ind w:left="180"/>
        <w:rPr>
          <w:rFonts w:ascii="Calibri" w:hAnsi="Calibri" w:cs="Calibri"/>
          <w:b/>
          <w:bCs/>
          <w:sz w:val="22"/>
          <w:szCs w:val="22"/>
        </w:rPr>
      </w:pPr>
    </w:p>
    <w:p w:rsidR="001F449C" w:rsidRDefault="001F449C" w:rsidP="00DC7153">
      <w:pPr>
        <w:tabs>
          <w:tab w:val="left" w:pos="90"/>
        </w:tabs>
        <w:ind w:left="180"/>
        <w:rPr>
          <w:rFonts w:ascii="Calibri" w:hAnsi="Calibri" w:cs="Calibri"/>
          <w:b/>
          <w:bCs/>
          <w:sz w:val="22"/>
          <w:szCs w:val="22"/>
        </w:rPr>
      </w:pPr>
    </w:p>
    <w:p w:rsidR="00DC7153" w:rsidRPr="00E97A8E" w:rsidRDefault="00DC7153" w:rsidP="00DC7153">
      <w:pPr>
        <w:tabs>
          <w:tab w:val="left" w:pos="90"/>
        </w:tabs>
        <w:ind w:left="180"/>
        <w:rPr>
          <w:rFonts w:ascii="Calibri" w:hAnsi="Calibri" w:cs="Calibri"/>
          <w:b/>
          <w:bCs/>
          <w:sz w:val="22"/>
          <w:szCs w:val="22"/>
        </w:rPr>
      </w:pPr>
      <w:r w:rsidRPr="00E97A8E">
        <w:rPr>
          <w:rFonts w:ascii="Calibri" w:hAnsi="Calibri" w:cs="Calibri"/>
          <w:b/>
          <w:bCs/>
          <w:sz w:val="22"/>
          <w:szCs w:val="22"/>
        </w:rPr>
        <w:t>For more information please contact:</w:t>
      </w:r>
    </w:p>
    <w:tbl>
      <w:tblPr>
        <w:tblpPr w:leftFromText="180" w:rightFromText="180" w:vertAnchor="text" w:horzAnchor="margin" w:tblpX="324" w:tblpY="148"/>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1"/>
        <w:gridCol w:w="3889"/>
      </w:tblGrid>
      <w:tr w:rsidR="00DC7153" w:rsidRPr="00E97A8E" w:rsidTr="00BF1978">
        <w:trPr>
          <w:trHeight w:val="165"/>
        </w:trPr>
        <w:tc>
          <w:tcPr>
            <w:tcW w:w="5281" w:type="dxa"/>
          </w:tcPr>
          <w:p w:rsidR="00DC7153" w:rsidRPr="00E97A8E" w:rsidRDefault="00DC7153" w:rsidP="00BF1978">
            <w:pPr>
              <w:tabs>
                <w:tab w:val="left" w:pos="90"/>
              </w:tabs>
              <w:ind w:left="90"/>
              <w:rPr>
                <w:rFonts w:ascii="Calibri" w:hAnsi="Calibri" w:cs="Calibri"/>
                <w:b/>
                <w:sz w:val="22"/>
                <w:szCs w:val="22"/>
              </w:rPr>
            </w:pPr>
            <w:r w:rsidRPr="00E97A8E">
              <w:rPr>
                <w:rFonts w:ascii="Calibri" w:hAnsi="Calibri" w:cs="Calibri"/>
                <w:b/>
                <w:sz w:val="22"/>
                <w:szCs w:val="22"/>
              </w:rPr>
              <w:t xml:space="preserve">Media: </w:t>
            </w:r>
            <w:r w:rsidRPr="00E97A8E">
              <w:rPr>
                <w:rFonts w:ascii="Calibri" w:hAnsi="Calibri" w:cs="Calibri"/>
                <w:sz w:val="22"/>
                <w:szCs w:val="22"/>
              </w:rPr>
              <w:t>+91</w:t>
            </w:r>
            <w:r>
              <w:rPr>
                <w:rFonts w:ascii="Calibri" w:hAnsi="Calibri" w:cs="Calibri"/>
                <w:sz w:val="22"/>
                <w:szCs w:val="22"/>
              </w:rPr>
              <w:t xml:space="preserve"> </w:t>
            </w:r>
            <w:r w:rsidRPr="00E97A8E">
              <w:rPr>
                <w:rFonts w:ascii="Calibri" w:hAnsi="Calibri" w:cs="Calibri"/>
                <w:sz w:val="22"/>
                <w:szCs w:val="22"/>
              </w:rPr>
              <w:t>22 6778 9999</w:t>
            </w:r>
          </w:p>
        </w:tc>
        <w:tc>
          <w:tcPr>
            <w:tcW w:w="3889" w:type="dxa"/>
          </w:tcPr>
          <w:p w:rsidR="00DC7153" w:rsidRPr="00E97A8E" w:rsidRDefault="00DC7153" w:rsidP="00BF1978">
            <w:pPr>
              <w:tabs>
                <w:tab w:val="left" w:pos="90"/>
              </w:tabs>
              <w:ind w:left="90"/>
              <w:rPr>
                <w:rFonts w:ascii="Calibri" w:hAnsi="Calibri" w:cs="Calibri"/>
                <w:sz w:val="22"/>
                <w:szCs w:val="22"/>
              </w:rPr>
            </w:pPr>
            <w:r w:rsidRPr="00E97A8E">
              <w:rPr>
                <w:rFonts w:ascii="Calibri" w:hAnsi="Calibri" w:cs="Calibri"/>
                <w:b/>
                <w:sz w:val="22"/>
                <w:szCs w:val="22"/>
              </w:rPr>
              <w:t>Investor Relations:</w:t>
            </w:r>
            <w:r>
              <w:rPr>
                <w:rFonts w:ascii="Calibri" w:hAnsi="Calibri" w:cs="Calibri"/>
                <w:b/>
                <w:sz w:val="22"/>
                <w:szCs w:val="22"/>
              </w:rPr>
              <w:t xml:space="preserve">  </w:t>
            </w:r>
            <w:r w:rsidRPr="00E97A8E">
              <w:rPr>
                <w:rFonts w:ascii="Calibri" w:hAnsi="Calibri" w:cs="Calibri"/>
                <w:sz w:val="22"/>
                <w:szCs w:val="22"/>
              </w:rPr>
              <w:t>91</w:t>
            </w:r>
            <w:r>
              <w:rPr>
                <w:rFonts w:ascii="Calibri" w:hAnsi="Calibri" w:cs="Calibri"/>
                <w:sz w:val="22"/>
                <w:szCs w:val="22"/>
              </w:rPr>
              <w:t xml:space="preserve"> </w:t>
            </w:r>
            <w:r w:rsidRPr="00E97A8E">
              <w:rPr>
                <w:rFonts w:ascii="Calibri" w:hAnsi="Calibri" w:cs="Calibri"/>
                <w:sz w:val="22"/>
                <w:szCs w:val="22"/>
              </w:rPr>
              <w:t>22 6778 9999</w:t>
            </w:r>
          </w:p>
        </w:tc>
      </w:tr>
      <w:tr w:rsidR="00DC7153" w:rsidRPr="00E97A8E" w:rsidTr="00BF1978">
        <w:trPr>
          <w:trHeight w:val="338"/>
        </w:trPr>
        <w:tc>
          <w:tcPr>
            <w:tcW w:w="5281" w:type="dxa"/>
          </w:tcPr>
          <w:p w:rsidR="00DC7153" w:rsidRPr="00E97A8E" w:rsidRDefault="00881720" w:rsidP="00BF1978">
            <w:pPr>
              <w:tabs>
                <w:tab w:val="left" w:pos="90"/>
              </w:tabs>
              <w:rPr>
                <w:rFonts w:ascii="Calibri" w:hAnsi="Calibri" w:cs="Calibri"/>
                <w:sz w:val="22"/>
                <w:szCs w:val="22"/>
              </w:rPr>
            </w:pPr>
            <w:hyperlink r:id="rId20" w:history="1">
              <w:r w:rsidR="00DC7153" w:rsidRPr="00E97A8E">
                <w:rPr>
                  <w:rStyle w:val="Hyperlink"/>
                  <w:rFonts w:ascii="Calibri" w:hAnsi="Calibri" w:cs="Calibri"/>
                  <w:sz w:val="22"/>
                  <w:szCs w:val="22"/>
                </w:rPr>
                <w:t>Pradipta.bagchi@tcs.com/</w:t>
              </w:r>
            </w:hyperlink>
            <w:r w:rsidR="00DC7153" w:rsidRPr="00E97A8E">
              <w:rPr>
                <w:rFonts w:ascii="Calibri" w:hAnsi="Calibri" w:cs="Calibri"/>
                <w:sz w:val="22"/>
                <w:szCs w:val="22"/>
              </w:rPr>
              <w:t xml:space="preserve"> </w:t>
            </w:r>
            <w:r w:rsidR="00DC7153" w:rsidRPr="00E97A8E">
              <w:rPr>
                <w:sz w:val="22"/>
                <w:szCs w:val="22"/>
              </w:rPr>
              <w:t xml:space="preserve"> </w:t>
            </w:r>
            <w:hyperlink r:id="rId21" w:history="1">
              <w:r w:rsidR="00DC7153" w:rsidRPr="00E97A8E">
                <w:rPr>
                  <w:rStyle w:val="Hyperlink"/>
                  <w:rFonts w:ascii="Calibri" w:hAnsi="Calibri" w:cs="Calibri"/>
                  <w:sz w:val="22"/>
                  <w:szCs w:val="22"/>
                </w:rPr>
                <w:t>h.ramachandra@tcs.com</w:t>
              </w:r>
            </w:hyperlink>
          </w:p>
          <w:p w:rsidR="00DC7153" w:rsidRDefault="00881720" w:rsidP="00BF1978">
            <w:pPr>
              <w:tabs>
                <w:tab w:val="left" w:pos="90"/>
              </w:tabs>
              <w:rPr>
                <w:rFonts w:ascii="Calibri" w:hAnsi="Calibri" w:cs="Calibri"/>
                <w:sz w:val="22"/>
                <w:szCs w:val="22"/>
              </w:rPr>
            </w:pPr>
            <w:hyperlink r:id="rId22" w:history="1">
              <w:r w:rsidR="00DC7153" w:rsidRPr="0041200E">
                <w:rPr>
                  <w:rStyle w:val="Hyperlink"/>
                  <w:rFonts w:ascii="Calibri" w:hAnsi="Calibri" w:cs="Calibri"/>
                  <w:sz w:val="22"/>
                  <w:szCs w:val="22"/>
                </w:rPr>
                <w:t>shamala.p@tcs.com</w:t>
              </w:r>
            </w:hyperlink>
          </w:p>
          <w:p w:rsidR="00DC7153" w:rsidRPr="00E97A8E" w:rsidRDefault="00DC7153" w:rsidP="00BF1978">
            <w:pPr>
              <w:tabs>
                <w:tab w:val="left" w:pos="90"/>
              </w:tabs>
              <w:rPr>
                <w:rFonts w:ascii="Calibri" w:hAnsi="Calibri" w:cs="Calibri"/>
                <w:sz w:val="22"/>
                <w:szCs w:val="22"/>
              </w:rPr>
            </w:pPr>
          </w:p>
        </w:tc>
        <w:tc>
          <w:tcPr>
            <w:tcW w:w="3889" w:type="dxa"/>
          </w:tcPr>
          <w:p w:rsidR="00DC7153" w:rsidRPr="00E97A8E" w:rsidRDefault="00881720" w:rsidP="00BF1978">
            <w:pPr>
              <w:tabs>
                <w:tab w:val="left" w:pos="90"/>
                <w:tab w:val="left" w:pos="8094"/>
              </w:tabs>
              <w:ind w:left="90"/>
              <w:rPr>
                <w:rFonts w:ascii="Calibri" w:hAnsi="Calibri" w:cs="Calibri"/>
                <w:color w:val="000000"/>
                <w:sz w:val="22"/>
                <w:szCs w:val="22"/>
              </w:rPr>
            </w:pPr>
            <w:hyperlink r:id="rId23" w:history="1">
              <w:r w:rsidR="00DC7153" w:rsidRPr="00E97A8E">
                <w:rPr>
                  <w:rStyle w:val="Hyperlink"/>
                  <w:rFonts w:ascii="Calibri" w:hAnsi="Calibri" w:cs="Calibri"/>
                  <w:sz w:val="22"/>
                  <w:szCs w:val="22"/>
                </w:rPr>
                <w:t>Kedar.shirali@tcs.com</w:t>
              </w:r>
            </w:hyperlink>
          </w:p>
          <w:p w:rsidR="00DC7153" w:rsidRPr="00E97A8E" w:rsidRDefault="00DC7153" w:rsidP="00BF1978">
            <w:pPr>
              <w:tabs>
                <w:tab w:val="left" w:pos="90"/>
                <w:tab w:val="left" w:pos="8094"/>
              </w:tabs>
              <w:ind w:left="90"/>
              <w:rPr>
                <w:rFonts w:ascii="Calibri" w:hAnsi="Calibri" w:cs="Calibri"/>
                <w:color w:val="000000"/>
                <w:sz w:val="22"/>
                <w:szCs w:val="22"/>
              </w:rPr>
            </w:pPr>
          </w:p>
        </w:tc>
      </w:tr>
    </w:tbl>
    <w:p w:rsidR="00DC7153" w:rsidRPr="00E97A8E" w:rsidRDefault="00DC7153" w:rsidP="00DC7153">
      <w:pPr>
        <w:tabs>
          <w:tab w:val="left" w:pos="90"/>
        </w:tabs>
        <w:ind w:left="90"/>
        <w:rPr>
          <w:rFonts w:ascii="Calibri" w:hAnsi="Calibri"/>
          <w:sz w:val="22"/>
          <w:szCs w:val="22"/>
        </w:rPr>
      </w:pPr>
    </w:p>
    <w:p w:rsidR="00DC7153" w:rsidRPr="00E97A8E" w:rsidRDefault="00DC7153" w:rsidP="00DC715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both"/>
        <w:rPr>
          <w:rFonts w:asciiTheme="minorHAnsi" w:eastAsiaTheme="minorHAnsi" w:hAnsiTheme="minorHAnsi" w:cstheme="minorHAnsi"/>
          <w:color w:val="000000"/>
          <w:sz w:val="22"/>
          <w:szCs w:val="22"/>
        </w:rPr>
      </w:pPr>
    </w:p>
    <w:p w:rsidR="00DC7153" w:rsidRPr="00E97A8E" w:rsidRDefault="00DC7153" w:rsidP="00DC715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both"/>
        <w:rPr>
          <w:rFonts w:asciiTheme="minorHAnsi" w:eastAsiaTheme="minorHAnsi" w:hAnsiTheme="minorHAnsi" w:cstheme="minorHAnsi"/>
          <w:color w:val="000000"/>
          <w:sz w:val="22"/>
          <w:szCs w:val="22"/>
        </w:rPr>
      </w:pPr>
    </w:p>
    <w:p w:rsidR="00DC7153" w:rsidRPr="00E97A8E" w:rsidRDefault="00DC7153" w:rsidP="00DC7153">
      <w:pPr>
        <w:tabs>
          <w:tab w:val="left" w:pos="-720"/>
          <w:tab w:val="left" w:pos="0"/>
          <w:tab w:val="left" w:pos="90"/>
          <w:tab w:val="left" w:pos="720"/>
          <w:tab w:val="left" w:pos="1440"/>
          <w:tab w:val="left" w:pos="2160"/>
          <w:tab w:val="left" w:pos="2880"/>
          <w:tab w:val="left" w:pos="3600"/>
          <w:tab w:val="left" w:pos="4320"/>
        </w:tabs>
        <w:autoSpaceDE w:val="0"/>
        <w:autoSpaceDN w:val="0"/>
        <w:adjustRightInd w:val="0"/>
        <w:ind w:left="90" w:right="467"/>
        <w:jc w:val="center"/>
        <w:rPr>
          <w:rFonts w:asciiTheme="minorHAnsi" w:eastAsiaTheme="minorHAnsi" w:hAnsiTheme="minorHAnsi" w:cstheme="minorHAnsi"/>
          <w:color w:val="000000"/>
          <w:sz w:val="22"/>
          <w:szCs w:val="22"/>
        </w:rPr>
      </w:pPr>
    </w:p>
    <w:p w:rsidR="00DC7153" w:rsidRDefault="00DC7153" w:rsidP="00DC7153">
      <w:pPr>
        <w:rPr>
          <w:lang w:val="fr-FR"/>
        </w:rPr>
      </w:pPr>
    </w:p>
    <w:p w:rsidR="00DC7153" w:rsidRDefault="00DC7153" w:rsidP="00DC7153">
      <w:pPr>
        <w:rPr>
          <w:lang w:val="fr-FR"/>
        </w:rPr>
      </w:pPr>
    </w:p>
    <w:p w:rsidR="00DC7153" w:rsidRDefault="00DC7153" w:rsidP="00DC7153">
      <w:pPr>
        <w:rPr>
          <w:lang w:val="fr-FR"/>
        </w:rPr>
      </w:pPr>
    </w:p>
    <w:p w:rsidR="00DC7153" w:rsidRDefault="00DC7153" w:rsidP="00DC7153">
      <w:pPr>
        <w:rPr>
          <w:lang w:val="fr-FR"/>
        </w:rPr>
      </w:pPr>
    </w:p>
    <w:p w:rsidR="00DC7153" w:rsidRDefault="00DC7153" w:rsidP="00DC7153">
      <w:pPr>
        <w:rPr>
          <w:lang w:val="fr-FR"/>
        </w:rPr>
      </w:pPr>
    </w:p>
    <w:p w:rsidR="00DC7153" w:rsidRDefault="00DC7153">
      <w:pPr>
        <w:spacing w:after="200" w:line="276" w:lineRule="auto"/>
        <w:rPr>
          <w:rFonts w:asciiTheme="minorHAnsi" w:eastAsiaTheme="minorHAnsi" w:hAnsiTheme="minorHAnsi" w:cstheme="minorHAnsi"/>
          <w:b/>
          <w:color w:val="000000"/>
          <w:sz w:val="22"/>
          <w:szCs w:val="22"/>
        </w:rPr>
      </w:pPr>
    </w:p>
    <w:sectPr w:rsidR="00DC7153" w:rsidSect="00032E72">
      <w:headerReference w:type="default" r:id="rId24"/>
      <w:footerReference w:type="default" r:id="rId25"/>
      <w:pgSz w:w="11909" w:h="16834" w:code="9"/>
      <w:pgMar w:top="3024" w:right="677" w:bottom="821" w:left="6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20" w:rsidRDefault="00881720" w:rsidP="009A0CC0">
      <w:r>
        <w:separator/>
      </w:r>
    </w:p>
  </w:endnote>
  <w:endnote w:type="continuationSeparator" w:id="0">
    <w:p w:rsidR="00881720" w:rsidRDefault="00881720" w:rsidP="009A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Heavy Heap"/>
    <w:charset w:val="00"/>
    <w:family w:val="swiss"/>
    <w:pitch w:val="variable"/>
    <w:sig w:usb0="00000003" w:usb1="1000204A"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7"/>
        <w:szCs w:val="17"/>
      </w:rPr>
      <w:id w:val="18101344"/>
      <w:docPartObj>
        <w:docPartGallery w:val="Page Numbers (Bottom of Page)"/>
        <w:docPartUnique/>
      </w:docPartObj>
    </w:sdtPr>
    <w:sdtEndPr/>
    <w:sdtContent>
      <w:p w:rsidR="0074143A" w:rsidRPr="00B42AE2" w:rsidRDefault="006779AB">
        <w:pPr>
          <w:pStyle w:val="Footer"/>
          <w:rPr>
            <w:sz w:val="17"/>
            <w:szCs w:val="17"/>
          </w:rPr>
        </w:pPr>
        <w:r>
          <w:rPr>
            <w:noProof/>
            <w:sz w:val="17"/>
            <w:szCs w:val="17"/>
            <w:lang w:val="en-GB" w:eastAsia="en-GB"/>
          </w:rPr>
          <mc:AlternateContent>
            <mc:Choice Requires="wps">
              <w:drawing>
                <wp:anchor distT="0" distB="0" distL="114300" distR="114300" simplePos="0" relativeHeight="251658240" behindDoc="0" locked="0" layoutInCell="1" allowOverlap="1">
                  <wp:simplePos x="0" y="0"/>
                  <wp:positionH relativeFrom="rightMargin">
                    <wp:align>center</wp:align>
                  </wp:positionH>
                  <wp:positionV relativeFrom="bottomMargin">
                    <wp:align>center</wp:align>
                  </wp:positionV>
                  <wp:extent cx="565785" cy="191770"/>
                  <wp:effectExtent l="0" t="0" r="0" b="177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74143A" w:rsidRPr="00B42AE2" w:rsidRDefault="00C2558B">
                              <w:pPr>
                                <w:pBdr>
                                  <w:top w:val="single" w:sz="4" w:space="1" w:color="7F7F7F" w:themeColor="background1" w:themeShade="7F"/>
                                </w:pBdr>
                                <w:jc w:val="center"/>
                                <w:rPr>
                                  <w:rFonts w:ascii="Myriad Pro" w:hAnsi="Myriad Pro"/>
                                  <w:color w:val="C0504D" w:themeColor="accent2"/>
                                  <w:sz w:val="19"/>
                                  <w:szCs w:val="19"/>
                                </w:rPr>
                              </w:pPr>
                              <w:r w:rsidRPr="00B42AE2">
                                <w:rPr>
                                  <w:rFonts w:ascii="Myriad Pro" w:hAnsi="Myriad Pro"/>
                                  <w:sz w:val="19"/>
                                  <w:szCs w:val="19"/>
                                </w:rPr>
                                <w:fldChar w:fldCharType="begin"/>
                              </w:r>
                              <w:r w:rsidR="00C832E3" w:rsidRPr="00B42AE2">
                                <w:rPr>
                                  <w:rFonts w:ascii="Myriad Pro" w:hAnsi="Myriad Pro"/>
                                  <w:sz w:val="19"/>
                                  <w:szCs w:val="19"/>
                                </w:rPr>
                                <w:instrText xml:space="preserve"> PAGE   \* MERGEFORMAT </w:instrText>
                              </w:r>
                              <w:r w:rsidRPr="00B42AE2">
                                <w:rPr>
                                  <w:rFonts w:ascii="Myriad Pro" w:hAnsi="Myriad Pro"/>
                                  <w:sz w:val="19"/>
                                  <w:szCs w:val="19"/>
                                </w:rPr>
                                <w:fldChar w:fldCharType="separate"/>
                              </w:r>
                              <w:r w:rsidR="00E41E26" w:rsidRPr="00E41E26">
                                <w:rPr>
                                  <w:rFonts w:ascii="Myriad Pro" w:hAnsi="Myriad Pro"/>
                                  <w:noProof/>
                                  <w:color w:val="C0504D" w:themeColor="accent2"/>
                                  <w:sz w:val="19"/>
                                  <w:szCs w:val="19"/>
                                </w:rPr>
                                <w:t>5</w:t>
                              </w:r>
                              <w:r w:rsidRPr="00B42AE2">
                                <w:rPr>
                                  <w:rFonts w:ascii="Myriad Pro" w:hAnsi="Myriad Pro"/>
                                  <w:sz w:val="19"/>
                                  <w:szCs w:val="1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7"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" filled="f" fillcolor="#c0504d [3205]" stroked="f" strokecolor="#4f81bd [3204]" strokeweight="2.25pt">
                  <v:textbox inset=",0,,0">
                    <w:txbxContent>
                      <w:p w:rsidR="0074143A" w:rsidRPr="00B42AE2" w:rsidRDefault="00C2558B">
                        <w:pPr>
                          <w:pBdr>
                            <w:top w:val="single" w:sz="4" w:space="1" w:color="7F7F7F" w:themeColor="background1" w:themeShade="7F"/>
                          </w:pBdr>
                          <w:jc w:val="center"/>
                          <w:rPr>
                            <w:rFonts w:ascii="Myriad Pro" w:hAnsi="Myriad Pro"/>
                            <w:color w:val="C0504D" w:themeColor="accent2"/>
                            <w:sz w:val="19"/>
                            <w:szCs w:val="19"/>
                          </w:rPr>
                        </w:pPr>
                        <w:r w:rsidRPr="00B42AE2">
                          <w:rPr>
                            <w:rFonts w:ascii="Myriad Pro" w:hAnsi="Myriad Pro"/>
                            <w:sz w:val="19"/>
                            <w:szCs w:val="19"/>
                          </w:rPr>
                          <w:fldChar w:fldCharType="begin"/>
                        </w:r>
                        <w:r w:rsidR="00C832E3" w:rsidRPr="00B42AE2">
                          <w:rPr>
                            <w:rFonts w:ascii="Myriad Pro" w:hAnsi="Myriad Pro"/>
                            <w:sz w:val="19"/>
                            <w:szCs w:val="19"/>
                          </w:rPr>
                          <w:instrText xml:space="preserve"> PAGE   \* MERGEFORMAT </w:instrText>
                        </w:r>
                        <w:r w:rsidRPr="00B42AE2">
                          <w:rPr>
                            <w:rFonts w:ascii="Myriad Pro" w:hAnsi="Myriad Pro"/>
                            <w:sz w:val="19"/>
                            <w:szCs w:val="19"/>
                          </w:rPr>
                          <w:fldChar w:fldCharType="separate"/>
                        </w:r>
                        <w:r w:rsidR="00E41E26" w:rsidRPr="00E41E26">
                          <w:rPr>
                            <w:rFonts w:ascii="Myriad Pro" w:hAnsi="Myriad Pro"/>
                            <w:noProof/>
                            <w:color w:val="C0504D" w:themeColor="accent2"/>
                            <w:sz w:val="19"/>
                            <w:szCs w:val="19"/>
                          </w:rPr>
                          <w:t>5</w:t>
                        </w:r>
                        <w:r w:rsidRPr="00B42AE2">
                          <w:rPr>
                            <w:rFonts w:ascii="Myriad Pro" w:hAnsi="Myriad Pro"/>
                            <w:sz w:val="19"/>
                            <w:szCs w:val="19"/>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20" w:rsidRDefault="00881720" w:rsidP="009A0CC0">
      <w:r>
        <w:separator/>
      </w:r>
    </w:p>
  </w:footnote>
  <w:footnote w:type="continuationSeparator" w:id="0">
    <w:p w:rsidR="00881720" w:rsidRDefault="00881720" w:rsidP="009A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3A" w:rsidRPr="00B42AE2" w:rsidRDefault="006779AB" w:rsidP="00061536">
    <w:pPr>
      <w:pStyle w:val="Header"/>
      <w:rPr>
        <w:sz w:val="17"/>
        <w:szCs w:val="17"/>
      </w:rPr>
    </w:pPr>
    <w:r>
      <w:rPr>
        <w:noProof/>
        <w:sz w:val="17"/>
        <w:szCs w:val="17"/>
        <w:lang w:val="en-GB" w:eastAsia="en-GB"/>
      </w:rPr>
      <mc:AlternateContent>
        <mc:Choice Requires="wps">
          <w:drawing>
            <wp:anchor distT="0" distB="0" distL="114300" distR="114300" simplePos="0" relativeHeight="251661312" behindDoc="0" locked="0" layoutInCell="1" allowOverlap="1">
              <wp:simplePos x="0" y="0"/>
              <wp:positionH relativeFrom="column">
                <wp:posOffset>5515610</wp:posOffset>
              </wp:positionH>
              <wp:positionV relativeFrom="paragraph">
                <wp:posOffset>1055370</wp:posOffset>
              </wp:positionV>
              <wp:extent cx="1219200" cy="2590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43A" w:rsidRPr="008D5CD7" w:rsidRDefault="004067F4" w:rsidP="00B81A8C">
                          <w:pPr>
                            <w:jc w:val="center"/>
                            <w:rPr>
                              <w:rFonts w:ascii="Myriad Pro" w:hAnsi="Myriad Pro"/>
                              <w:b/>
                              <w:sz w:val="27"/>
                              <w:szCs w:val="23"/>
                            </w:rPr>
                          </w:pPr>
                          <w:r w:rsidRPr="008D5CD7">
                            <w:rPr>
                              <w:rFonts w:ascii="Myriad Pro" w:hAnsi="Myriad Pro"/>
                              <w:b/>
                              <w:sz w:val="27"/>
                              <w:szCs w:val="23"/>
                            </w:rPr>
                            <w:t>IFRS</w:t>
                          </w:r>
                          <w:r w:rsidR="0076285F" w:rsidRPr="008D5CD7">
                            <w:rPr>
                              <w:rFonts w:ascii="Myriad Pro" w:hAnsi="Myriad Pro"/>
                              <w:b/>
                              <w:sz w:val="27"/>
                              <w:szCs w:val="2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3pt;margin-top:83.1pt;width:9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" filled="f" stroked="f">
              <v:textbox>
                <w:txbxContent>
                  <w:p w:rsidR="0074143A" w:rsidRPr="008D5CD7" w:rsidRDefault="004067F4" w:rsidP="00B81A8C">
                    <w:pPr>
                      <w:jc w:val="center"/>
                      <w:rPr>
                        <w:rFonts w:ascii="Myriad Pro" w:hAnsi="Myriad Pro"/>
                        <w:b/>
                        <w:sz w:val="27"/>
                        <w:szCs w:val="23"/>
                      </w:rPr>
                    </w:pPr>
                    <w:r w:rsidRPr="008D5CD7">
                      <w:rPr>
                        <w:rFonts w:ascii="Myriad Pro" w:hAnsi="Myriad Pro"/>
                        <w:b/>
                        <w:sz w:val="27"/>
                        <w:szCs w:val="23"/>
                      </w:rPr>
                      <w:t>IFRS</w:t>
                    </w:r>
                    <w:r w:rsidR="0076285F" w:rsidRPr="008D5CD7">
                      <w:rPr>
                        <w:rFonts w:ascii="Myriad Pro" w:hAnsi="Myriad Pro"/>
                        <w:b/>
                        <w:sz w:val="27"/>
                        <w:szCs w:val="23"/>
                      </w:rPr>
                      <w:t xml:space="preserve"> $</w:t>
                    </w:r>
                  </w:p>
                </w:txbxContent>
              </v:textbox>
            </v:shape>
          </w:pict>
        </mc:Fallback>
      </mc:AlternateContent>
    </w:r>
    <w:r w:rsidR="00C832E3" w:rsidRPr="00B42AE2">
      <w:rPr>
        <w:noProof/>
        <w:sz w:val="17"/>
        <w:szCs w:val="17"/>
        <w:lang w:val="en-GB" w:eastAsia="en-GB"/>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771765" cy="1409700"/>
          <wp:effectExtent l="19050" t="0" r="635" b="0"/>
          <wp:wrapNone/>
          <wp:docPr id="1" name="Picture 0" descr="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
                  <a:stretch>
                    <a:fillRect/>
                  </a:stretch>
                </pic:blipFill>
                <pic:spPr>
                  <a:xfrm>
                    <a:off x="0" y="0"/>
                    <a:ext cx="7771765" cy="1409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672"/>
    <w:multiLevelType w:val="hybridMultilevel"/>
    <w:tmpl w:val="94E6D9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E520776"/>
    <w:multiLevelType w:val="hybridMultilevel"/>
    <w:tmpl w:val="F08A8D8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C07CBE"/>
    <w:multiLevelType w:val="hybridMultilevel"/>
    <w:tmpl w:val="F4EA50D2"/>
    <w:lvl w:ilvl="0" w:tplc="B18833FE">
      <w:numFmt w:val="bullet"/>
      <w:lvlText w:val="-"/>
      <w:lvlJc w:val="left"/>
      <w:pPr>
        <w:ind w:left="540" w:hanging="360"/>
      </w:pPr>
      <w:rPr>
        <w:rFonts w:ascii="Calibri" w:eastAsia="Times New Roman" w:hAnsi="Calibri" w:cs="Calibri" w:hint="default"/>
        <w:b/>
      </w:rPr>
    </w:lvl>
    <w:lvl w:ilvl="1" w:tplc="04090003">
      <w:start w:val="1"/>
      <w:numFmt w:val="bullet"/>
      <w:lvlText w:val="o"/>
      <w:lvlJc w:val="left"/>
      <w:pPr>
        <w:ind w:left="1620" w:hanging="360"/>
      </w:pPr>
      <w:rPr>
        <w:rFonts w:ascii="Courier New" w:hAnsi="Courier New" w:cs="Courier New" w:hint="default"/>
      </w:rPr>
    </w:lvl>
    <w:lvl w:ilvl="2" w:tplc="A3E63778">
      <w:numFmt w:val="bullet"/>
      <w:lvlText w:val=""/>
      <w:lvlJc w:val="left"/>
      <w:pPr>
        <w:ind w:left="2340" w:hanging="360"/>
      </w:pPr>
      <w:rPr>
        <w:rFonts w:ascii="Symbol" w:eastAsia="Times New Roman" w:hAnsi="Symbol" w:cs="Courier New"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3585B6C"/>
    <w:multiLevelType w:val="hybridMultilevel"/>
    <w:tmpl w:val="166ED5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764372"/>
    <w:multiLevelType w:val="hybridMultilevel"/>
    <w:tmpl w:val="7852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87BAC"/>
    <w:multiLevelType w:val="hybridMultilevel"/>
    <w:tmpl w:val="A2E01E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4FF0F04"/>
    <w:multiLevelType w:val="hybridMultilevel"/>
    <w:tmpl w:val="76F4D9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6055936"/>
    <w:multiLevelType w:val="hybridMultilevel"/>
    <w:tmpl w:val="6F42C6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DBF3BD4"/>
    <w:multiLevelType w:val="hybridMultilevel"/>
    <w:tmpl w:val="DD58F40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99723F2"/>
    <w:multiLevelType w:val="hybridMultilevel"/>
    <w:tmpl w:val="5D54F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901AB1"/>
    <w:multiLevelType w:val="hybridMultilevel"/>
    <w:tmpl w:val="75D4E3B6"/>
    <w:lvl w:ilvl="0" w:tplc="41FE27E0">
      <w:start w:val="1"/>
      <w:numFmt w:val="bullet"/>
      <w:lvlText w:val="•"/>
      <w:lvlJc w:val="left"/>
      <w:pPr>
        <w:tabs>
          <w:tab w:val="num" w:pos="720"/>
        </w:tabs>
        <w:ind w:left="720" w:hanging="360"/>
      </w:pPr>
      <w:rPr>
        <w:rFonts w:ascii="Arial" w:hAnsi="Arial" w:hint="default"/>
      </w:rPr>
    </w:lvl>
    <w:lvl w:ilvl="1" w:tplc="04987F00" w:tentative="1">
      <w:start w:val="1"/>
      <w:numFmt w:val="bullet"/>
      <w:lvlText w:val="•"/>
      <w:lvlJc w:val="left"/>
      <w:pPr>
        <w:tabs>
          <w:tab w:val="num" w:pos="1440"/>
        </w:tabs>
        <w:ind w:left="1440" w:hanging="360"/>
      </w:pPr>
      <w:rPr>
        <w:rFonts w:ascii="Arial" w:hAnsi="Arial" w:hint="default"/>
      </w:rPr>
    </w:lvl>
    <w:lvl w:ilvl="2" w:tplc="9A12356E" w:tentative="1">
      <w:start w:val="1"/>
      <w:numFmt w:val="bullet"/>
      <w:lvlText w:val="•"/>
      <w:lvlJc w:val="left"/>
      <w:pPr>
        <w:tabs>
          <w:tab w:val="num" w:pos="2160"/>
        </w:tabs>
        <w:ind w:left="2160" w:hanging="360"/>
      </w:pPr>
      <w:rPr>
        <w:rFonts w:ascii="Arial" w:hAnsi="Arial" w:hint="default"/>
      </w:rPr>
    </w:lvl>
    <w:lvl w:ilvl="3" w:tplc="4BECF526" w:tentative="1">
      <w:start w:val="1"/>
      <w:numFmt w:val="bullet"/>
      <w:lvlText w:val="•"/>
      <w:lvlJc w:val="left"/>
      <w:pPr>
        <w:tabs>
          <w:tab w:val="num" w:pos="2880"/>
        </w:tabs>
        <w:ind w:left="2880" w:hanging="360"/>
      </w:pPr>
      <w:rPr>
        <w:rFonts w:ascii="Arial" w:hAnsi="Arial" w:hint="default"/>
      </w:rPr>
    </w:lvl>
    <w:lvl w:ilvl="4" w:tplc="3ED83FA4" w:tentative="1">
      <w:start w:val="1"/>
      <w:numFmt w:val="bullet"/>
      <w:lvlText w:val="•"/>
      <w:lvlJc w:val="left"/>
      <w:pPr>
        <w:tabs>
          <w:tab w:val="num" w:pos="3600"/>
        </w:tabs>
        <w:ind w:left="3600" w:hanging="360"/>
      </w:pPr>
      <w:rPr>
        <w:rFonts w:ascii="Arial" w:hAnsi="Arial" w:hint="default"/>
      </w:rPr>
    </w:lvl>
    <w:lvl w:ilvl="5" w:tplc="C60C4C16" w:tentative="1">
      <w:start w:val="1"/>
      <w:numFmt w:val="bullet"/>
      <w:lvlText w:val="•"/>
      <w:lvlJc w:val="left"/>
      <w:pPr>
        <w:tabs>
          <w:tab w:val="num" w:pos="4320"/>
        </w:tabs>
        <w:ind w:left="4320" w:hanging="360"/>
      </w:pPr>
      <w:rPr>
        <w:rFonts w:ascii="Arial" w:hAnsi="Arial" w:hint="default"/>
      </w:rPr>
    </w:lvl>
    <w:lvl w:ilvl="6" w:tplc="60D4F8EA" w:tentative="1">
      <w:start w:val="1"/>
      <w:numFmt w:val="bullet"/>
      <w:lvlText w:val="•"/>
      <w:lvlJc w:val="left"/>
      <w:pPr>
        <w:tabs>
          <w:tab w:val="num" w:pos="5040"/>
        </w:tabs>
        <w:ind w:left="5040" w:hanging="360"/>
      </w:pPr>
      <w:rPr>
        <w:rFonts w:ascii="Arial" w:hAnsi="Arial" w:hint="default"/>
      </w:rPr>
    </w:lvl>
    <w:lvl w:ilvl="7" w:tplc="EE38591E" w:tentative="1">
      <w:start w:val="1"/>
      <w:numFmt w:val="bullet"/>
      <w:lvlText w:val="•"/>
      <w:lvlJc w:val="left"/>
      <w:pPr>
        <w:tabs>
          <w:tab w:val="num" w:pos="5760"/>
        </w:tabs>
        <w:ind w:left="5760" w:hanging="360"/>
      </w:pPr>
      <w:rPr>
        <w:rFonts w:ascii="Arial" w:hAnsi="Arial" w:hint="default"/>
      </w:rPr>
    </w:lvl>
    <w:lvl w:ilvl="8" w:tplc="6F5EF580" w:tentative="1">
      <w:start w:val="1"/>
      <w:numFmt w:val="bullet"/>
      <w:lvlText w:val="•"/>
      <w:lvlJc w:val="left"/>
      <w:pPr>
        <w:tabs>
          <w:tab w:val="num" w:pos="6480"/>
        </w:tabs>
        <w:ind w:left="6480" w:hanging="360"/>
      </w:pPr>
      <w:rPr>
        <w:rFonts w:ascii="Arial" w:hAnsi="Arial" w:hint="default"/>
      </w:rPr>
    </w:lvl>
  </w:abstractNum>
  <w:abstractNum w:abstractNumId="11">
    <w:nsid w:val="42A563A6"/>
    <w:multiLevelType w:val="hybridMultilevel"/>
    <w:tmpl w:val="2C366B90"/>
    <w:lvl w:ilvl="0" w:tplc="DC9AB86E">
      <w:start w:val="1"/>
      <w:numFmt w:val="bullet"/>
      <w:lvlText w:val="•"/>
      <w:lvlJc w:val="left"/>
      <w:pPr>
        <w:tabs>
          <w:tab w:val="num" w:pos="720"/>
        </w:tabs>
        <w:ind w:left="720" w:hanging="360"/>
      </w:pPr>
      <w:rPr>
        <w:rFonts w:ascii="Times New Roman" w:hAnsi="Times New Roman" w:hint="default"/>
      </w:rPr>
    </w:lvl>
    <w:lvl w:ilvl="1" w:tplc="CA00E7CC" w:tentative="1">
      <w:start w:val="1"/>
      <w:numFmt w:val="bullet"/>
      <w:lvlText w:val="•"/>
      <w:lvlJc w:val="left"/>
      <w:pPr>
        <w:tabs>
          <w:tab w:val="num" w:pos="1440"/>
        </w:tabs>
        <w:ind w:left="1440" w:hanging="360"/>
      </w:pPr>
      <w:rPr>
        <w:rFonts w:ascii="Times New Roman" w:hAnsi="Times New Roman" w:hint="default"/>
      </w:rPr>
    </w:lvl>
    <w:lvl w:ilvl="2" w:tplc="3B5478CC" w:tentative="1">
      <w:start w:val="1"/>
      <w:numFmt w:val="bullet"/>
      <w:lvlText w:val="•"/>
      <w:lvlJc w:val="left"/>
      <w:pPr>
        <w:tabs>
          <w:tab w:val="num" w:pos="2160"/>
        </w:tabs>
        <w:ind w:left="2160" w:hanging="360"/>
      </w:pPr>
      <w:rPr>
        <w:rFonts w:ascii="Times New Roman" w:hAnsi="Times New Roman" w:hint="default"/>
      </w:rPr>
    </w:lvl>
    <w:lvl w:ilvl="3" w:tplc="D102E732" w:tentative="1">
      <w:start w:val="1"/>
      <w:numFmt w:val="bullet"/>
      <w:lvlText w:val="•"/>
      <w:lvlJc w:val="left"/>
      <w:pPr>
        <w:tabs>
          <w:tab w:val="num" w:pos="2880"/>
        </w:tabs>
        <w:ind w:left="2880" w:hanging="360"/>
      </w:pPr>
      <w:rPr>
        <w:rFonts w:ascii="Times New Roman" w:hAnsi="Times New Roman" w:hint="default"/>
      </w:rPr>
    </w:lvl>
    <w:lvl w:ilvl="4" w:tplc="094E3E3C" w:tentative="1">
      <w:start w:val="1"/>
      <w:numFmt w:val="bullet"/>
      <w:lvlText w:val="•"/>
      <w:lvlJc w:val="left"/>
      <w:pPr>
        <w:tabs>
          <w:tab w:val="num" w:pos="3600"/>
        </w:tabs>
        <w:ind w:left="3600" w:hanging="360"/>
      </w:pPr>
      <w:rPr>
        <w:rFonts w:ascii="Times New Roman" w:hAnsi="Times New Roman" w:hint="default"/>
      </w:rPr>
    </w:lvl>
    <w:lvl w:ilvl="5" w:tplc="D722C64E" w:tentative="1">
      <w:start w:val="1"/>
      <w:numFmt w:val="bullet"/>
      <w:lvlText w:val="•"/>
      <w:lvlJc w:val="left"/>
      <w:pPr>
        <w:tabs>
          <w:tab w:val="num" w:pos="4320"/>
        </w:tabs>
        <w:ind w:left="4320" w:hanging="360"/>
      </w:pPr>
      <w:rPr>
        <w:rFonts w:ascii="Times New Roman" w:hAnsi="Times New Roman" w:hint="default"/>
      </w:rPr>
    </w:lvl>
    <w:lvl w:ilvl="6" w:tplc="4590F754" w:tentative="1">
      <w:start w:val="1"/>
      <w:numFmt w:val="bullet"/>
      <w:lvlText w:val="•"/>
      <w:lvlJc w:val="left"/>
      <w:pPr>
        <w:tabs>
          <w:tab w:val="num" w:pos="5040"/>
        </w:tabs>
        <w:ind w:left="5040" w:hanging="360"/>
      </w:pPr>
      <w:rPr>
        <w:rFonts w:ascii="Times New Roman" w:hAnsi="Times New Roman" w:hint="default"/>
      </w:rPr>
    </w:lvl>
    <w:lvl w:ilvl="7" w:tplc="13724E36" w:tentative="1">
      <w:start w:val="1"/>
      <w:numFmt w:val="bullet"/>
      <w:lvlText w:val="•"/>
      <w:lvlJc w:val="left"/>
      <w:pPr>
        <w:tabs>
          <w:tab w:val="num" w:pos="5760"/>
        </w:tabs>
        <w:ind w:left="5760" w:hanging="360"/>
      </w:pPr>
      <w:rPr>
        <w:rFonts w:ascii="Times New Roman" w:hAnsi="Times New Roman" w:hint="default"/>
      </w:rPr>
    </w:lvl>
    <w:lvl w:ilvl="8" w:tplc="FA16C86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C25A0A"/>
    <w:multiLevelType w:val="hybridMultilevel"/>
    <w:tmpl w:val="0AFA7478"/>
    <w:lvl w:ilvl="0" w:tplc="B18833FE">
      <w:numFmt w:val="bullet"/>
      <w:lvlText w:val="-"/>
      <w:lvlJc w:val="left"/>
      <w:pPr>
        <w:ind w:left="540" w:hanging="360"/>
      </w:pPr>
      <w:rPr>
        <w:rFonts w:ascii="Calibri" w:eastAsia="Times New Roman" w:hAnsi="Calibri" w:cs="Calibri" w:hint="default"/>
        <w:b/>
      </w:rPr>
    </w:lvl>
    <w:lvl w:ilvl="1" w:tplc="04090003">
      <w:start w:val="1"/>
      <w:numFmt w:val="bullet"/>
      <w:lvlText w:val="o"/>
      <w:lvlJc w:val="left"/>
      <w:pPr>
        <w:ind w:left="1620" w:hanging="360"/>
      </w:pPr>
      <w:rPr>
        <w:rFonts w:ascii="Courier New" w:hAnsi="Courier New" w:cs="Courier New" w:hint="default"/>
      </w:rPr>
    </w:lvl>
    <w:lvl w:ilvl="2" w:tplc="A3E63778">
      <w:numFmt w:val="bullet"/>
      <w:lvlText w:val=""/>
      <w:lvlJc w:val="left"/>
      <w:pPr>
        <w:ind w:left="2340" w:hanging="360"/>
      </w:pPr>
      <w:rPr>
        <w:rFonts w:ascii="Symbol" w:eastAsia="Times New Roman" w:hAnsi="Symbol" w:cs="Courier New"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5ABD5431"/>
    <w:multiLevelType w:val="hybridMultilevel"/>
    <w:tmpl w:val="4336F69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DBF194C"/>
    <w:multiLevelType w:val="hybridMultilevel"/>
    <w:tmpl w:val="587E741E"/>
    <w:lvl w:ilvl="0" w:tplc="215E652C">
      <w:start w:val="1"/>
      <w:numFmt w:val="bullet"/>
      <w:lvlText w:val="•"/>
      <w:lvlJc w:val="left"/>
      <w:pPr>
        <w:tabs>
          <w:tab w:val="num" w:pos="720"/>
        </w:tabs>
        <w:ind w:left="720" w:hanging="360"/>
      </w:pPr>
      <w:rPr>
        <w:rFonts w:ascii="Arial" w:hAnsi="Arial" w:hint="default"/>
      </w:rPr>
    </w:lvl>
    <w:lvl w:ilvl="1" w:tplc="BF883A3E" w:tentative="1">
      <w:start w:val="1"/>
      <w:numFmt w:val="bullet"/>
      <w:lvlText w:val="•"/>
      <w:lvlJc w:val="left"/>
      <w:pPr>
        <w:tabs>
          <w:tab w:val="num" w:pos="1440"/>
        </w:tabs>
        <w:ind w:left="1440" w:hanging="360"/>
      </w:pPr>
      <w:rPr>
        <w:rFonts w:ascii="Arial" w:hAnsi="Arial" w:hint="default"/>
      </w:rPr>
    </w:lvl>
    <w:lvl w:ilvl="2" w:tplc="DB04CCFC" w:tentative="1">
      <w:start w:val="1"/>
      <w:numFmt w:val="bullet"/>
      <w:lvlText w:val="•"/>
      <w:lvlJc w:val="left"/>
      <w:pPr>
        <w:tabs>
          <w:tab w:val="num" w:pos="2160"/>
        </w:tabs>
        <w:ind w:left="2160" w:hanging="360"/>
      </w:pPr>
      <w:rPr>
        <w:rFonts w:ascii="Arial" w:hAnsi="Arial" w:hint="default"/>
      </w:rPr>
    </w:lvl>
    <w:lvl w:ilvl="3" w:tplc="79D69FD2" w:tentative="1">
      <w:start w:val="1"/>
      <w:numFmt w:val="bullet"/>
      <w:lvlText w:val="•"/>
      <w:lvlJc w:val="left"/>
      <w:pPr>
        <w:tabs>
          <w:tab w:val="num" w:pos="2880"/>
        </w:tabs>
        <w:ind w:left="2880" w:hanging="360"/>
      </w:pPr>
      <w:rPr>
        <w:rFonts w:ascii="Arial" w:hAnsi="Arial" w:hint="default"/>
      </w:rPr>
    </w:lvl>
    <w:lvl w:ilvl="4" w:tplc="CF28DA3A" w:tentative="1">
      <w:start w:val="1"/>
      <w:numFmt w:val="bullet"/>
      <w:lvlText w:val="•"/>
      <w:lvlJc w:val="left"/>
      <w:pPr>
        <w:tabs>
          <w:tab w:val="num" w:pos="3600"/>
        </w:tabs>
        <w:ind w:left="3600" w:hanging="360"/>
      </w:pPr>
      <w:rPr>
        <w:rFonts w:ascii="Arial" w:hAnsi="Arial" w:hint="default"/>
      </w:rPr>
    </w:lvl>
    <w:lvl w:ilvl="5" w:tplc="83BE7B26" w:tentative="1">
      <w:start w:val="1"/>
      <w:numFmt w:val="bullet"/>
      <w:lvlText w:val="•"/>
      <w:lvlJc w:val="left"/>
      <w:pPr>
        <w:tabs>
          <w:tab w:val="num" w:pos="4320"/>
        </w:tabs>
        <w:ind w:left="4320" w:hanging="360"/>
      </w:pPr>
      <w:rPr>
        <w:rFonts w:ascii="Arial" w:hAnsi="Arial" w:hint="default"/>
      </w:rPr>
    </w:lvl>
    <w:lvl w:ilvl="6" w:tplc="C65417E4" w:tentative="1">
      <w:start w:val="1"/>
      <w:numFmt w:val="bullet"/>
      <w:lvlText w:val="•"/>
      <w:lvlJc w:val="left"/>
      <w:pPr>
        <w:tabs>
          <w:tab w:val="num" w:pos="5040"/>
        </w:tabs>
        <w:ind w:left="5040" w:hanging="360"/>
      </w:pPr>
      <w:rPr>
        <w:rFonts w:ascii="Arial" w:hAnsi="Arial" w:hint="default"/>
      </w:rPr>
    </w:lvl>
    <w:lvl w:ilvl="7" w:tplc="D6A042F0" w:tentative="1">
      <w:start w:val="1"/>
      <w:numFmt w:val="bullet"/>
      <w:lvlText w:val="•"/>
      <w:lvlJc w:val="left"/>
      <w:pPr>
        <w:tabs>
          <w:tab w:val="num" w:pos="5760"/>
        </w:tabs>
        <w:ind w:left="5760" w:hanging="360"/>
      </w:pPr>
      <w:rPr>
        <w:rFonts w:ascii="Arial" w:hAnsi="Arial" w:hint="default"/>
      </w:rPr>
    </w:lvl>
    <w:lvl w:ilvl="8" w:tplc="429E0640" w:tentative="1">
      <w:start w:val="1"/>
      <w:numFmt w:val="bullet"/>
      <w:lvlText w:val="•"/>
      <w:lvlJc w:val="left"/>
      <w:pPr>
        <w:tabs>
          <w:tab w:val="num" w:pos="6480"/>
        </w:tabs>
        <w:ind w:left="6480" w:hanging="360"/>
      </w:pPr>
      <w:rPr>
        <w:rFonts w:ascii="Arial" w:hAnsi="Arial" w:hint="default"/>
      </w:rPr>
    </w:lvl>
  </w:abstractNum>
  <w:abstractNum w:abstractNumId="15">
    <w:nsid w:val="6DD44011"/>
    <w:multiLevelType w:val="hybridMultilevel"/>
    <w:tmpl w:val="3B06B01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nsid w:val="6F501CF0"/>
    <w:multiLevelType w:val="hybridMultilevel"/>
    <w:tmpl w:val="A894C616"/>
    <w:lvl w:ilvl="0" w:tplc="B0821402">
      <w:start w:val="1"/>
      <w:numFmt w:val="bullet"/>
      <w:lvlText w:val="•"/>
      <w:lvlJc w:val="left"/>
      <w:pPr>
        <w:tabs>
          <w:tab w:val="num" w:pos="720"/>
        </w:tabs>
        <w:ind w:left="720" w:hanging="360"/>
      </w:pPr>
      <w:rPr>
        <w:rFonts w:ascii="Arial" w:hAnsi="Arial" w:hint="default"/>
      </w:rPr>
    </w:lvl>
    <w:lvl w:ilvl="1" w:tplc="E9786292" w:tentative="1">
      <w:start w:val="1"/>
      <w:numFmt w:val="bullet"/>
      <w:lvlText w:val="•"/>
      <w:lvlJc w:val="left"/>
      <w:pPr>
        <w:tabs>
          <w:tab w:val="num" w:pos="1440"/>
        </w:tabs>
        <w:ind w:left="1440" w:hanging="360"/>
      </w:pPr>
      <w:rPr>
        <w:rFonts w:ascii="Arial" w:hAnsi="Arial" w:hint="default"/>
      </w:rPr>
    </w:lvl>
    <w:lvl w:ilvl="2" w:tplc="D00E44AA" w:tentative="1">
      <w:start w:val="1"/>
      <w:numFmt w:val="bullet"/>
      <w:lvlText w:val="•"/>
      <w:lvlJc w:val="left"/>
      <w:pPr>
        <w:tabs>
          <w:tab w:val="num" w:pos="2160"/>
        </w:tabs>
        <w:ind w:left="2160" w:hanging="360"/>
      </w:pPr>
      <w:rPr>
        <w:rFonts w:ascii="Arial" w:hAnsi="Arial" w:hint="default"/>
      </w:rPr>
    </w:lvl>
    <w:lvl w:ilvl="3" w:tplc="B5AE52BC" w:tentative="1">
      <w:start w:val="1"/>
      <w:numFmt w:val="bullet"/>
      <w:lvlText w:val="•"/>
      <w:lvlJc w:val="left"/>
      <w:pPr>
        <w:tabs>
          <w:tab w:val="num" w:pos="2880"/>
        </w:tabs>
        <w:ind w:left="2880" w:hanging="360"/>
      </w:pPr>
      <w:rPr>
        <w:rFonts w:ascii="Arial" w:hAnsi="Arial" w:hint="default"/>
      </w:rPr>
    </w:lvl>
    <w:lvl w:ilvl="4" w:tplc="70446254" w:tentative="1">
      <w:start w:val="1"/>
      <w:numFmt w:val="bullet"/>
      <w:lvlText w:val="•"/>
      <w:lvlJc w:val="left"/>
      <w:pPr>
        <w:tabs>
          <w:tab w:val="num" w:pos="3600"/>
        </w:tabs>
        <w:ind w:left="3600" w:hanging="360"/>
      </w:pPr>
      <w:rPr>
        <w:rFonts w:ascii="Arial" w:hAnsi="Arial" w:hint="default"/>
      </w:rPr>
    </w:lvl>
    <w:lvl w:ilvl="5" w:tplc="C21AE0F6" w:tentative="1">
      <w:start w:val="1"/>
      <w:numFmt w:val="bullet"/>
      <w:lvlText w:val="•"/>
      <w:lvlJc w:val="left"/>
      <w:pPr>
        <w:tabs>
          <w:tab w:val="num" w:pos="4320"/>
        </w:tabs>
        <w:ind w:left="4320" w:hanging="360"/>
      </w:pPr>
      <w:rPr>
        <w:rFonts w:ascii="Arial" w:hAnsi="Arial" w:hint="default"/>
      </w:rPr>
    </w:lvl>
    <w:lvl w:ilvl="6" w:tplc="D436DA2C" w:tentative="1">
      <w:start w:val="1"/>
      <w:numFmt w:val="bullet"/>
      <w:lvlText w:val="•"/>
      <w:lvlJc w:val="left"/>
      <w:pPr>
        <w:tabs>
          <w:tab w:val="num" w:pos="5040"/>
        </w:tabs>
        <w:ind w:left="5040" w:hanging="360"/>
      </w:pPr>
      <w:rPr>
        <w:rFonts w:ascii="Arial" w:hAnsi="Arial" w:hint="default"/>
      </w:rPr>
    </w:lvl>
    <w:lvl w:ilvl="7" w:tplc="5024D780" w:tentative="1">
      <w:start w:val="1"/>
      <w:numFmt w:val="bullet"/>
      <w:lvlText w:val="•"/>
      <w:lvlJc w:val="left"/>
      <w:pPr>
        <w:tabs>
          <w:tab w:val="num" w:pos="5760"/>
        </w:tabs>
        <w:ind w:left="5760" w:hanging="360"/>
      </w:pPr>
      <w:rPr>
        <w:rFonts w:ascii="Arial" w:hAnsi="Arial" w:hint="default"/>
      </w:rPr>
    </w:lvl>
    <w:lvl w:ilvl="8" w:tplc="C9D0A98E" w:tentative="1">
      <w:start w:val="1"/>
      <w:numFmt w:val="bullet"/>
      <w:lvlText w:val="•"/>
      <w:lvlJc w:val="left"/>
      <w:pPr>
        <w:tabs>
          <w:tab w:val="num" w:pos="6480"/>
        </w:tabs>
        <w:ind w:left="6480" w:hanging="360"/>
      </w:pPr>
      <w:rPr>
        <w:rFonts w:ascii="Arial" w:hAnsi="Arial" w:hint="default"/>
      </w:rPr>
    </w:lvl>
  </w:abstractNum>
  <w:abstractNum w:abstractNumId="17">
    <w:nsid w:val="7029353E"/>
    <w:multiLevelType w:val="hybridMultilevel"/>
    <w:tmpl w:val="9A287E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13922"/>
    <w:multiLevelType w:val="hybridMultilevel"/>
    <w:tmpl w:val="15907B8E"/>
    <w:lvl w:ilvl="0" w:tplc="B18833FE">
      <w:numFmt w:val="bullet"/>
      <w:lvlText w:val="-"/>
      <w:lvlJc w:val="left"/>
      <w:pPr>
        <w:ind w:left="540" w:hanging="360"/>
      </w:pPr>
      <w:rPr>
        <w:rFonts w:ascii="Calibri" w:eastAsia="Times New Roman" w:hAnsi="Calibri" w:cs="Calibri" w:hint="default"/>
        <w:b/>
      </w:rPr>
    </w:lvl>
    <w:lvl w:ilvl="1" w:tplc="04090003">
      <w:start w:val="1"/>
      <w:numFmt w:val="bullet"/>
      <w:lvlText w:val="o"/>
      <w:lvlJc w:val="left"/>
      <w:pPr>
        <w:ind w:left="1620" w:hanging="360"/>
      </w:pPr>
      <w:rPr>
        <w:rFonts w:ascii="Courier New" w:hAnsi="Courier New" w:cs="Courier New" w:hint="default"/>
      </w:rPr>
    </w:lvl>
    <w:lvl w:ilvl="2" w:tplc="A3E63778">
      <w:numFmt w:val="bullet"/>
      <w:lvlText w:val=""/>
      <w:lvlJc w:val="left"/>
      <w:pPr>
        <w:ind w:left="2340" w:hanging="360"/>
      </w:pPr>
      <w:rPr>
        <w:rFonts w:ascii="Symbol" w:eastAsia="Times New Roman" w:hAnsi="Symbol" w:cs="Courier New"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5AF0575"/>
    <w:multiLevelType w:val="hybridMultilevel"/>
    <w:tmpl w:val="18FA95B2"/>
    <w:lvl w:ilvl="0" w:tplc="B18833FE">
      <w:numFmt w:val="bullet"/>
      <w:lvlText w:val="-"/>
      <w:lvlJc w:val="left"/>
      <w:pPr>
        <w:ind w:left="720" w:hanging="360"/>
      </w:pPr>
      <w:rPr>
        <w:rFonts w:ascii="Calibri" w:eastAsia="Times New Roman"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E5567"/>
    <w:multiLevelType w:val="hybridMultilevel"/>
    <w:tmpl w:val="1F46024C"/>
    <w:lvl w:ilvl="0" w:tplc="B18833FE">
      <w:numFmt w:val="bullet"/>
      <w:lvlText w:val="-"/>
      <w:lvlJc w:val="left"/>
      <w:pPr>
        <w:ind w:left="900" w:hanging="360"/>
      </w:pPr>
      <w:rPr>
        <w:rFonts w:ascii="Calibri" w:eastAsia="Times New Roman" w:hAnsi="Calibri" w:cs="Calibri" w:hint="default"/>
        <w:b/>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9"/>
  </w:num>
  <w:num w:numId="3">
    <w:abstractNumId w:val="14"/>
  </w:num>
  <w:num w:numId="4">
    <w:abstractNumId w:val="6"/>
  </w:num>
  <w:num w:numId="5">
    <w:abstractNumId w:val="1"/>
  </w:num>
  <w:num w:numId="6">
    <w:abstractNumId w:val="0"/>
  </w:num>
  <w:num w:numId="7">
    <w:abstractNumId w:val="11"/>
  </w:num>
  <w:num w:numId="8">
    <w:abstractNumId w:val="16"/>
  </w:num>
  <w:num w:numId="9">
    <w:abstractNumId w:val="10"/>
  </w:num>
  <w:num w:numId="10">
    <w:abstractNumId w:val="17"/>
  </w:num>
  <w:num w:numId="11">
    <w:abstractNumId w:val="7"/>
  </w:num>
  <w:num w:numId="12">
    <w:abstractNumId w:val="13"/>
  </w:num>
  <w:num w:numId="13">
    <w:abstractNumId w:val="8"/>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2"/>
  </w:num>
  <w:num w:numId="21">
    <w:abstractNumId w:val="20"/>
  </w:num>
  <w:num w:numId="22">
    <w:abstractNumId w:val="18"/>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C7"/>
    <w:rsid w:val="000175A0"/>
    <w:rsid w:val="0003148A"/>
    <w:rsid w:val="00032927"/>
    <w:rsid w:val="0004746A"/>
    <w:rsid w:val="0009602E"/>
    <w:rsid w:val="000C1E44"/>
    <w:rsid w:val="00114796"/>
    <w:rsid w:val="00115269"/>
    <w:rsid w:val="00147C22"/>
    <w:rsid w:val="00165BD9"/>
    <w:rsid w:val="001768AB"/>
    <w:rsid w:val="001F449C"/>
    <w:rsid w:val="00210CC1"/>
    <w:rsid w:val="00212D97"/>
    <w:rsid w:val="00246538"/>
    <w:rsid w:val="002701A4"/>
    <w:rsid w:val="00290D58"/>
    <w:rsid w:val="002A59A6"/>
    <w:rsid w:val="002E6848"/>
    <w:rsid w:val="00313CED"/>
    <w:rsid w:val="00317379"/>
    <w:rsid w:val="003270E9"/>
    <w:rsid w:val="0034437C"/>
    <w:rsid w:val="00351186"/>
    <w:rsid w:val="003E1361"/>
    <w:rsid w:val="00405EAA"/>
    <w:rsid w:val="004067F4"/>
    <w:rsid w:val="0042383C"/>
    <w:rsid w:val="00463CD4"/>
    <w:rsid w:val="004669E2"/>
    <w:rsid w:val="00480B4F"/>
    <w:rsid w:val="004C1F5B"/>
    <w:rsid w:val="004D5947"/>
    <w:rsid w:val="00510F79"/>
    <w:rsid w:val="00524EE9"/>
    <w:rsid w:val="00525CCC"/>
    <w:rsid w:val="005300EA"/>
    <w:rsid w:val="00547731"/>
    <w:rsid w:val="005B43F5"/>
    <w:rsid w:val="005B7AC7"/>
    <w:rsid w:val="005E001C"/>
    <w:rsid w:val="006228B4"/>
    <w:rsid w:val="006245E3"/>
    <w:rsid w:val="00645498"/>
    <w:rsid w:val="0064725E"/>
    <w:rsid w:val="0065529C"/>
    <w:rsid w:val="006779AB"/>
    <w:rsid w:val="00681E68"/>
    <w:rsid w:val="006A361A"/>
    <w:rsid w:val="006B33DD"/>
    <w:rsid w:val="006C488C"/>
    <w:rsid w:val="006C52F3"/>
    <w:rsid w:val="006E0B68"/>
    <w:rsid w:val="007379BC"/>
    <w:rsid w:val="00752900"/>
    <w:rsid w:val="00753DA5"/>
    <w:rsid w:val="0076285F"/>
    <w:rsid w:val="007656D4"/>
    <w:rsid w:val="00787D26"/>
    <w:rsid w:val="007D2FC5"/>
    <w:rsid w:val="00807799"/>
    <w:rsid w:val="00836234"/>
    <w:rsid w:val="0084282A"/>
    <w:rsid w:val="00850952"/>
    <w:rsid w:val="00860045"/>
    <w:rsid w:val="00881720"/>
    <w:rsid w:val="008A1C9F"/>
    <w:rsid w:val="008A35C9"/>
    <w:rsid w:val="008A3E37"/>
    <w:rsid w:val="008B5A59"/>
    <w:rsid w:val="008D5916"/>
    <w:rsid w:val="008D5CD7"/>
    <w:rsid w:val="008F56E9"/>
    <w:rsid w:val="00935F0B"/>
    <w:rsid w:val="00946F30"/>
    <w:rsid w:val="00960586"/>
    <w:rsid w:val="00961A78"/>
    <w:rsid w:val="009672B7"/>
    <w:rsid w:val="00970A1F"/>
    <w:rsid w:val="0098497E"/>
    <w:rsid w:val="009A0CC0"/>
    <w:rsid w:val="00A95391"/>
    <w:rsid w:val="00AE558E"/>
    <w:rsid w:val="00B05E9E"/>
    <w:rsid w:val="00B15DEA"/>
    <w:rsid w:val="00B16049"/>
    <w:rsid w:val="00B93C87"/>
    <w:rsid w:val="00BB4BC5"/>
    <w:rsid w:val="00BD4B1A"/>
    <w:rsid w:val="00BF0F58"/>
    <w:rsid w:val="00BF27CA"/>
    <w:rsid w:val="00BF323E"/>
    <w:rsid w:val="00C00AD8"/>
    <w:rsid w:val="00C11430"/>
    <w:rsid w:val="00C2558B"/>
    <w:rsid w:val="00C6114A"/>
    <w:rsid w:val="00C7723B"/>
    <w:rsid w:val="00C832E3"/>
    <w:rsid w:val="00CB5AC7"/>
    <w:rsid w:val="00CB6205"/>
    <w:rsid w:val="00CF4061"/>
    <w:rsid w:val="00D00E48"/>
    <w:rsid w:val="00D01784"/>
    <w:rsid w:val="00D27CEA"/>
    <w:rsid w:val="00D27D86"/>
    <w:rsid w:val="00D55DDA"/>
    <w:rsid w:val="00D61613"/>
    <w:rsid w:val="00D75E13"/>
    <w:rsid w:val="00D964FF"/>
    <w:rsid w:val="00DC7026"/>
    <w:rsid w:val="00DC7153"/>
    <w:rsid w:val="00DD2489"/>
    <w:rsid w:val="00DF186B"/>
    <w:rsid w:val="00E15563"/>
    <w:rsid w:val="00E235D3"/>
    <w:rsid w:val="00E36CAA"/>
    <w:rsid w:val="00E41E26"/>
    <w:rsid w:val="00E44300"/>
    <w:rsid w:val="00E47CD6"/>
    <w:rsid w:val="00E7295D"/>
    <w:rsid w:val="00E80362"/>
    <w:rsid w:val="00EA65D5"/>
    <w:rsid w:val="00ED3FD6"/>
    <w:rsid w:val="00EE01D3"/>
    <w:rsid w:val="00EE1011"/>
    <w:rsid w:val="00EF29DA"/>
    <w:rsid w:val="00F61038"/>
    <w:rsid w:val="00F645AE"/>
    <w:rsid w:val="00F848AB"/>
    <w:rsid w:val="00FB2E34"/>
    <w:rsid w:val="00FC0DFA"/>
    <w:rsid w:val="00FC351F"/>
    <w:rsid w:val="00FD1C96"/>
    <w:rsid w:val="00FF1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C7"/>
    <w:pPr>
      <w:spacing w:after="0" w:line="240" w:lineRule="auto"/>
    </w:pPr>
    <w:rPr>
      <w:rFonts w:ascii="Tahoma" w:eastAsia="Times New Roman" w:hAnsi="Tahoma" w:cs="Tahoma"/>
      <w:sz w:val="18"/>
      <w:szCs w:val="18"/>
      <w:lang w:val="en-US"/>
    </w:rPr>
  </w:style>
  <w:style w:type="paragraph" w:styleId="Heading2">
    <w:name w:val="heading 2"/>
    <w:basedOn w:val="Normal"/>
    <w:next w:val="Normal"/>
    <w:link w:val="Heading2Char"/>
    <w:qFormat/>
    <w:rsid w:val="00CB5AC7"/>
    <w:pPr>
      <w:keepNext/>
      <w:jc w:val="cente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AC7"/>
    <w:rPr>
      <w:rFonts w:ascii="Tahoma" w:eastAsia="Times New Roman" w:hAnsi="Tahoma" w:cs="Tahoma"/>
      <w:b/>
      <w:sz w:val="32"/>
      <w:szCs w:val="32"/>
      <w:lang w:val="en-US"/>
    </w:rPr>
  </w:style>
  <w:style w:type="paragraph" w:styleId="Header">
    <w:name w:val="header"/>
    <w:basedOn w:val="Normal"/>
    <w:link w:val="HeaderChar"/>
    <w:uiPriority w:val="99"/>
    <w:semiHidden/>
    <w:unhideWhenUsed/>
    <w:rsid w:val="00CB5AC7"/>
    <w:pPr>
      <w:tabs>
        <w:tab w:val="center" w:pos="4680"/>
        <w:tab w:val="right" w:pos="9360"/>
      </w:tabs>
    </w:pPr>
  </w:style>
  <w:style w:type="character" w:customStyle="1" w:styleId="HeaderChar">
    <w:name w:val="Header Char"/>
    <w:basedOn w:val="DefaultParagraphFont"/>
    <w:link w:val="Header"/>
    <w:uiPriority w:val="99"/>
    <w:semiHidden/>
    <w:rsid w:val="00CB5AC7"/>
    <w:rPr>
      <w:rFonts w:ascii="Tahoma" w:eastAsia="Times New Roman" w:hAnsi="Tahoma" w:cs="Tahoma"/>
      <w:sz w:val="18"/>
      <w:szCs w:val="18"/>
      <w:lang w:val="en-US"/>
    </w:rPr>
  </w:style>
  <w:style w:type="paragraph" w:styleId="Footer">
    <w:name w:val="footer"/>
    <w:basedOn w:val="Normal"/>
    <w:link w:val="FooterChar"/>
    <w:uiPriority w:val="99"/>
    <w:semiHidden/>
    <w:unhideWhenUsed/>
    <w:rsid w:val="00CB5AC7"/>
    <w:pPr>
      <w:tabs>
        <w:tab w:val="center" w:pos="4680"/>
        <w:tab w:val="right" w:pos="9360"/>
      </w:tabs>
    </w:pPr>
  </w:style>
  <w:style w:type="character" w:customStyle="1" w:styleId="FooterChar">
    <w:name w:val="Footer Char"/>
    <w:basedOn w:val="DefaultParagraphFont"/>
    <w:link w:val="Footer"/>
    <w:uiPriority w:val="99"/>
    <w:semiHidden/>
    <w:rsid w:val="00CB5AC7"/>
    <w:rPr>
      <w:rFonts w:ascii="Tahoma" w:eastAsia="Times New Roman" w:hAnsi="Tahoma" w:cs="Tahoma"/>
      <w:sz w:val="18"/>
      <w:szCs w:val="18"/>
      <w:lang w:val="en-US"/>
    </w:rPr>
  </w:style>
  <w:style w:type="paragraph" w:styleId="ListParagraph">
    <w:name w:val="List Paragraph"/>
    <w:basedOn w:val="Normal"/>
    <w:uiPriority w:val="34"/>
    <w:qFormat/>
    <w:rsid w:val="00CB5AC7"/>
    <w:pPr>
      <w:ind w:left="720"/>
      <w:contextualSpacing/>
    </w:pPr>
  </w:style>
  <w:style w:type="character" w:styleId="Hyperlink">
    <w:name w:val="Hyperlink"/>
    <w:basedOn w:val="DefaultParagraphFont"/>
    <w:rsid w:val="00CB5AC7"/>
    <w:rPr>
      <w:color w:val="0000FF"/>
      <w:u w:val="single"/>
    </w:rPr>
  </w:style>
  <w:style w:type="paragraph" w:styleId="NormalWeb">
    <w:name w:val="Normal (Web)"/>
    <w:basedOn w:val="Normal"/>
    <w:uiPriority w:val="99"/>
    <w:unhideWhenUsed/>
    <w:rsid w:val="00B15DEA"/>
    <w:pPr>
      <w:spacing w:before="100" w:beforeAutospacing="1" w:after="100" w:afterAutospacing="1"/>
    </w:pPr>
    <w:rPr>
      <w:rFonts w:ascii="Times New Roman" w:hAnsi="Times New Roman" w:cs="Times New Roman"/>
      <w:sz w:val="24"/>
      <w:szCs w:val="24"/>
      <w:lang w:val="en-GB" w:eastAsia="en-GB"/>
    </w:rPr>
  </w:style>
  <w:style w:type="table" w:customStyle="1" w:styleId="MediumGrid11">
    <w:name w:val="Medium Grid 11"/>
    <w:basedOn w:val="TableNormal"/>
    <w:uiPriority w:val="67"/>
    <w:rsid w:val="000175A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uiPriority w:val="22"/>
    <w:qFormat/>
    <w:rsid w:val="008D5CD7"/>
    <w:rPr>
      <w:b/>
      <w:bCs/>
    </w:rPr>
  </w:style>
  <w:style w:type="table" w:styleId="MediumGrid1">
    <w:name w:val="Medium Grid 1"/>
    <w:basedOn w:val="TableNormal"/>
    <w:uiPriority w:val="67"/>
    <w:rsid w:val="00D6161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C7"/>
    <w:pPr>
      <w:spacing w:after="0" w:line="240" w:lineRule="auto"/>
    </w:pPr>
    <w:rPr>
      <w:rFonts w:ascii="Tahoma" w:eastAsia="Times New Roman" w:hAnsi="Tahoma" w:cs="Tahoma"/>
      <w:sz w:val="18"/>
      <w:szCs w:val="18"/>
      <w:lang w:val="en-US"/>
    </w:rPr>
  </w:style>
  <w:style w:type="paragraph" w:styleId="Heading2">
    <w:name w:val="heading 2"/>
    <w:basedOn w:val="Normal"/>
    <w:next w:val="Normal"/>
    <w:link w:val="Heading2Char"/>
    <w:qFormat/>
    <w:rsid w:val="00CB5AC7"/>
    <w:pPr>
      <w:keepNext/>
      <w:jc w:val="cente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AC7"/>
    <w:rPr>
      <w:rFonts w:ascii="Tahoma" w:eastAsia="Times New Roman" w:hAnsi="Tahoma" w:cs="Tahoma"/>
      <w:b/>
      <w:sz w:val="32"/>
      <w:szCs w:val="32"/>
      <w:lang w:val="en-US"/>
    </w:rPr>
  </w:style>
  <w:style w:type="paragraph" w:styleId="Header">
    <w:name w:val="header"/>
    <w:basedOn w:val="Normal"/>
    <w:link w:val="HeaderChar"/>
    <w:uiPriority w:val="99"/>
    <w:semiHidden/>
    <w:unhideWhenUsed/>
    <w:rsid w:val="00CB5AC7"/>
    <w:pPr>
      <w:tabs>
        <w:tab w:val="center" w:pos="4680"/>
        <w:tab w:val="right" w:pos="9360"/>
      </w:tabs>
    </w:pPr>
  </w:style>
  <w:style w:type="character" w:customStyle="1" w:styleId="HeaderChar">
    <w:name w:val="Header Char"/>
    <w:basedOn w:val="DefaultParagraphFont"/>
    <w:link w:val="Header"/>
    <w:uiPriority w:val="99"/>
    <w:semiHidden/>
    <w:rsid w:val="00CB5AC7"/>
    <w:rPr>
      <w:rFonts w:ascii="Tahoma" w:eastAsia="Times New Roman" w:hAnsi="Tahoma" w:cs="Tahoma"/>
      <w:sz w:val="18"/>
      <w:szCs w:val="18"/>
      <w:lang w:val="en-US"/>
    </w:rPr>
  </w:style>
  <w:style w:type="paragraph" w:styleId="Footer">
    <w:name w:val="footer"/>
    <w:basedOn w:val="Normal"/>
    <w:link w:val="FooterChar"/>
    <w:uiPriority w:val="99"/>
    <w:semiHidden/>
    <w:unhideWhenUsed/>
    <w:rsid w:val="00CB5AC7"/>
    <w:pPr>
      <w:tabs>
        <w:tab w:val="center" w:pos="4680"/>
        <w:tab w:val="right" w:pos="9360"/>
      </w:tabs>
    </w:pPr>
  </w:style>
  <w:style w:type="character" w:customStyle="1" w:styleId="FooterChar">
    <w:name w:val="Footer Char"/>
    <w:basedOn w:val="DefaultParagraphFont"/>
    <w:link w:val="Footer"/>
    <w:uiPriority w:val="99"/>
    <w:semiHidden/>
    <w:rsid w:val="00CB5AC7"/>
    <w:rPr>
      <w:rFonts w:ascii="Tahoma" w:eastAsia="Times New Roman" w:hAnsi="Tahoma" w:cs="Tahoma"/>
      <w:sz w:val="18"/>
      <w:szCs w:val="18"/>
      <w:lang w:val="en-US"/>
    </w:rPr>
  </w:style>
  <w:style w:type="paragraph" w:styleId="ListParagraph">
    <w:name w:val="List Paragraph"/>
    <w:basedOn w:val="Normal"/>
    <w:uiPriority w:val="34"/>
    <w:qFormat/>
    <w:rsid w:val="00CB5AC7"/>
    <w:pPr>
      <w:ind w:left="720"/>
      <w:contextualSpacing/>
    </w:pPr>
  </w:style>
  <w:style w:type="character" w:styleId="Hyperlink">
    <w:name w:val="Hyperlink"/>
    <w:basedOn w:val="DefaultParagraphFont"/>
    <w:rsid w:val="00CB5AC7"/>
    <w:rPr>
      <w:color w:val="0000FF"/>
      <w:u w:val="single"/>
    </w:rPr>
  </w:style>
  <w:style w:type="paragraph" w:styleId="NormalWeb">
    <w:name w:val="Normal (Web)"/>
    <w:basedOn w:val="Normal"/>
    <w:uiPriority w:val="99"/>
    <w:unhideWhenUsed/>
    <w:rsid w:val="00B15DEA"/>
    <w:pPr>
      <w:spacing w:before="100" w:beforeAutospacing="1" w:after="100" w:afterAutospacing="1"/>
    </w:pPr>
    <w:rPr>
      <w:rFonts w:ascii="Times New Roman" w:hAnsi="Times New Roman" w:cs="Times New Roman"/>
      <w:sz w:val="24"/>
      <w:szCs w:val="24"/>
      <w:lang w:val="en-GB" w:eastAsia="en-GB"/>
    </w:rPr>
  </w:style>
  <w:style w:type="table" w:customStyle="1" w:styleId="MediumGrid11">
    <w:name w:val="Medium Grid 11"/>
    <w:basedOn w:val="TableNormal"/>
    <w:uiPriority w:val="67"/>
    <w:rsid w:val="000175A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uiPriority w:val="22"/>
    <w:qFormat/>
    <w:rsid w:val="008D5CD7"/>
    <w:rPr>
      <w:b/>
      <w:bCs/>
    </w:rPr>
  </w:style>
  <w:style w:type="table" w:styleId="MediumGrid1">
    <w:name w:val="Medium Grid 1"/>
    <w:basedOn w:val="TableNormal"/>
    <w:uiPriority w:val="67"/>
    <w:rsid w:val="00D6161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7232">
      <w:bodyDiv w:val="1"/>
      <w:marLeft w:val="0"/>
      <w:marRight w:val="0"/>
      <w:marTop w:val="0"/>
      <w:marBottom w:val="0"/>
      <w:divBdr>
        <w:top w:val="none" w:sz="0" w:space="0" w:color="auto"/>
        <w:left w:val="none" w:sz="0" w:space="0" w:color="auto"/>
        <w:bottom w:val="none" w:sz="0" w:space="0" w:color="auto"/>
        <w:right w:val="none" w:sz="0" w:space="0" w:color="auto"/>
      </w:divBdr>
    </w:div>
    <w:div w:id="657467470">
      <w:bodyDiv w:val="1"/>
      <w:marLeft w:val="0"/>
      <w:marRight w:val="0"/>
      <w:marTop w:val="0"/>
      <w:marBottom w:val="0"/>
      <w:divBdr>
        <w:top w:val="none" w:sz="0" w:space="0" w:color="auto"/>
        <w:left w:val="none" w:sz="0" w:space="0" w:color="auto"/>
        <w:bottom w:val="none" w:sz="0" w:space="0" w:color="auto"/>
        <w:right w:val="none" w:sz="0" w:space="0" w:color="auto"/>
      </w:divBdr>
      <w:divsChild>
        <w:div w:id="1555116222">
          <w:marLeft w:val="187"/>
          <w:marRight w:val="0"/>
          <w:marTop w:val="120"/>
          <w:marBottom w:val="120"/>
          <w:divBdr>
            <w:top w:val="none" w:sz="0" w:space="0" w:color="auto"/>
            <w:left w:val="none" w:sz="0" w:space="0" w:color="auto"/>
            <w:bottom w:val="none" w:sz="0" w:space="0" w:color="auto"/>
            <w:right w:val="none" w:sz="0" w:space="0" w:color="auto"/>
          </w:divBdr>
        </w:div>
        <w:div w:id="5137390">
          <w:marLeft w:val="187"/>
          <w:marRight w:val="0"/>
          <w:marTop w:val="120"/>
          <w:marBottom w:val="120"/>
          <w:divBdr>
            <w:top w:val="none" w:sz="0" w:space="0" w:color="auto"/>
            <w:left w:val="none" w:sz="0" w:space="0" w:color="auto"/>
            <w:bottom w:val="none" w:sz="0" w:space="0" w:color="auto"/>
            <w:right w:val="none" w:sz="0" w:space="0" w:color="auto"/>
          </w:divBdr>
        </w:div>
        <w:div w:id="1397511915">
          <w:marLeft w:val="187"/>
          <w:marRight w:val="0"/>
          <w:marTop w:val="120"/>
          <w:marBottom w:val="120"/>
          <w:divBdr>
            <w:top w:val="none" w:sz="0" w:space="0" w:color="auto"/>
            <w:left w:val="none" w:sz="0" w:space="0" w:color="auto"/>
            <w:bottom w:val="none" w:sz="0" w:space="0" w:color="auto"/>
            <w:right w:val="none" w:sz="0" w:space="0" w:color="auto"/>
          </w:divBdr>
        </w:div>
        <w:div w:id="257641804">
          <w:marLeft w:val="187"/>
          <w:marRight w:val="0"/>
          <w:marTop w:val="120"/>
          <w:marBottom w:val="120"/>
          <w:divBdr>
            <w:top w:val="none" w:sz="0" w:space="0" w:color="auto"/>
            <w:left w:val="none" w:sz="0" w:space="0" w:color="auto"/>
            <w:bottom w:val="none" w:sz="0" w:space="0" w:color="auto"/>
            <w:right w:val="none" w:sz="0" w:space="0" w:color="auto"/>
          </w:divBdr>
        </w:div>
        <w:div w:id="208494758">
          <w:marLeft w:val="187"/>
          <w:marRight w:val="0"/>
          <w:marTop w:val="120"/>
          <w:marBottom w:val="120"/>
          <w:divBdr>
            <w:top w:val="none" w:sz="0" w:space="0" w:color="auto"/>
            <w:left w:val="none" w:sz="0" w:space="0" w:color="auto"/>
            <w:bottom w:val="none" w:sz="0" w:space="0" w:color="auto"/>
            <w:right w:val="none" w:sz="0" w:space="0" w:color="auto"/>
          </w:divBdr>
        </w:div>
        <w:div w:id="1578972937">
          <w:marLeft w:val="187"/>
          <w:marRight w:val="0"/>
          <w:marTop w:val="120"/>
          <w:marBottom w:val="120"/>
          <w:divBdr>
            <w:top w:val="none" w:sz="0" w:space="0" w:color="auto"/>
            <w:left w:val="none" w:sz="0" w:space="0" w:color="auto"/>
            <w:bottom w:val="none" w:sz="0" w:space="0" w:color="auto"/>
            <w:right w:val="none" w:sz="0" w:space="0" w:color="auto"/>
          </w:divBdr>
        </w:div>
        <w:div w:id="2018993423">
          <w:marLeft w:val="187"/>
          <w:marRight w:val="0"/>
          <w:marTop w:val="120"/>
          <w:marBottom w:val="120"/>
          <w:divBdr>
            <w:top w:val="none" w:sz="0" w:space="0" w:color="auto"/>
            <w:left w:val="none" w:sz="0" w:space="0" w:color="auto"/>
            <w:bottom w:val="none" w:sz="0" w:space="0" w:color="auto"/>
            <w:right w:val="none" w:sz="0" w:space="0" w:color="auto"/>
          </w:divBdr>
        </w:div>
      </w:divsChild>
    </w:div>
    <w:div w:id="706873421">
      <w:bodyDiv w:val="1"/>
      <w:marLeft w:val="0"/>
      <w:marRight w:val="0"/>
      <w:marTop w:val="0"/>
      <w:marBottom w:val="0"/>
      <w:divBdr>
        <w:top w:val="none" w:sz="0" w:space="0" w:color="auto"/>
        <w:left w:val="none" w:sz="0" w:space="0" w:color="auto"/>
        <w:bottom w:val="none" w:sz="0" w:space="0" w:color="auto"/>
        <w:right w:val="none" w:sz="0" w:space="0" w:color="auto"/>
      </w:divBdr>
      <w:divsChild>
        <w:div w:id="1501891376">
          <w:marLeft w:val="547"/>
          <w:marRight w:val="0"/>
          <w:marTop w:val="67"/>
          <w:marBottom w:val="0"/>
          <w:divBdr>
            <w:top w:val="none" w:sz="0" w:space="0" w:color="auto"/>
            <w:left w:val="none" w:sz="0" w:space="0" w:color="auto"/>
            <w:bottom w:val="none" w:sz="0" w:space="0" w:color="auto"/>
            <w:right w:val="none" w:sz="0" w:space="0" w:color="auto"/>
          </w:divBdr>
        </w:div>
        <w:div w:id="1274366826">
          <w:marLeft w:val="547"/>
          <w:marRight w:val="0"/>
          <w:marTop w:val="67"/>
          <w:marBottom w:val="0"/>
          <w:divBdr>
            <w:top w:val="none" w:sz="0" w:space="0" w:color="auto"/>
            <w:left w:val="none" w:sz="0" w:space="0" w:color="auto"/>
            <w:bottom w:val="none" w:sz="0" w:space="0" w:color="auto"/>
            <w:right w:val="none" w:sz="0" w:space="0" w:color="auto"/>
          </w:divBdr>
        </w:div>
        <w:div w:id="1333068386">
          <w:marLeft w:val="547"/>
          <w:marRight w:val="0"/>
          <w:marTop w:val="67"/>
          <w:marBottom w:val="0"/>
          <w:divBdr>
            <w:top w:val="none" w:sz="0" w:space="0" w:color="auto"/>
            <w:left w:val="none" w:sz="0" w:space="0" w:color="auto"/>
            <w:bottom w:val="none" w:sz="0" w:space="0" w:color="auto"/>
            <w:right w:val="none" w:sz="0" w:space="0" w:color="auto"/>
          </w:divBdr>
        </w:div>
        <w:div w:id="2000688516">
          <w:marLeft w:val="547"/>
          <w:marRight w:val="0"/>
          <w:marTop w:val="67"/>
          <w:marBottom w:val="0"/>
          <w:divBdr>
            <w:top w:val="none" w:sz="0" w:space="0" w:color="auto"/>
            <w:left w:val="none" w:sz="0" w:space="0" w:color="auto"/>
            <w:bottom w:val="none" w:sz="0" w:space="0" w:color="auto"/>
            <w:right w:val="none" w:sz="0" w:space="0" w:color="auto"/>
          </w:divBdr>
        </w:div>
        <w:div w:id="2097819540">
          <w:marLeft w:val="547"/>
          <w:marRight w:val="0"/>
          <w:marTop w:val="67"/>
          <w:marBottom w:val="0"/>
          <w:divBdr>
            <w:top w:val="none" w:sz="0" w:space="0" w:color="auto"/>
            <w:left w:val="none" w:sz="0" w:space="0" w:color="auto"/>
            <w:bottom w:val="none" w:sz="0" w:space="0" w:color="auto"/>
            <w:right w:val="none" w:sz="0" w:space="0" w:color="auto"/>
          </w:divBdr>
        </w:div>
        <w:div w:id="1752001231">
          <w:marLeft w:val="547"/>
          <w:marRight w:val="0"/>
          <w:marTop w:val="67"/>
          <w:marBottom w:val="0"/>
          <w:divBdr>
            <w:top w:val="none" w:sz="0" w:space="0" w:color="auto"/>
            <w:left w:val="none" w:sz="0" w:space="0" w:color="auto"/>
            <w:bottom w:val="none" w:sz="0" w:space="0" w:color="auto"/>
            <w:right w:val="none" w:sz="0" w:space="0" w:color="auto"/>
          </w:divBdr>
        </w:div>
        <w:div w:id="999693122">
          <w:marLeft w:val="547"/>
          <w:marRight w:val="0"/>
          <w:marTop w:val="67"/>
          <w:marBottom w:val="0"/>
          <w:divBdr>
            <w:top w:val="none" w:sz="0" w:space="0" w:color="auto"/>
            <w:left w:val="none" w:sz="0" w:space="0" w:color="auto"/>
            <w:bottom w:val="none" w:sz="0" w:space="0" w:color="auto"/>
            <w:right w:val="none" w:sz="0" w:space="0" w:color="auto"/>
          </w:divBdr>
        </w:div>
        <w:div w:id="1010181399">
          <w:marLeft w:val="547"/>
          <w:marRight w:val="0"/>
          <w:marTop w:val="67"/>
          <w:marBottom w:val="0"/>
          <w:divBdr>
            <w:top w:val="none" w:sz="0" w:space="0" w:color="auto"/>
            <w:left w:val="none" w:sz="0" w:space="0" w:color="auto"/>
            <w:bottom w:val="none" w:sz="0" w:space="0" w:color="auto"/>
            <w:right w:val="none" w:sz="0" w:space="0" w:color="auto"/>
          </w:divBdr>
        </w:div>
        <w:div w:id="1060714606">
          <w:marLeft w:val="547"/>
          <w:marRight w:val="0"/>
          <w:marTop w:val="67"/>
          <w:marBottom w:val="0"/>
          <w:divBdr>
            <w:top w:val="none" w:sz="0" w:space="0" w:color="auto"/>
            <w:left w:val="none" w:sz="0" w:space="0" w:color="auto"/>
            <w:bottom w:val="none" w:sz="0" w:space="0" w:color="auto"/>
            <w:right w:val="none" w:sz="0" w:space="0" w:color="auto"/>
          </w:divBdr>
        </w:div>
        <w:div w:id="1915318006">
          <w:marLeft w:val="547"/>
          <w:marRight w:val="0"/>
          <w:marTop w:val="67"/>
          <w:marBottom w:val="0"/>
          <w:divBdr>
            <w:top w:val="none" w:sz="0" w:space="0" w:color="auto"/>
            <w:left w:val="none" w:sz="0" w:space="0" w:color="auto"/>
            <w:bottom w:val="none" w:sz="0" w:space="0" w:color="auto"/>
            <w:right w:val="none" w:sz="0" w:space="0" w:color="auto"/>
          </w:divBdr>
        </w:div>
        <w:div w:id="255597133">
          <w:marLeft w:val="547"/>
          <w:marRight w:val="0"/>
          <w:marTop w:val="67"/>
          <w:marBottom w:val="0"/>
          <w:divBdr>
            <w:top w:val="none" w:sz="0" w:space="0" w:color="auto"/>
            <w:left w:val="none" w:sz="0" w:space="0" w:color="auto"/>
            <w:bottom w:val="none" w:sz="0" w:space="0" w:color="auto"/>
            <w:right w:val="none" w:sz="0" w:space="0" w:color="auto"/>
          </w:divBdr>
        </w:div>
        <w:div w:id="306663003">
          <w:marLeft w:val="547"/>
          <w:marRight w:val="0"/>
          <w:marTop w:val="67"/>
          <w:marBottom w:val="0"/>
          <w:divBdr>
            <w:top w:val="none" w:sz="0" w:space="0" w:color="auto"/>
            <w:left w:val="none" w:sz="0" w:space="0" w:color="auto"/>
            <w:bottom w:val="none" w:sz="0" w:space="0" w:color="auto"/>
            <w:right w:val="none" w:sz="0" w:space="0" w:color="auto"/>
          </w:divBdr>
        </w:div>
      </w:divsChild>
    </w:div>
    <w:div w:id="1301574760">
      <w:bodyDiv w:val="1"/>
      <w:marLeft w:val="0"/>
      <w:marRight w:val="0"/>
      <w:marTop w:val="0"/>
      <w:marBottom w:val="0"/>
      <w:divBdr>
        <w:top w:val="none" w:sz="0" w:space="0" w:color="auto"/>
        <w:left w:val="none" w:sz="0" w:space="0" w:color="auto"/>
        <w:bottom w:val="none" w:sz="0" w:space="0" w:color="auto"/>
        <w:right w:val="none" w:sz="0" w:space="0" w:color="auto"/>
      </w:divBdr>
      <w:divsChild>
        <w:div w:id="166676671">
          <w:marLeft w:val="1267"/>
          <w:marRight w:val="0"/>
          <w:marTop w:val="120"/>
          <w:marBottom w:val="120"/>
          <w:divBdr>
            <w:top w:val="none" w:sz="0" w:space="0" w:color="auto"/>
            <w:left w:val="none" w:sz="0" w:space="0" w:color="auto"/>
            <w:bottom w:val="none" w:sz="0" w:space="0" w:color="auto"/>
            <w:right w:val="none" w:sz="0" w:space="0" w:color="auto"/>
          </w:divBdr>
        </w:div>
        <w:div w:id="1499996451">
          <w:marLeft w:val="1267"/>
          <w:marRight w:val="0"/>
          <w:marTop w:val="120"/>
          <w:marBottom w:val="120"/>
          <w:divBdr>
            <w:top w:val="none" w:sz="0" w:space="0" w:color="auto"/>
            <w:left w:val="none" w:sz="0" w:space="0" w:color="auto"/>
            <w:bottom w:val="none" w:sz="0" w:space="0" w:color="auto"/>
            <w:right w:val="none" w:sz="0" w:space="0" w:color="auto"/>
          </w:divBdr>
        </w:div>
      </w:divsChild>
    </w:div>
    <w:div w:id="1422414968">
      <w:bodyDiv w:val="1"/>
      <w:marLeft w:val="0"/>
      <w:marRight w:val="0"/>
      <w:marTop w:val="0"/>
      <w:marBottom w:val="0"/>
      <w:divBdr>
        <w:top w:val="none" w:sz="0" w:space="0" w:color="auto"/>
        <w:left w:val="none" w:sz="0" w:space="0" w:color="auto"/>
        <w:bottom w:val="none" w:sz="0" w:space="0" w:color="auto"/>
        <w:right w:val="none" w:sz="0" w:space="0" w:color="auto"/>
      </w:divBdr>
      <w:divsChild>
        <w:div w:id="400298191">
          <w:marLeft w:val="360"/>
          <w:marRight w:val="0"/>
          <w:marTop w:val="0"/>
          <w:marBottom w:val="0"/>
          <w:divBdr>
            <w:top w:val="none" w:sz="0" w:space="0" w:color="auto"/>
            <w:left w:val="none" w:sz="0" w:space="0" w:color="auto"/>
            <w:bottom w:val="none" w:sz="0" w:space="0" w:color="auto"/>
            <w:right w:val="none" w:sz="0" w:space="0" w:color="auto"/>
          </w:divBdr>
        </w:div>
        <w:div w:id="1469277595">
          <w:marLeft w:val="360"/>
          <w:marRight w:val="0"/>
          <w:marTop w:val="0"/>
          <w:marBottom w:val="0"/>
          <w:divBdr>
            <w:top w:val="none" w:sz="0" w:space="0" w:color="auto"/>
            <w:left w:val="none" w:sz="0" w:space="0" w:color="auto"/>
            <w:bottom w:val="none" w:sz="0" w:space="0" w:color="auto"/>
            <w:right w:val="none" w:sz="0" w:space="0" w:color="auto"/>
          </w:divBdr>
        </w:div>
        <w:div w:id="295726176">
          <w:marLeft w:val="360"/>
          <w:marRight w:val="0"/>
          <w:marTop w:val="0"/>
          <w:marBottom w:val="0"/>
          <w:divBdr>
            <w:top w:val="none" w:sz="0" w:space="0" w:color="auto"/>
            <w:left w:val="none" w:sz="0" w:space="0" w:color="auto"/>
            <w:bottom w:val="none" w:sz="0" w:space="0" w:color="auto"/>
            <w:right w:val="none" w:sz="0" w:space="0" w:color="auto"/>
          </w:divBdr>
        </w:div>
        <w:div w:id="1742484027">
          <w:marLeft w:val="360"/>
          <w:marRight w:val="0"/>
          <w:marTop w:val="0"/>
          <w:marBottom w:val="0"/>
          <w:divBdr>
            <w:top w:val="none" w:sz="0" w:space="0" w:color="auto"/>
            <w:left w:val="none" w:sz="0" w:space="0" w:color="auto"/>
            <w:bottom w:val="none" w:sz="0" w:space="0" w:color="auto"/>
            <w:right w:val="none" w:sz="0" w:space="0" w:color="auto"/>
          </w:divBdr>
        </w:div>
        <w:div w:id="68231690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s.com/offerings/it_infrastructure/Pages/default.aspx" TargetMode="External"/><Relationship Id="rId18" Type="http://schemas.openxmlformats.org/officeDocument/2006/relationships/hyperlink" Target="http://twitter.com/TCS_New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ramachandra@tcs.com" TargetMode="External"/><Relationship Id="rId7" Type="http://schemas.openxmlformats.org/officeDocument/2006/relationships/footnotes" Target="footnotes.xml"/><Relationship Id="rId12" Type="http://schemas.openxmlformats.org/officeDocument/2006/relationships/hyperlink" Target="http://www.tcs.com/offerings/business_process_outsourcing_BPO/Pages/default.aspx" TargetMode="External"/><Relationship Id="rId17" Type="http://schemas.openxmlformats.org/officeDocument/2006/relationships/hyperlink" Target="http://www.tc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s.com/about/tcs_difference/global_delivery/Pages/default.aspx" TargetMode="External"/><Relationship Id="rId20" Type="http://schemas.openxmlformats.org/officeDocument/2006/relationships/hyperlink" Target="mailto:Pradipta.bagchi@tcs.com/ashish.babu@tcs.co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s.com/offerings/it-services/Pages/default.asp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cs.com/offerings/assurance_services/Pages/default.aspx" TargetMode="External"/><Relationship Id="rId23" Type="http://schemas.openxmlformats.org/officeDocument/2006/relationships/hyperlink" Target="mailto:Kedar.shirali@tcs.com" TargetMode="External"/><Relationship Id="rId28" Type="http://schemas.openxmlformats.org/officeDocument/2006/relationships/customXml" Target="../customXml/item2.xml"/><Relationship Id="rId10" Type="http://schemas.openxmlformats.org/officeDocument/2006/relationships/hyperlink" Target="http://www.tcs.com/offerings/consulting/Pages/default.aspx" TargetMode="External"/><Relationship Id="rId19" Type="http://schemas.openxmlformats.org/officeDocument/2006/relationships/hyperlink" Target="http://www.tcs.com/rss_feeds/Pages/feed.aspx?f=p" TargetMode="External"/><Relationship Id="rId4" Type="http://schemas.microsoft.com/office/2007/relationships/stylesWithEffects" Target="stylesWithEffects.xml"/><Relationship Id="rId9" Type="http://schemas.openxmlformats.org/officeDocument/2006/relationships/hyperlink" Target="http://www.tcs.com/offerings/it-services/Pages/default.aspx" TargetMode="External"/><Relationship Id="rId14" Type="http://schemas.openxmlformats.org/officeDocument/2006/relationships/hyperlink" Target="http://www.tcs.com/offerings/engineering_services/Pages/default.aspx" TargetMode="External"/><Relationship Id="rId22" Type="http://schemas.openxmlformats.org/officeDocument/2006/relationships/hyperlink" Target="mailto:shamala.p@tcs.co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0A62649BFED4DA15E80F1C3D50542" ma:contentTypeVersion="1" ma:contentTypeDescription="Opret et nyt dokument." ma:contentTypeScope="" ma:versionID="96f573c8d3454a2b70322325e7de7c4a">
  <xsd:schema xmlns:xsd="http://www.w3.org/2001/XMLSchema" xmlns:xs="http://www.w3.org/2001/XMLSchema" xmlns:p="http://schemas.microsoft.com/office/2006/metadata/properties" xmlns:ns2="bd3ddffc-5584-4782-a57e-d62757a232c6" targetNamespace="http://schemas.microsoft.com/office/2006/metadata/properties" ma:root="true" ma:fieldsID="beaac7a5d09342b0ae03e88342699602" ns2:_="">
    <xsd:import namespace="bd3ddffc-5584-4782-a57e-d62757a232c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ddffc-5584-4782-a57e-d62757a232c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F11B5-EA6E-46A1-B7E8-A03EEA66F576}"/>
</file>

<file path=customXml/itemProps2.xml><?xml version="1.0" encoding="utf-8"?>
<ds:datastoreItem xmlns:ds="http://schemas.openxmlformats.org/officeDocument/2006/customXml" ds:itemID="{E6EC73A7-7E63-45D2-8482-3EBDE220EA6C}"/>
</file>

<file path=customXml/itemProps3.xml><?xml version="1.0" encoding="utf-8"?>
<ds:datastoreItem xmlns:ds="http://schemas.openxmlformats.org/officeDocument/2006/customXml" ds:itemID="{E3FCD173-9875-4F5F-A269-F05BFA23A7F4}"/>
</file>

<file path=customXml/itemProps4.xml><?xml version="1.0" encoding="utf-8"?>
<ds:datastoreItem xmlns:ds="http://schemas.openxmlformats.org/officeDocument/2006/customXml" ds:itemID="{D6ED574E-A29D-4CD5-B430-08CB7D4DC38B}"/>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112512</dc:creator>
  <cp:lastModifiedBy>Fleishman-Hillard</cp:lastModifiedBy>
  <cp:revision>2</cp:revision>
  <cp:lastPrinted>2013-10-15T08:12:00Z</cp:lastPrinted>
  <dcterms:created xsi:type="dcterms:W3CDTF">2014-10-16T11:13:00Z</dcterms:created>
  <dcterms:modified xsi:type="dcterms:W3CDTF">2014-10-16T11:13:00Z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0x01010000E0A62649BFED4DA15E80F1C3D50542</vt:lpwstr>
  </property>
</Properties>
</file>