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F300AA" w:rsidRDefault="007A3A2F" w:rsidP="007A3A2F">
      <w:pPr>
        <w:pStyle w:val="titel"/>
        <w:rPr>
          <w:sz w:val="22"/>
          <w:szCs w:val="22"/>
          <w:lang w:val="en-US"/>
        </w:rPr>
      </w:pPr>
      <w:r w:rsidRPr="00F300AA">
        <w:rPr>
          <w:sz w:val="22"/>
          <w:szCs w:val="22"/>
          <w:lang w:val="en-US"/>
        </w:rPr>
        <w:t>GOETHEANUM</w:t>
      </w:r>
      <w:r w:rsidRPr="00F300AA">
        <w:rPr>
          <w:sz w:val="22"/>
          <w:szCs w:val="22"/>
          <w:lang w:val="en-US"/>
        </w:rPr>
        <w:tab/>
      </w:r>
      <w:r w:rsidR="00B90BB3" w:rsidRPr="00F300AA">
        <w:rPr>
          <w:sz w:val="22"/>
          <w:szCs w:val="22"/>
          <w:lang w:val="en-US"/>
        </w:rPr>
        <w:t xml:space="preserve"> </w:t>
      </w:r>
      <w:r w:rsidR="0081275A" w:rsidRPr="00F300AA">
        <w:rPr>
          <w:sz w:val="22"/>
          <w:szCs w:val="22"/>
          <w:lang w:val="en-US"/>
        </w:rPr>
        <w:t>COMUNICACIÓN</w:t>
      </w:r>
    </w:p>
    <w:p w14:paraId="2CA980B4" w14:textId="77777777" w:rsidR="007A3A2F" w:rsidRPr="00F300AA" w:rsidRDefault="007A3A2F" w:rsidP="007A3A2F">
      <w:pPr>
        <w:pStyle w:val="titel"/>
        <w:jc w:val="right"/>
        <w:rPr>
          <w:sz w:val="22"/>
          <w:szCs w:val="22"/>
          <w:lang w:val="en-US"/>
        </w:rPr>
      </w:pPr>
    </w:p>
    <w:p w14:paraId="4D220341" w14:textId="77777777" w:rsidR="004E6D09" w:rsidRPr="004E6D09" w:rsidRDefault="004E6D09" w:rsidP="004E6D09">
      <w:pPr>
        <w:pStyle w:val="titel"/>
        <w:jc w:val="right"/>
        <w:rPr>
          <w:rFonts w:ascii="Titillium Lt" w:hAnsi="Titillium Lt" w:cs="Titillium Lt"/>
          <w:sz w:val="22"/>
          <w:szCs w:val="22"/>
          <w:lang w:val="en-US"/>
        </w:rPr>
      </w:pPr>
      <w:r w:rsidRPr="00F300AA">
        <w:rPr>
          <w:sz w:val="22"/>
          <w:szCs w:val="22"/>
          <w:lang w:val="en-US"/>
        </w:rPr>
        <w:tab/>
      </w:r>
      <w:r w:rsidRPr="004E6D09">
        <w:rPr>
          <w:sz w:val="22"/>
          <w:szCs w:val="22"/>
          <w:lang w:val="en-US"/>
        </w:rPr>
        <w:t>Goetheanum, Dornach, Suiza, 26 de agosto de 2024</w:t>
      </w:r>
    </w:p>
    <w:p w14:paraId="2CE3BAE4" w14:textId="77777777" w:rsidR="004E6D09" w:rsidRPr="004E6D09" w:rsidRDefault="004E6D09" w:rsidP="004E6D09">
      <w:pPr>
        <w:pStyle w:val="titel"/>
        <w:rPr>
          <w:sz w:val="28"/>
          <w:szCs w:val="28"/>
          <w:lang w:val="en-US"/>
        </w:rPr>
      </w:pPr>
    </w:p>
    <w:p w14:paraId="37859458" w14:textId="77777777" w:rsidR="004E6D09" w:rsidRPr="004E6D09" w:rsidRDefault="004E6D09" w:rsidP="004E6D09">
      <w:pPr>
        <w:pStyle w:val="titel"/>
        <w:spacing w:before="57"/>
        <w:rPr>
          <w:b/>
          <w:bCs/>
          <w:sz w:val="28"/>
          <w:szCs w:val="28"/>
          <w:lang w:val="en-US"/>
        </w:rPr>
      </w:pPr>
      <w:r w:rsidRPr="004E6D09">
        <w:rPr>
          <w:b/>
          <w:bCs/>
          <w:sz w:val="28"/>
          <w:szCs w:val="28"/>
          <w:lang w:val="en-US"/>
        </w:rPr>
        <w:t>El derecho humano a alimentos sanos</w:t>
      </w:r>
    </w:p>
    <w:p w14:paraId="1A98D3CE" w14:textId="77777777" w:rsidR="004E6D09" w:rsidRPr="004E6D09" w:rsidRDefault="004E6D09" w:rsidP="004E6D09">
      <w:pPr>
        <w:pStyle w:val="titel"/>
        <w:spacing w:before="57"/>
        <w:rPr>
          <w:b/>
          <w:bCs/>
          <w:sz w:val="24"/>
          <w:szCs w:val="24"/>
          <w:lang w:val="en-US"/>
        </w:rPr>
      </w:pPr>
      <w:r w:rsidRPr="004E6D09">
        <w:rPr>
          <w:b/>
          <w:bCs/>
          <w:sz w:val="24"/>
          <w:szCs w:val="24"/>
          <w:lang w:val="en-US"/>
        </w:rPr>
        <w:t>Cortometraje sobre 100 años agricultura biodinámica</w:t>
      </w:r>
    </w:p>
    <w:p w14:paraId="74024586" w14:textId="77777777" w:rsidR="004E6D09" w:rsidRPr="004E6D09" w:rsidRDefault="004E6D09" w:rsidP="004E6D09">
      <w:pPr>
        <w:pStyle w:val="body"/>
        <w:rPr>
          <w:b/>
          <w:bCs/>
          <w:lang w:val="en-US"/>
        </w:rPr>
      </w:pPr>
    </w:p>
    <w:p w14:paraId="16320EA8" w14:textId="77777777" w:rsidR="004E6D09" w:rsidRPr="004E6D09" w:rsidRDefault="004E6D09" w:rsidP="004E6D09">
      <w:pPr>
        <w:pStyle w:val="body"/>
        <w:rPr>
          <w:rFonts w:ascii="Titillium" w:hAnsi="Titillium" w:cs="Titillium"/>
          <w:b/>
          <w:bCs/>
          <w:spacing w:val="-1"/>
          <w:lang w:val="en-US"/>
        </w:rPr>
      </w:pPr>
      <w:r w:rsidRPr="004E6D09">
        <w:rPr>
          <w:rFonts w:ascii="Titillium" w:hAnsi="Titillium" w:cs="Titillium"/>
          <w:b/>
          <w:bCs/>
          <w:spacing w:val="-1"/>
          <w:lang w:val="en-US"/>
        </w:rPr>
        <w:t>La agricultura alimenta a las personas. Mientras que la población mundial sigue creciendo, la proporción de personas activas en la agricultura disminuye. Desde hace 100 años, la agricultura biodinámica ha demostrado que es un ámbito de trabajo significativo y atractivo que ofrece respuestas a muchos de los actuales retos ambientales y sociales.</w:t>
      </w:r>
    </w:p>
    <w:p w14:paraId="196908F1" w14:textId="77777777" w:rsidR="004E6D09" w:rsidRPr="004E6D09" w:rsidRDefault="004E6D09" w:rsidP="004E6D09">
      <w:pPr>
        <w:pStyle w:val="body"/>
        <w:rPr>
          <w:rFonts w:ascii="Titillium" w:hAnsi="Titillium" w:cs="Titillium"/>
          <w:spacing w:val="1"/>
          <w:lang w:val="en-US"/>
        </w:rPr>
      </w:pPr>
    </w:p>
    <w:p w14:paraId="6D88CB15" w14:textId="77777777" w:rsidR="004E6D09" w:rsidRPr="004E6D09" w:rsidRDefault="004E6D09" w:rsidP="004E6D09">
      <w:pPr>
        <w:pStyle w:val="body"/>
        <w:rPr>
          <w:rFonts w:ascii="Titillium" w:hAnsi="Titillium" w:cs="Titillium"/>
          <w:spacing w:val="1"/>
          <w:lang w:val="en-US"/>
        </w:rPr>
      </w:pPr>
      <w:r w:rsidRPr="004E6D09">
        <w:rPr>
          <w:rFonts w:ascii="Titillium" w:hAnsi="Titillium" w:cs="Titillium"/>
          <w:spacing w:val="1"/>
          <w:lang w:val="en-US"/>
        </w:rPr>
        <w:t xml:space="preserve">Para Anthoni Selvi, agricultora y profesora de agricultura biodinámica en la India, una cosa está clara: «Es nuestro derecho humano comer alimentos sanos». Pero, ¿qué pasa con los que producen los alimentos? A menudo se les pasa por alto, a pesar de que son cada vez menos los que alimentan al resto de la población. El porcentaje de personas que trabajan en la agricultura ha disminuido drásticamente. </w:t>
      </w:r>
    </w:p>
    <w:p w14:paraId="33E3D40C" w14:textId="77777777" w:rsidR="004E6D09" w:rsidRPr="004E6D09" w:rsidRDefault="004E6D09" w:rsidP="004E6D09">
      <w:pPr>
        <w:pStyle w:val="body"/>
        <w:rPr>
          <w:rFonts w:ascii="Titillium" w:hAnsi="Titillium" w:cs="Titillium"/>
          <w:spacing w:val="1"/>
          <w:lang w:val="en-US"/>
        </w:rPr>
      </w:pPr>
    </w:p>
    <w:p w14:paraId="464AAE18" w14:textId="77777777" w:rsidR="004E6D09" w:rsidRPr="004E6D09" w:rsidRDefault="004E6D09" w:rsidP="004E6D09">
      <w:pPr>
        <w:pStyle w:val="body"/>
        <w:rPr>
          <w:rFonts w:ascii="Titillium" w:hAnsi="Titillium" w:cs="Titillium"/>
          <w:spacing w:val="1"/>
          <w:lang w:val="en-US"/>
        </w:rPr>
      </w:pPr>
      <w:r w:rsidRPr="004E6D09">
        <w:rPr>
          <w:rFonts w:ascii="Titillium" w:hAnsi="Titillium" w:cs="Titillium"/>
          <w:spacing w:val="1"/>
          <w:lang w:val="en-US"/>
        </w:rPr>
        <w:t>Helmy Abouleish, de Sekem (Egipto), señala que los agricultores no pueden vivir de su trabajo y dependen de subvenciones. Ueli Hurter, codirector de la Sección de Agricultura del Goetheanum, Suiza, describe esta situación como una «pérdida de dignidad en la agricultura»; y afirma que se ha perdido el sentido profundo de lo que significa ser agricultor.</w:t>
      </w:r>
    </w:p>
    <w:p w14:paraId="3A05B17A" w14:textId="77777777" w:rsidR="004E6D09" w:rsidRPr="004E6D09" w:rsidRDefault="004E6D09" w:rsidP="004E6D09">
      <w:pPr>
        <w:pStyle w:val="body"/>
        <w:rPr>
          <w:rFonts w:ascii="Titillium" w:hAnsi="Titillium" w:cs="Titillium"/>
          <w:spacing w:val="1"/>
          <w:lang w:val="en-US"/>
        </w:rPr>
      </w:pPr>
    </w:p>
    <w:p w14:paraId="0776583C" w14:textId="77777777" w:rsidR="004E6D09" w:rsidRPr="004E6D09" w:rsidRDefault="004E6D09" w:rsidP="004E6D09">
      <w:pPr>
        <w:pStyle w:val="body"/>
        <w:rPr>
          <w:rFonts w:ascii="Titillium" w:hAnsi="Titillium" w:cs="Titillium"/>
          <w:spacing w:val="1"/>
          <w:lang w:val="en-US"/>
        </w:rPr>
      </w:pPr>
      <w:r w:rsidRPr="004E6D09">
        <w:rPr>
          <w:rFonts w:ascii="Titillium" w:hAnsi="Titillium" w:cs="Titillium"/>
          <w:spacing w:val="1"/>
          <w:lang w:val="en-US"/>
        </w:rPr>
        <w:t xml:space="preserve">El cortometraje ‹100 años biodinámica. Al ritmo del cambio› se centra en las condiciones concretas de los agricultores. Al mismo tiempo, la película llama la atención sobre el hecho de que la agricultura necesita encontrar constantemente respuestas a los múltiples desafíos. En la actualidad, éstos incluyen la protección del clima (por ejemplo, mediante la fijación del dióxido de carbono en el suelo), la biodiversidad (a través de planes de plantación adecuados y específicos para cada lugar) y la autosuficiencia (por ejemplo, en el proyecto de compostaje de Binita Shah en la India; a través de huertos urbanos biodinámicos en Rosario, Argentina, y los huertos escolares biodinámicos como en Mbagathi, Kenia, así como a través del proyecto ‹Koberwitz 1924 Inc.› en Filipinas). </w:t>
      </w:r>
    </w:p>
    <w:p w14:paraId="6223B123" w14:textId="77777777" w:rsidR="004E6D09" w:rsidRPr="004E6D09" w:rsidRDefault="004E6D09" w:rsidP="004E6D09">
      <w:pPr>
        <w:pStyle w:val="body"/>
        <w:rPr>
          <w:rFonts w:ascii="Titillium" w:hAnsi="Titillium" w:cs="Titillium"/>
          <w:spacing w:val="1"/>
          <w:lang w:val="en-US"/>
        </w:rPr>
      </w:pPr>
    </w:p>
    <w:p w14:paraId="0E4F8687" w14:textId="77777777" w:rsidR="004E6D09" w:rsidRPr="004E6D09" w:rsidRDefault="004E6D09" w:rsidP="004E6D09">
      <w:pPr>
        <w:pStyle w:val="body"/>
        <w:rPr>
          <w:rFonts w:ascii="Titillium" w:hAnsi="Titillium" w:cs="Titillium"/>
          <w:spacing w:val="1"/>
          <w:lang w:val="en-US"/>
        </w:rPr>
      </w:pPr>
      <w:r w:rsidRPr="004E6D09">
        <w:rPr>
          <w:rFonts w:ascii="Titillium" w:hAnsi="Titillium" w:cs="Titillium"/>
          <w:spacing w:val="1"/>
          <w:lang w:val="en-US"/>
        </w:rPr>
        <w:t>La película llama la atención sobre la cuestión de la responsabilidad del ser hu-mano por el cuidado y el desarrollo del organismo vivo Tierra.</w:t>
      </w:r>
    </w:p>
    <w:p w14:paraId="1BE8915B" w14:textId="77777777" w:rsidR="004E6D09" w:rsidRPr="004E6D09" w:rsidRDefault="004E6D09" w:rsidP="004E6D09">
      <w:pPr>
        <w:pStyle w:val="body"/>
        <w:jc w:val="right"/>
        <w:rPr>
          <w:rFonts w:ascii="Titillium" w:hAnsi="Titillium" w:cs="Titillium"/>
          <w:lang w:val="en-US"/>
        </w:rPr>
      </w:pPr>
      <w:r w:rsidRPr="004E6D09">
        <w:rPr>
          <w:rFonts w:ascii="Titillium" w:hAnsi="Titillium" w:cs="Titillium"/>
          <w:lang w:val="en-US"/>
        </w:rPr>
        <w:t>(2028 caracteres/SJ; traducido por Michael Kranawetvogl)</w:t>
      </w:r>
    </w:p>
    <w:p w14:paraId="5C6C0BC3" w14:textId="77777777" w:rsidR="00F300AA" w:rsidRPr="00F300AA" w:rsidRDefault="00F300AA" w:rsidP="00F300AA">
      <w:pPr>
        <w:pStyle w:val="body"/>
        <w:spacing w:before="57"/>
        <w:rPr>
          <w:rFonts w:ascii="Titillium" w:hAnsi="Titillium" w:cs="Titillium"/>
          <w:lang w:val="en-US"/>
        </w:rPr>
      </w:pPr>
      <w:r w:rsidRPr="00F300AA">
        <w:rPr>
          <w:rFonts w:ascii="Titillium Bd" w:hAnsi="Titillium Bd" w:cs="Titillium Bd"/>
          <w:b/>
          <w:bCs/>
          <w:spacing w:val="1"/>
          <w:lang w:val="en-US"/>
        </w:rPr>
        <w:t xml:space="preserve">Cortometraje </w:t>
      </w:r>
      <w:r w:rsidRPr="00F300AA">
        <w:rPr>
          <w:rFonts w:ascii="Titillium" w:hAnsi="Titillium" w:cs="Titillium"/>
          <w:spacing w:val="1"/>
          <w:lang w:val="en-US"/>
        </w:rPr>
        <w:t xml:space="preserve">‹100 años biodinámica. Al ritmo del cambio› </w:t>
      </w:r>
      <w:r w:rsidRPr="00F300AA">
        <w:rPr>
          <w:rFonts w:ascii="Titillium Bd" w:hAnsi="Titillium Bd" w:cs="Titillium Bd"/>
          <w:b/>
          <w:bCs/>
          <w:spacing w:val="1"/>
          <w:lang w:val="en-US"/>
        </w:rPr>
        <w:t>En alemán</w:t>
      </w:r>
      <w:r w:rsidRPr="00F300AA">
        <w:rPr>
          <w:rFonts w:ascii="Titillium" w:hAnsi="Titillium" w:cs="Titillium"/>
          <w:spacing w:val="1"/>
          <w:lang w:val="en-US"/>
        </w:rPr>
        <w:t xml:space="preserve"> www.sektion-landwirtschaft.org/ea/biodynamik-wirkt-und-zwar-seit-100-jahren </w:t>
      </w:r>
      <w:r w:rsidRPr="00F300AA">
        <w:rPr>
          <w:rFonts w:ascii="Titillium Bd" w:hAnsi="Titillium Bd" w:cs="Titillium Bd"/>
          <w:b/>
          <w:bCs/>
          <w:spacing w:val="1"/>
          <w:lang w:val="en-US"/>
        </w:rPr>
        <w:t xml:space="preserve">En inglés </w:t>
      </w:r>
      <w:r w:rsidRPr="00F300AA">
        <w:rPr>
          <w:rFonts w:ascii="Titillium" w:hAnsi="Titillium" w:cs="Titillium"/>
          <w:lang w:val="en-US"/>
        </w:rPr>
        <w:t>www.youtube.com/watch?v=bbd707Tv4Cs</w:t>
      </w:r>
    </w:p>
    <w:p w14:paraId="600B8E26" w14:textId="74B14739" w:rsidR="004E6D09" w:rsidRPr="004E6D09" w:rsidRDefault="004E6D09" w:rsidP="004E6D09">
      <w:pPr>
        <w:pStyle w:val="body"/>
        <w:rPr>
          <w:lang w:val="en-US"/>
        </w:rPr>
      </w:pPr>
      <w:r w:rsidRPr="004E6D09">
        <w:rPr>
          <w:rFonts w:ascii="Titillium Bd" w:hAnsi="Titillium Bd" w:cs="Titillium Bd"/>
          <w:b/>
          <w:bCs/>
          <w:spacing w:val="1"/>
          <w:lang w:val="en-US"/>
        </w:rPr>
        <w:t>Contacto</w:t>
      </w:r>
      <w:r w:rsidRPr="004E6D09">
        <w:rPr>
          <w:rFonts w:ascii="Titillium" w:hAnsi="Titillium" w:cs="Titillium"/>
          <w:spacing w:val="1"/>
          <w:lang w:val="en-US"/>
        </w:rPr>
        <w:t xml:space="preserve"> Anna Storchenegger, anna.storchenegger@goetheanum.ch</w:t>
      </w:r>
    </w:p>
    <w:p w14:paraId="7DBB424B" w14:textId="77777777" w:rsidR="006E7E7B" w:rsidRPr="004E6D09" w:rsidRDefault="006E7E7B">
      <w:pPr>
        <w:rPr>
          <w:lang w:val="en-US"/>
        </w:rPr>
      </w:pPr>
    </w:p>
    <w:sectPr w:rsidR="006E7E7B" w:rsidRPr="004E6D09"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94A4C"/>
    <w:rsid w:val="004E6D09"/>
    <w:rsid w:val="006761FD"/>
    <w:rsid w:val="006E7E7B"/>
    <w:rsid w:val="006F57DB"/>
    <w:rsid w:val="007A3A2F"/>
    <w:rsid w:val="0081275A"/>
    <w:rsid w:val="00B90BB3"/>
    <w:rsid w:val="00EC40E3"/>
    <w:rsid w:val="00F300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2130</Characters>
  <Application>Microsoft Office Word</Application>
  <DocSecurity>0</DocSecurity>
  <Lines>29</Lines>
  <Paragraphs>3</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2020-10-31T17:28:00Z</dcterms:created>
  <dcterms:modified xsi:type="dcterms:W3CDTF">2024-08-26T08:53:00Z</dcterms:modified>
</cp:coreProperties>
</file>