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C43F19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FA5C6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FA5C6E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DB757E" w:rsidRPr="00C43F19">
        <w:rPr>
          <w:rFonts w:ascii="Arial" w:hAnsi="Arial" w:cs="Arial"/>
          <w:color w:val="7F7F7F"/>
          <w:sz w:val="24"/>
          <w:szCs w:val="24"/>
          <w:lang w:val="sv-SE"/>
        </w:rPr>
        <w:t>Mars 2016</w:t>
      </w:r>
    </w:p>
    <w:p w:rsidR="009A01BE" w:rsidRPr="006E7C2E" w:rsidRDefault="006E7C2E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bookmarkStart w:id="0" w:name="_GoBack"/>
      <w:bookmarkEnd w:id="0"/>
      <w:r w:rsidRPr="006E7C2E">
        <w:rPr>
          <w:rFonts w:ascii="Arial" w:hAnsi="Arial" w:cs="Arial"/>
          <w:color w:val="0079C1"/>
          <w:sz w:val="32"/>
          <w:szCs w:val="32"/>
          <w:lang w:val="sv-SE"/>
        </w:rPr>
        <w:t xml:space="preserve">Högre </w:t>
      </w:r>
      <w:r w:rsidR="00C43F19">
        <w:rPr>
          <w:rFonts w:ascii="Arial" w:hAnsi="Arial" w:cs="Arial"/>
          <w:color w:val="0079C1"/>
          <w:sz w:val="32"/>
          <w:szCs w:val="32"/>
          <w:lang w:val="sv-SE"/>
        </w:rPr>
        <w:t xml:space="preserve">komfort </w:t>
      </w:r>
      <w:r w:rsidRPr="006E7C2E">
        <w:rPr>
          <w:rFonts w:ascii="Arial" w:hAnsi="Arial" w:cs="Arial"/>
          <w:color w:val="0079C1"/>
          <w:sz w:val="32"/>
          <w:szCs w:val="32"/>
          <w:lang w:val="sv-SE"/>
        </w:rPr>
        <w:t>och snabbare avverkning med ny navrondell</w:t>
      </w:r>
      <w:r w:rsidR="009A01BE" w:rsidRPr="006E7C2E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FA5C6E" w:rsidRDefault="006E7C2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6E7C2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lanserar en ny navrondell som ger högre </w:t>
      </w:r>
      <w:r w:rsidR="00C43F1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komfort för operatören </w:t>
      </w:r>
      <w:r w:rsidRPr="006E7C2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och snabbare avverkning.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Den nya navrondellen, som har beteckningen Quantum3, uppges även ge mindre vibrationer enligt tillverkaren.</w:t>
      </w:r>
    </w:p>
    <w:p w:rsidR="006E7C2E" w:rsidRDefault="006E7C2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3072D7" w:rsidRDefault="00C43F19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Nortons nya navrondell</w:t>
      </w:r>
      <w:r w:rsidR="00E85FD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är tillverkad med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ett nytt Quantum3-</w:t>
      </w:r>
      <w:r w:rsidR="00E85FD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slipmedel som i kombination med ett kraftigare bindemedel ger högre avverkningshastighet</w:t>
      </w:r>
      <w:r w:rsidR="00120CD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och längre livslängd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kombination högre komfort för operatören</w:t>
      </w:r>
      <w:r w:rsidR="00120CD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Tester har enligt tillverkaren visat att en Quantum3 navrondell avverkar upp till 70 % mer material än andra navrondeller med keramiskt slipmedel.</w:t>
      </w:r>
      <w:r w:rsidR="002C184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Den längre livslängden medför även färre avbrottstider för rondellbyten och mindre avfall då färre rondeller förbrukas. </w:t>
      </w:r>
      <w:r w:rsidR="006D2C7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 Quantum3 har också lägre vibrationsnivå som i kombination med att slipningen kan utföras med lägre arbetstryck gör arbetet bekvämare för operatören.</w:t>
      </w:r>
    </w:p>
    <w:p w:rsidR="003072D7" w:rsidRDefault="003072D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6E7C2E" w:rsidRDefault="004E479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Quantum3 navrondeller är avsedda för användning i vinkelslipmaskin för slipning av </w:t>
      </w:r>
      <w:r w:rsidR="00120CD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kolstål</w:t>
      </w:r>
      <w:r w:rsidR="0051447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 höglegerade kromlegeringar</w:t>
      </w:r>
      <w:r w:rsidR="00C43F1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 rostfritt</w:t>
      </w:r>
      <w:r w:rsidR="0051447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och andra hårda legeringar. Sortimentet omfattar navrondeller med 7 mm tjocklek i diametrarna 115, 125, 150, 180 och 230 mm.</w:t>
      </w:r>
      <w:r w:rsidR="00F2037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Norton Quantum3 är s.k. järnfri, dvs. innehållet av järn, klor och svavel är mindre än 0,1 % vilket eliminerar risken för föroreningar på arbetsstycket. </w:t>
      </w:r>
    </w:p>
    <w:p w:rsidR="00514472" w:rsidRDefault="00514472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514472" w:rsidRPr="006E7C2E" w:rsidRDefault="00514472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</w:t>
      </w:r>
      <w:r w:rsidR="003072D7" w:rsidRPr="003072D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Tack vare den speciella slip- och bindemedelsammansättningen blir vibrationsnivån lägre och arbetet mycket bekvämare</w:t>
      </w:r>
      <w:r w:rsidR="003072D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C43F1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för operatören </w:t>
      </w:r>
      <w:r w:rsidR="003072D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samtidigt som slipningen går mycket snabbare vilket ger lägre total slipkostnad” säger Jonas Falk, försäljningsansvarig på Saint-Gobain Abrasives AB.</w:t>
      </w:r>
    </w:p>
    <w:sectPr w:rsidR="00514472" w:rsidRPr="006E7C2E" w:rsidSect="009A0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2530061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99.2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20CDA"/>
    <w:rsid w:val="00143014"/>
    <w:rsid w:val="00175AE6"/>
    <w:rsid w:val="00266054"/>
    <w:rsid w:val="0029191B"/>
    <w:rsid w:val="002C1845"/>
    <w:rsid w:val="003072D7"/>
    <w:rsid w:val="004C791F"/>
    <w:rsid w:val="004E4791"/>
    <w:rsid w:val="00514472"/>
    <w:rsid w:val="005D1D0F"/>
    <w:rsid w:val="00683DBE"/>
    <w:rsid w:val="006D2C7A"/>
    <w:rsid w:val="006E7C2E"/>
    <w:rsid w:val="0073766D"/>
    <w:rsid w:val="008818F8"/>
    <w:rsid w:val="00894677"/>
    <w:rsid w:val="008D46D9"/>
    <w:rsid w:val="00986B76"/>
    <w:rsid w:val="009A01BE"/>
    <w:rsid w:val="009B6B78"/>
    <w:rsid w:val="00A07AB9"/>
    <w:rsid w:val="00A66E34"/>
    <w:rsid w:val="00AA543E"/>
    <w:rsid w:val="00C43F19"/>
    <w:rsid w:val="00C441D6"/>
    <w:rsid w:val="00C925AF"/>
    <w:rsid w:val="00D15F17"/>
    <w:rsid w:val="00DB757E"/>
    <w:rsid w:val="00E653AF"/>
    <w:rsid w:val="00E85FDE"/>
    <w:rsid w:val="00F2037D"/>
    <w:rsid w:val="00F46015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02AD-C908-47B0-BE41-E3BBA488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15</cp:revision>
  <dcterms:created xsi:type="dcterms:W3CDTF">2015-12-11T16:00:00Z</dcterms:created>
  <dcterms:modified xsi:type="dcterms:W3CDTF">2016-03-10T11:44:00Z</dcterms:modified>
</cp:coreProperties>
</file>