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293188DD" w:rsidR="000B39C3" w:rsidRPr="000B39C3" w:rsidRDefault="00B1075C" w:rsidP="00B72783">
      <w:pPr>
        <w:rPr>
          <w:bCs/>
        </w:rPr>
      </w:pPr>
      <w:r>
        <w:rPr>
          <w:bCs/>
        </w:rPr>
        <w:t>150303</w:t>
      </w:r>
    </w:p>
    <w:p w14:paraId="67525AD1" w14:textId="30BB098D" w:rsidR="009D3CA5" w:rsidRPr="002867BF" w:rsidRDefault="00960415" w:rsidP="002867BF">
      <w:pPr>
        <w:pStyle w:val="Rubrik1"/>
      </w:pPr>
      <w:r>
        <w:t xml:space="preserve">Midroc </w:t>
      </w:r>
      <w:r w:rsidR="00DE24E4">
        <w:t>vinner markanvisning i Oceanhamnen</w:t>
      </w:r>
      <w:r w:rsidR="007A2E78">
        <w:t xml:space="preserve">, </w:t>
      </w:r>
      <w:r w:rsidR="00B1075C">
        <w:t>Helsingborg</w:t>
      </w:r>
    </w:p>
    <w:p w14:paraId="2D70FC8F" w14:textId="5A9EBA87" w:rsidR="00B1075C" w:rsidRPr="00F41750" w:rsidRDefault="00B1075C" w:rsidP="00B1075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har </w:t>
      </w:r>
      <w:r w:rsidR="00DE24E4">
        <w:rPr>
          <w:i/>
          <w:sz w:val="22"/>
          <w:szCs w:val="22"/>
        </w:rPr>
        <w:t xml:space="preserve">idag </w:t>
      </w:r>
      <w:r>
        <w:rPr>
          <w:i/>
          <w:sz w:val="22"/>
          <w:szCs w:val="22"/>
        </w:rPr>
        <w:t>tillsammans med sin samarbetspartner, Kamikaze Arkit</w:t>
      </w:r>
      <w:r w:rsidR="00DE24E4">
        <w:rPr>
          <w:i/>
          <w:sz w:val="22"/>
          <w:szCs w:val="22"/>
        </w:rPr>
        <w:t>ekter, vunnit en markanvisnings</w:t>
      </w:r>
      <w:r>
        <w:rPr>
          <w:i/>
          <w:sz w:val="22"/>
          <w:szCs w:val="22"/>
        </w:rPr>
        <w:t xml:space="preserve">tävling i Helsingborg. Ett nytt kvarter med </w:t>
      </w:r>
      <w:r w:rsidR="0086423D">
        <w:rPr>
          <w:i/>
          <w:sz w:val="22"/>
          <w:szCs w:val="22"/>
        </w:rPr>
        <w:t>49</w:t>
      </w:r>
      <w:r>
        <w:rPr>
          <w:i/>
          <w:sz w:val="22"/>
          <w:szCs w:val="22"/>
        </w:rPr>
        <w:t xml:space="preserve"> bostäder kommer att uppföras i </w:t>
      </w:r>
      <w:r w:rsidR="00DE24E4">
        <w:rPr>
          <w:i/>
          <w:sz w:val="22"/>
          <w:szCs w:val="22"/>
        </w:rPr>
        <w:t xml:space="preserve">den nya stadsdelen </w:t>
      </w:r>
      <w:r>
        <w:rPr>
          <w:i/>
          <w:sz w:val="22"/>
          <w:szCs w:val="22"/>
        </w:rPr>
        <w:t>Oceanhamnen</w:t>
      </w:r>
      <w:r w:rsidR="00DE24E4">
        <w:rPr>
          <w:i/>
          <w:sz w:val="22"/>
          <w:szCs w:val="22"/>
        </w:rPr>
        <w:t>, på ett spektakulärt läge med utsikt över Öresund och med ett stenkast från centralstationen Knutpunkten</w:t>
      </w:r>
      <w:r>
        <w:rPr>
          <w:i/>
          <w:sz w:val="22"/>
          <w:szCs w:val="22"/>
        </w:rPr>
        <w:t xml:space="preserve">. </w:t>
      </w:r>
      <w:r w:rsidR="00DE24E4">
        <w:rPr>
          <w:i/>
          <w:sz w:val="22"/>
          <w:szCs w:val="22"/>
        </w:rPr>
        <w:t>Midrocs t</w:t>
      </w:r>
      <w:r>
        <w:rPr>
          <w:i/>
          <w:sz w:val="22"/>
          <w:szCs w:val="22"/>
        </w:rPr>
        <w:t>ävlingsförslag benämns ”</w:t>
      </w:r>
      <w:r w:rsidR="0086423D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 xml:space="preserve">osaik av möjligheter”. </w:t>
      </w:r>
    </w:p>
    <w:p w14:paraId="78569A79" w14:textId="77777777" w:rsidR="00B1075C" w:rsidRPr="00DE24E4" w:rsidRDefault="00B1075C" w:rsidP="007264C1">
      <w:pPr>
        <w:rPr>
          <w:i/>
          <w:sz w:val="22"/>
          <w:szCs w:val="22"/>
        </w:rPr>
      </w:pPr>
    </w:p>
    <w:p w14:paraId="25E3B8C8" w14:textId="248AE073" w:rsidR="005A2705" w:rsidRPr="00DE24E4" w:rsidRDefault="006E237F" w:rsidP="007264C1">
      <w:pPr>
        <w:rPr>
          <w:sz w:val="22"/>
          <w:szCs w:val="22"/>
        </w:rPr>
      </w:pPr>
      <w:r w:rsidRPr="00DE24E4">
        <w:rPr>
          <w:sz w:val="22"/>
          <w:szCs w:val="22"/>
        </w:rPr>
        <w:t xml:space="preserve">- </w:t>
      </w:r>
      <w:r w:rsidR="005A2705" w:rsidRPr="00DE24E4">
        <w:rPr>
          <w:sz w:val="22"/>
          <w:szCs w:val="22"/>
        </w:rPr>
        <w:t xml:space="preserve">Vi </w:t>
      </w:r>
      <w:r w:rsidR="007A2E78">
        <w:rPr>
          <w:sz w:val="22"/>
          <w:szCs w:val="22"/>
        </w:rPr>
        <w:t>vill</w:t>
      </w:r>
      <w:r w:rsidR="002867BF">
        <w:rPr>
          <w:sz w:val="22"/>
          <w:szCs w:val="22"/>
        </w:rPr>
        <w:t>e</w:t>
      </w:r>
      <w:r w:rsidR="005A2705" w:rsidRPr="00DE24E4">
        <w:rPr>
          <w:sz w:val="22"/>
          <w:szCs w:val="22"/>
        </w:rPr>
        <w:t xml:space="preserve"> slå vakt om mångfald, nytänkande och originalitet i vårt förslag</w:t>
      </w:r>
      <w:r w:rsidR="0095690D" w:rsidRPr="00DE24E4">
        <w:rPr>
          <w:sz w:val="22"/>
          <w:szCs w:val="22"/>
        </w:rPr>
        <w:t>,</w:t>
      </w:r>
      <w:r w:rsidRPr="00DE24E4">
        <w:rPr>
          <w:sz w:val="22"/>
          <w:szCs w:val="22"/>
        </w:rPr>
        <w:t xml:space="preserve"> </w:t>
      </w:r>
      <w:r w:rsidR="0095690D" w:rsidRPr="00DE24E4">
        <w:rPr>
          <w:sz w:val="22"/>
          <w:szCs w:val="22"/>
        </w:rPr>
        <w:t>berättar</w:t>
      </w:r>
      <w:r w:rsidRPr="00DE24E4">
        <w:rPr>
          <w:sz w:val="22"/>
          <w:szCs w:val="22"/>
        </w:rPr>
        <w:t xml:space="preserve"> </w:t>
      </w:r>
      <w:r w:rsidR="00B1075C" w:rsidRPr="00DE24E4">
        <w:rPr>
          <w:sz w:val="22"/>
          <w:szCs w:val="22"/>
        </w:rPr>
        <w:t>Carl von Strokirch</w:t>
      </w:r>
      <w:r w:rsidR="0095690D" w:rsidRPr="00DE24E4">
        <w:rPr>
          <w:sz w:val="22"/>
          <w:szCs w:val="22"/>
        </w:rPr>
        <w:t>, affärschef</w:t>
      </w:r>
      <w:r w:rsidR="005A2705" w:rsidRPr="00DE24E4">
        <w:rPr>
          <w:sz w:val="22"/>
          <w:szCs w:val="22"/>
        </w:rPr>
        <w:t xml:space="preserve"> i Midroc Property Development, </w:t>
      </w:r>
      <w:r w:rsidR="002867BF">
        <w:rPr>
          <w:sz w:val="22"/>
          <w:szCs w:val="22"/>
        </w:rPr>
        <w:t>och det ser man ty</w:t>
      </w:r>
      <w:r w:rsidR="005A2705" w:rsidRPr="00DE24E4">
        <w:rPr>
          <w:sz w:val="22"/>
          <w:szCs w:val="22"/>
        </w:rPr>
        <w:t>dligt i den arkitektoniska gestal</w:t>
      </w:r>
      <w:r w:rsidR="007D4BD6">
        <w:rPr>
          <w:sz w:val="22"/>
          <w:szCs w:val="22"/>
        </w:rPr>
        <w:t>t</w:t>
      </w:r>
      <w:r w:rsidR="005A2705" w:rsidRPr="00DE24E4">
        <w:rPr>
          <w:sz w:val="22"/>
          <w:szCs w:val="22"/>
        </w:rPr>
        <w:t>ningen. Vi skapa</w:t>
      </w:r>
      <w:r w:rsidR="002867BF">
        <w:rPr>
          <w:sz w:val="22"/>
          <w:szCs w:val="22"/>
        </w:rPr>
        <w:t>r</w:t>
      </w:r>
      <w:r w:rsidR="005A2705" w:rsidRPr="00DE24E4">
        <w:rPr>
          <w:sz w:val="22"/>
          <w:szCs w:val="22"/>
        </w:rPr>
        <w:t xml:space="preserve"> en stor variation inom </w:t>
      </w:r>
      <w:r w:rsidR="002867BF">
        <w:rPr>
          <w:sz w:val="22"/>
          <w:szCs w:val="22"/>
        </w:rPr>
        <w:t>vårt kvarter</w:t>
      </w:r>
      <w:r w:rsidR="005A2705" w:rsidRPr="00DE24E4">
        <w:rPr>
          <w:sz w:val="22"/>
          <w:szCs w:val="22"/>
        </w:rPr>
        <w:t xml:space="preserve"> med </w:t>
      </w:r>
      <w:r w:rsidR="007A2E78">
        <w:rPr>
          <w:sz w:val="22"/>
          <w:szCs w:val="22"/>
        </w:rPr>
        <w:t>flera</w:t>
      </w:r>
      <w:r w:rsidR="005A2705" w:rsidRPr="00DE24E4">
        <w:rPr>
          <w:sz w:val="22"/>
          <w:szCs w:val="22"/>
        </w:rPr>
        <w:t xml:space="preserve"> huskroppar i olika storlekar och fasadmaterial</w:t>
      </w:r>
      <w:r w:rsidR="002867BF">
        <w:rPr>
          <w:sz w:val="22"/>
          <w:szCs w:val="22"/>
        </w:rPr>
        <w:t xml:space="preserve"> </w:t>
      </w:r>
      <w:r w:rsidR="00C1019B">
        <w:rPr>
          <w:sz w:val="22"/>
          <w:szCs w:val="22"/>
        </w:rPr>
        <w:t xml:space="preserve">som </w:t>
      </w:r>
      <w:r w:rsidR="002867BF">
        <w:rPr>
          <w:sz w:val="22"/>
          <w:szCs w:val="22"/>
        </w:rPr>
        <w:t>ger</w:t>
      </w:r>
      <w:r w:rsidR="001B1696" w:rsidRPr="00DE24E4">
        <w:rPr>
          <w:sz w:val="22"/>
          <w:szCs w:val="22"/>
        </w:rPr>
        <w:t xml:space="preserve"> en </w:t>
      </w:r>
      <w:r w:rsidR="00B44AFF" w:rsidRPr="00DE24E4">
        <w:rPr>
          <w:sz w:val="22"/>
          <w:szCs w:val="22"/>
        </w:rPr>
        <w:t>egen</w:t>
      </w:r>
      <w:r w:rsidR="001B1696" w:rsidRPr="00DE24E4">
        <w:rPr>
          <w:sz w:val="22"/>
          <w:szCs w:val="22"/>
        </w:rPr>
        <w:t xml:space="preserve"> identitet. </w:t>
      </w:r>
    </w:p>
    <w:p w14:paraId="7910B7BD" w14:textId="77777777" w:rsidR="005A2705" w:rsidRPr="00DE24E4" w:rsidRDefault="005A2705" w:rsidP="007264C1">
      <w:pPr>
        <w:rPr>
          <w:sz w:val="22"/>
          <w:szCs w:val="22"/>
        </w:rPr>
      </w:pPr>
    </w:p>
    <w:p w14:paraId="5A45D853" w14:textId="48DF596A" w:rsidR="006E237F" w:rsidRPr="00DE24E4" w:rsidRDefault="001B1696" w:rsidP="007264C1">
      <w:pPr>
        <w:rPr>
          <w:sz w:val="22"/>
          <w:szCs w:val="22"/>
        </w:rPr>
      </w:pPr>
      <w:r w:rsidRPr="00DE24E4">
        <w:rPr>
          <w:sz w:val="22"/>
          <w:szCs w:val="22"/>
        </w:rPr>
        <w:t xml:space="preserve">- </w:t>
      </w:r>
      <w:r w:rsidR="007A2E78">
        <w:rPr>
          <w:sz w:val="22"/>
          <w:szCs w:val="22"/>
        </w:rPr>
        <w:t xml:space="preserve">Kvarterets unika </w:t>
      </w:r>
      <w:r w:rsidRPr="00DE24E4">
        <w:rPr>
          <w:sz w:val="22"/>
          <w:szCs w:val="22"/>
        </w:rPr>
        <w:t>söder</w:t>
      </w:r>
      <w:r w:rsidR="0086423D" w:rsidRPr="00DE24E4">
        <w:rPr>
          <w:sz w:val="22"/>
          <w:szCs w:val="22"/>
        </w:rPr>
        <w:t>- och v</w:t>
      </w:r>
      <w:bookmarkStart w:id="0" w:name="_GoBack"/>
      <w:bookmarkEnd w:id="0"/>
      <w:r w:rsidR="0086423D" w:rsidRPr="00DE24E4">
        <w:rPr>
          <w:sz w:val="22"/>
          <w:szCs w:val="22"/>
        </w:rPr>
        <w:t>äster</w:t>
      </w:r>
      <w:r w:rsidR="007A2E78">
        <w:rPr>
          <w:sz w:val="22"/>
          <w:szCs w:val="22"/>
        </w:rPr>
        <w:t xml:space="preserve">läge har </w:t>
      </w:r>
      <w:r w:rsidR="002867BF">
        <w:rPr>
          <w:sz w:val="22"/>
          <w:szCs w:val="22"/>
        </w:rPr>
        <w:t xml:space="preserve">vi </w:t>
      </w:r>
      <w:r w:rsidR="007A2E78">
        <w:rPr>
          <w:sz w:val="22"/>
          <w:szCs w:val="22"/>
        </w:rPr>
        <w:t xml:space="preserve">tagit tillvara </w:t>
      </w:r>
      <w:r w:rsidR="002867BF">
        <w:rPr>
          <w:sz w:val="22"/>
          <w:szCs w:val="22"/>
        </w:rPr>
        <w:t xml:space="preserve">så att många av bostäderna får en fin utsikt över sundet, fortsätter Carl von Strokirch. </w:t>
      </w:r>
      <w:r w:rsidR="0086423D" w:rsidRPr="00DE24E4">
        <w:rPr>
          <w:sz w:val="22"/>
          <w:szCs w:val="22"/>
        </w:rPr>
        <w:t xml:space="preserve">Vid </w:t>
      </w:r>
      <w:r w:rsidRPr="00DE24E4">
        <w:rPr>
          <w:sz w:val="22"/>
          <w:szCs w:val="22"/>
        </w:rPr>
        <w:t>kaj</w:t>
      </w:r>
      <w:r w:rsidR="0086423D" w:rsidRPr="00DE24E4">
        <w:rPr>
          <w:sz w:val="22"/>
          <w:szCs w:val="22"/>
        </w:rPr>
        <w:t xml:space="preserve">en planeras </w:t>
      </w:r>
      <w:r w:rsidR="002867BF">
        <w:rPr>
          <w:sz w:val="22"/>
          <w:szCs w:val="22"/>
        </w:rPr>
        <w:t xml:space="preserve">också för </w:t>
      </w:r>
      <w:r w:rsidR="0086423D" w:rsidRPr="00DE24E4">
        <w:rPr>
          <w:sz w:val="22"/>
          <w:szCs w:val="22"/>
        </w:rPr>
        <w:t xml:space="preserve">ett hamnbad </w:t>
      </w:r>
      <w:r w:rsidRPr="00DE24E4">
        <w:rPr>
          <w:sz w:val="22"/>
          <w:szCs w:val="22"/>
        </w:rPr>
        <w:t>som ger möjlighet till rekreation</w:t>
      </w:r>
      <w:r w:rsidR="0086423D" w:rsidRPr="00DE24E4">
        <w:rPr>
          <w:sz w:val="22"/>
          <w:szCs w:val="22"/>
        </w:rPr>
        <w:t xml:space="preserve"> och umgänge</w:t>
      </w:r>
      <w:r w:rsidRPr="00DE24E4">
        <w:rPr>
          <w:sz w:val="22"/>
          <w:szCs w:val="22"/>
        </w:rPr>
        <w:t xml:space="preserve">. </w:t>
      </w:r>
    </w:p>
    <w:p w14:paraId="703F59AB" w14:textId="77777777" w:rsidR="0086423D" w:rsidRPr="00DE24E4" w:rsidRDefault="0086423D" w:rsidP="007264C1">
      <w:pPr>
        <w:rPr>
          <w:sz w:val="22"/>
          <w:szCs w:val="22"/>
        </w:rPr>
      </w:pPr>
    </w:p>
    <w:p w14:paraId="7B9AC971" w14:textId="02372D8A" w:rsidR="00DE24E4" w:rsidRDefault="00DE24E4" w:rsidP="00DE24E4">
      <w:pPr>
        <w:rPr>
          <w:sz w:val="22"/>
          <w:szCs w:val="22"/>
        </w:rPr>
      </w:pPr>
      <w:r>
        <w:rPr>
          <w:sz w:val="22"/>
          <w:szCs w:val="22"/>
        </w:rPr>
        <w:t>Grundtanken är att de boende ska kunna leva ett komplett liv inom en 600 meters radie</w:t>
      </w:r>
      <w:r w:rsidR="007C0B3D">
        <w:rPr>
          <w:sz w:val="22"/>
          <w:szCs w:val="22"/>
        </w:rPr>
        <w:t>, med närhet till arbetsplatser, universitetscampus, centrala staden, kommunikationer, närservice och rekreation</w:t>
      </w:r>
      <w:r>
        <w:rPr>
          <w:sz w:val="22"/>
          <w:szCs w:val="22"/>
        </w:rPr>
        <w:t xml:space="preserve">. </w:t>
      </w:r>
      <w:r w:rsidR="002867BF">
        <w:rPr>
          <w:sz w:val="22"/>
          <w:szCs w:val="22"/>
        </w:rPr>
        <w:t>Midrocs k</w:t>
      </w:r>
      <w:r w:rsidR="007C0B3D">
        <w:rPr>
          <w:sz w:val="22"/>
          <w:szCs w:val="22"/>
        </w:rPr>
        <w:t xml:space="preserve">varter </w:t>
      </w:r>
      <w:r w:rsidR="002867BF">
        <w:rPr>
          <w:sz w:val="22"/>
          <w:szCs w:val="22"/>
        </w:rPr>
        <w:t xml:space="preserve">innehåller ett stort utbud av bostäder för olika livssituationer, behov och preferenser, och kvarteret </w:t>
      </w:r>
      <w:r w:rsidR="007C0B3D">
        <w:rPr>
          <w:sz w:val="22"/>
          <w:szCs w:val="22"/>
        </w:rPr>
        <w:t xml:space="preserve">ska </w:t>
      </w:r>
      <w:r w:rsidR="002867BF">
        <w:rPr>
          <w:sz w:val="22"/>
          <w:szCs w:val="22"/>
        </w:rPr>
        <w:t xml:space="preserve">i sig </w:t>
      </w:r>
      <w:r w:rsidR="007C0B3D">
        <w:rPr>
          <w:sz w:val="22"/>
          <w:szCs w:val="22"/>
        </w:rPr>
        <w:t>bilda ett ramverk för en mångfald av aktiviteter</w:t>
      </w:r>
      <w:r w:rsidR="00384C1E">
        <w:rPr>
          <w:sz w:val="22"/>
          <w:szCs w:val="22"/>
        </w:rPr>
        <w:t xml:space="preserve"> utanför den enskilda bostaden</w:t>
      </w:r>
      <w:r>
        <w:rPr>
          <w:sz w:val="22"/>
          <w:szCs w:val="22"/>
        </w:rPr>
        <w:t xml:space="preserve">. </w:t>
      </w:r>
    </w:p>
    <w:p w14:paraId="6D0168BD" w14:textId="77777777" w:rsidR="007C0B3D" w:rsidRDefault="007C0B3D" w:rsidP="00DE24E4">
      <w:pPr>
        <w:rPr>
          <w:sz w:val="22"/>
          <w:szCs w:val="22"/>
        </w:rPr>
      </w:pPr>
    </w:p>
    <w:p w14:paraId="1E36E4B2" w14:textId="6BB46044" w:rsidR="00E1112F" w:rsidRDefault="00384C1E" w:rsidP="00DE24E4">
      <w:pPr>
        <w:rPr>
          <w:sz w:val="22"/>
          <w:szCs w:val="22"/>
        </w:rPr>
      </w:pPr>
      <w:r w:rsidRPr="00DE24E4">
        <w:rPr>
          <w:sz w:val="22"/>
          <w:szCs w:val="22"/>
        </w:rPr>
        <w:t>Midroc</w:t>
      </w:r>
      <w:r w:rsidR="00E1112F">
        <w:rPr>
          <w:sz w:val="22"/>
          <w:szCs w:val="22"/>
        </w:rPr>
        <w:t xml:space="preserve"> och Kamikaze Arkitekters</w:t>
      </w:r>
      <w:r w:rsidRPr="00DE24E4">
        <w:rPr>
          <w:sz w:val="22"/>
          <w:szCs w:val="22"/>
        </w:rPr>
        <w:t xml:space="preserve"> bidrag </w:t>
      </w:r>
      <w:r>
        <w:rPr>
          <w:sz w:val="22"/>
          <w:szCs w:val="22"/>
        </w:rPr>
        <w:t>är</w:t>
      </w:r>
      <w:r w:rsidRPr="00DE24E4">
        <w:rPr>
          <w:sz w:val="22"/>
          <w:szCs w:val="22"/>
        </w:rPr>
        <w:t xml:space="preserve"> ett av sju vinnande </w:t>
      </w:r>
      <w:r w:rsidR="00E1112F">
        <w:rPr>
          <w:sz w:val="22"/>
          <w:szCs w:val="22"/>
        </w:rPr>
        <w:t xml:space="preserve">team. </w:t>
      </w:r>
      <w:r>
        <w:rPr>
          <w:sz w:val="22"/>
          <w:szCs w:val="22"/>
        </w:rPr>
        <w:t>Övriga aktörer</w:t>
      </w:r>
      <w:r w:rsidR="00E1112F">
        <w:rPr>
          <w:sz w:val="22"/>
          <w:szCs w:val="22"/>
        </w:rPr>
        <w:t xml:space="preserve"> som får utveckla Oceanhamnen är</w:t>
      </w:r>
      <w:r>
        <w:rPr>
          <w:sz w:val="22"/>
          <w:szCs w:val="22"/>
        </w:rPr>
        <w:t xml:space="preserve"> </w:t>
      </w:r>
      <w:r w:rsidR="00E1112F">
        <w:rPr>
          <w:sz w:val="22"/>
          <w:szCs w:val="22"/>
        </w:rPr>
        <w:t xml:space="preserve">Riksbyggen, Sundprojekt, Tage &amp; Söner, Magnolia Bostad, K-Fastigheter/Balder samt Serneke Projektstyrning. </w:t>
      </w:r>
    </w:p>
    <w:p w14:paraId="2F1537D5" w14:textId="77777777" w:rsidR="00E1112F" w:rsidRPr="00DE24E4" w:rsidRDefault="00E1112F" w:rsidP="00DE24E4">
      <w:pPr>
        <w:rPr>
          <w:sz w:val="22"/>
          <w:szCs w:val="22"/>
        </w:rPr>
      </w:pPr>
    </w:p>
    <w:p w14:paraId="08814AB4" w14:textId="631B7DEE" w:rsidR="002867BF" w:rsidRDefault="00DE24E4" w:rsidP="002867BF">
      <w:pPr>
        <w:rPr>
          <w:sz w:val="22"/>
          <w:szCs w:val="22"/>
        </w:rPr>
      </w:pPr>
      <w:r w:rsidRPr="00DE24E4">
        <w:rPr>
          <w:sz w:val="22"/>
          <w:szCs w:val="22"/>
        </w:rPr>
        <w:t>- Oceanhamnen har ett unikt läge vilket också återspeglas i de vinnande förslagen. De bjuder på variationsrikedom i arkitektur, funktion och kreativt smarta lösningar för att underlätta vardagen. Det finns också inslag som uppmuntrar till lek, aktiviteter och umgänge i husen men även på taken och mellan huskropparna, säger Peter Danielsson, (M) kommunstyrelsens ordförande i Helsingborg.</w:t>
      </w:r>
    </w:p>
    <w:p w14:paraId="0CC682E4" w14:textId="77777777" w:rsidR="00384C1E" w:rsidRDefault="00384C1E" w:rsidP="002867BF"/>
    <w:p w14:paraId="32284C7E" w14:textId="6B61BF0E" w:rsidR="001F5C1A" w:rsidRPr="0086423D" w:rsidRDefault="001F5C1A" w:rsidP="001F5C1A">
      <w:pPr>
        <w:pStyle w:val="Rubrik3"/>
      </w:pPr>
      <w:r w:rsidRPr="0086423D">
        <w:t>Fakta</w:t>
      </w:r>
      <w:r w:rsidR="00735206" w:rsidRPr="0086423D">
        <w:t xml:space="preserve"> </w:t>
      </w:r>
      <w:r w:rsidR="00A8368B">
        <w:t>”</w:t>
      </w:r>
      <w:r w:rsidR="0086423D" w:rsidRPr="0086423D">
        <w:t>Mosaik av möjligheter</w:t>
      </w:r>
      <w:r w:rsidR="00A8368B">
        <w:t>”</w:t>
      </w:r>
    </w:p>
    <w:p w14:paraId="4EA7F26B" w14:textId="77777777" w:rsidR="00A8368B" w:rsidRDefault="00753835" w:rsidP="00306AC4">
      <w:pPr>
        <w:rPr>
          <w:sz w:val="22"/>
          <w:szCs w:val="22"/>
        </w:rPr>
      </w:pPr>
      <w:r>
        <w:rPr>
          <w:sz w:val="22"/>
          <w:szCs w:val="22"/>
        </w:rPr>
        <w:t xml:space="preserve">4 huskroppar med </w:t>
      </w:r>
      <w:r w:rsidR="00A8368B">
        <w:rPr>
          <w:sz w:val="22"/>
          <w:szCs w:val="22"/>
        </w:rPr>
        <w:t xml:space="preserve">totalt </w:t>
      </w:r>
      <w:r w:rsidR="001B1696" w:rsidRPr="0086423D">
        <w:rPr>
          <w:sz w:val="22"/>
          <w:szCs w:val="22"/>
        </w:rPr>
        <w:t>49 stycken</w:t>
      </w:r>
      <w:r w:rsidR="0086423D">
        <w:rPr>
          <w:sz w:val="22"/>
          <w:szCs w:val="22"/>
        </w:rPr>
        <w:t xml:space="preserve"> </w:t>
      </w:r>
      <w:r>
        <w:rPr>
          <w:sz w:val="22"/>
          <w:szCs w:val="22"/>
        </w:rPr>
        <w:t>bostäder i form av</w:t>
      </w:r>
      <w:r w:rsidR="0086423D">
        <w:rPr>
          <w:sz w:val="22"/>
          <w:szCs w:val="22"/>
        </w:rPr>
        <w:t xml:space="preserve"> f</w:t>
      </w:r>
      <w:r>
        <w:rPr>
          <w:sz w:val="22"/>
          <w:szCs w:val="22"/>
        </w:rPr>
        <w:t>lerbostadshus och stadsradhus</w:t>
      </w:r>
      <w:r w:rsidR="00A8368B">
        <w:rPr>
          <w:sz w:val="22"/>
          <w:szCs w:val="22"/>
        </w:rPr>
        <w:t xml:space="preserve">. </w:t>
      </w:r>
    </w:p>
    <w:p w14:paraId="10EF07A0" w14:textId="3C7B7DB1" w:rsidR="00753835" w:rsidRPr="002867BF" w:rsidRDefault="00A8368B" w:rsidP="00306AC4">
      <w:pPr>
        <w:rPr>
          <w:sz w:val="22"/>
          <w:szCs w:val="22"/>
        </w:rPr>
      </w:pPr>
      <w:r>
        <w:rPr>
          <w:sz w:val="22"/>
          <w:szCs w:val="22"/>
        </w:rPr>
        <w:t xml:space="preserve">Byggnaderna uppförs i </w:t>
      </w:r>
      <w:r w:rsidR="00753835">
        <w:rPr>
          <w:sz w:val="22"/>
          <w:szCs w:val="22"/>
        </w:rPr>
        <w:t xml:space="preserve">två till sex våningar </w:t>
      </w:r>
      <w:r>
        <w:rPr>
          <w:sz w:val="22"/>
          <w:szCs w:val="22"/>
        </w:rPr>
        <w:t>med</w:t>
      </w:r>
      <w:r w:rsidR="00753835">
        <w:rPr>
          <w:sz w:val="22"/>
          <w:szCs w:val="22"/>
        </w:rPr>
        <w:t xml:space="preserve"> verksamhetslokaler</w:t>
      </w:r>
      <w:r>
        <w:rPr>
          <w:sz w:val="22"/>
          <w:szCs w:val="22"/>
        </w:rPr>
        <w:t xml:space="preserve"> i bottenvåningarna</w:t>
      </w:r>
      <w:r w:rsidR="00753835">
        <w:rPr>
          <w:sz w:val="22"/>
          <w:szCs w:val="22"/>
        </w:rPr>
        <w:t xml:space="preserve">. </w:t>
      </w:r>
      <w:r w:rsidR="00753835" w:rsidRPr="00C1019B">
        <w:rPr>
          <w:sz w:val="22"/>
          <w:szCs w:val="22"/>
        </w:rPr>
        <w:t>Total yta: 3 900 kvm</w:t>
      </w:r>
    </w:p>
    <w:p w14:paraId="4AA1065B" w14:textId="77777777" w:rsidR="00AA2DA3" w:rsidRPr="00C1019B" w:rsidRDefault="00306AC4" w:rsidP="00306AC4">
      <w:pPr>
        <w:rPr>
          <w:sz w:val="22"/>
          <w:szCs w:val="22"/>
        </w:rPr>
      </w:pPr>
      <w:r w:rsidRPr="00C1019B">
        <w:rPr>
          <w:sz w:val="22"/>
          <w:szCs w:val="22"/>
        </w:rPr>
        <w:t>Byggherre: Midroc Property Development AB</w:t>
      </w:r>
    </w:p>
    <w:p w14:paraId="0961D4A1" w14:textId="60F832C6" w:rsidR="00306AC4" w:rsidRDefault="004858F2" w:rsidP="00306AC4">
      <w:pPr>
        <w:rPr>
          <w:sz w:val="22"/>
          <w:szCs w:val="22"/>
        </w:rPr>
      </w:pPr>
      <w:r w:rsidRPr="003A12CE">
        <w:rPr>
          <w:sz w:val="22"/>
          <w:szCs w:val="22"/>
        </w:rPr>
        <w:t>A</w:t>
      </w:r>
      <w:r w:rsidR="00306AC4" w:rsidRPr="003A12CE">
        <w:rPr>
          <w:sz w:val="22"/>
          <w:szCs w:val="22"/>
        </w:rPr>
        <w:t>rkitekt</w:t>
      </w:r>
      <w:r w:rsidR="00E1112F">
        <w:rPr>
          <w:sz w:val="22"/>
          <w:szCs w:val="22"/>
        </w:rPr>
        <w:t xml:space="preserve"> och 3D-bilder</w:t>
      </w:r>
      <w:r w:rsidR="00306AC4" w:rsidRPr="003A12CE">
        <w:rPr>
          <w:sz w:val="22"/>
          <w:szCs w:val="22"/>
        </w:rPr>
        <w:t xml:space="preserve">: </w:t>
      </w:r>
      <w:r w:rsidR="00B1075C">
        <w:rPr>
          <w:sz w:val="22"/>
          <w:szCs w:val="22"/>
        </w:rPr>
        <w:t>Kamikaze Arkitekter</w:t>
      </w:r>
    </w:p>
    <w:p w14:paraId="3D680097" w14:textId="77777777" w:rsidR="00C11EF8" w:rsidRDefault="00C11EF8" w:rsidP="002867BF">
      <w:pPr>
        <w:rPr>
          <w:rFonts w:ascii="Arial" w:hAnsi="Arial" w:cs="Arial"/>
          <w:b/>
          <w:sz w:val="20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770DD402" w14:textId="0693A445" w:rsidR="00297635" w:rsidRPr="000F0100" w:rsidRDefault="00B1075C" w:rsidP="0074618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Carl von Strokirch</w:t>
      </w:r>
      <w:r w:rsidR="00433C41" w:rsidRPr="009C1AD9">
        <w:rPr>
          <w:sz w:val="22"/>
          <w:szCs w:val="22"/>
          <w:lang w:val="en-US"/>
        </w:rPr>
        <w:t xml:space="preserve">, </w:t>
      </w:r>
      <w:r w:rsidR="00F477AD">
        <w:rPr>
          <w:sz w:val="22"/>
          <w:szCs w:val="22"/>
          <w:lang w:val="en-US"/>
        </w:rPr>
        <w:t>affärschef</w:t>
      </w:r>
      <w:r w:rsidR="00433C41">
        <w:rPr>
          <w:sz w:val="22"/>
          <w:szCs w:val="22"/>
          <w:lang w:val="en-US"/>
        </w:rPr>
        <w:t xml:space="preserve">, </w:t>
      </w:r>
      <w:r w:rsidR="005F52B0" w:rsidRPr="009C1AD9">
        <w:rPr>
          <w:sz w:val="22"/>
          <w:szCs w:val="22"/>
          <w:lang w:val="en-US"/>
        </w:rPr>
        <w:t>Midroc Property Development</w:t>
      </w:r>
      <w:r w:rsidR="008E2D2C" w:rsidRPr="009C1AD9">
        <w:rPr>
          <w:sz w:val="22"/>
          <w:szCs w:val="22"/>
          <w:lang w:val="en-US"/>
        </w:rPr>
        <w:t xml:space="preserve">, </w:t>
      </w:r>
      <w:r w:rsidR="00220198" w:rsidRPr="00EA5AA3">
        <w:rPr>
          <w:sz w:val="22"/>
          <w:szCs w:val="22"/>
          <w:lang w:val="en-US"/>
        </w:rPr>
        <w:t>+46 10 47</w:t>
      </w:r>
      <w:r w:rsidR="00220198" w:rsidRPr="000F0100">
        <w:rPr>
          <w:sz w:val="22"/>
          <w:szCs w:val="22"/>
          <w:lang w:val="en-US"/>
        </w:rPr>
        <w:t xml:space="preserve">0 74 </w:t>
      </w:r>
      <w:r>
        <w:rPr>
          <w:sz w:val="22"/>
          <w:szCs w:val="22"/>
          <w:lang w:val="en-US"/>
        </w:rPr>
        <w:t>45</w:t>
      </w:r>
      <w:r w:rsidR="001D6693"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carl.strokirch</w:t>
      </w:r>
      <w:r w:rsidR="00E6720A" w:rsidRPr="000F0100">
        <w:rPr>
          <w:sz w:val="22"/>
          <w:szCs w:val="22"/>
          <w:lang w:val="en-US"/>
        </w:rPr>
        <w:t>@midroc.se</w:t>
      </w:r>
    </w:p>
    <w:sectPr w:rsidR="00297635" w:rsidRPr="000F0100" w:rsidSect="007538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2550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8F61" w14:textId="77777777" w:rsidR="000A7CD0" w:rsidRDefault="000A7CD0">
      <w:r>
        <w:separator/>
      </w:r>
    </w:p>
  </w:endnote>
  <w:endnote w:type="continuationSeparator" w:id="0">
    <w:p w14:paraId="14C046DE" w14:textId="77777777" w:rsidR="000A7CD0" w:rsidRDefault="000A7CD0">
      <w:r>
        <w:continuationSeparator/>
      </w:r>
    </w:p>
  </w:endnote>
  <w:endnote w:type="continuationNotice" w:id="1">
    <w:p w14:paraId="456D947B" w14:textId="77777777" w:rsidR="000A7CD0" w:rsidRDefault="000A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E1112F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8F3A74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269A901D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 w:rsidR="00B1075C">
      <w:rPr>
        <w:rFonts w:ascii="Arial" w:hAnsi="Arial" w:cs="Arial"/>
        <w:iCs/>
        <w:sz w:val="18"/>
        <w:szCs w:val="18"/>
      </w:rPr>
      <w:t>6</w:t>
    </w:r>
    <w:r>
      <w:rPr>
        <w:rFonts w:ascii="Arial" w:hAnsi="Arial" w:cs="Arial"/>
        <w:iCs/>
        <w:sz w:val="18"/>
        <w:szCs w:val="18"/>
      </w:rPr>
      <w:t>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>med en projektvolym om ca 1</w:t>
    </w:r>
    <w:r w:rsidR="00B1075C">
      <w:rPr>
        <w:rFonts w:ascii="Arial" w:hAnsi="Arial" w:cs="Arial"/>
        <w:sz w:val="18"/>
        <w:szCs w:val="18"/>
      </w:rPr>
      <w:t>7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2BA1646F" w14:textId="09920D52" w:rsidR="00050D6D" w:rsidRPr="001B06E3" w:rsidRDefault="000B39C3" w:rsidP="008E2D2C">
    <w:pPr>
      <w:spacing w:after="94" w:line="237" w:lineRule="auto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F3131E">
      <w:rPr>
        <w:rFonts w:ascii="Arial" w:hAnsi="Arial" w:cs="Arial"/>
        <w:b/>
        <w:bCs/>
        <w:iCs/>
        <w:color w:val="000000"/>
        <w:sz w:val="18"/>
        <w:szCs w:val="18"/>
      </w:rPr>
      <w:t>Midroc Europe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</w:rPr>
      <w:t xml:space="preserve">som bedriver verksamhet inom områdena fastighet, bygg, industri och miljö. Verksamheten är internationell med Sverige som utgångspunkt. Antalet medarbetare är 3 </w:t>
    </w:r>
    <w:r w:rsidR="00B1075C"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t xml:space="preserve">00 och omsättningen </w:t>
    </w:r>
    <w:r w:rsidR="00B1075C">
      <w:rPr>
        <w:rFonts w:ascii="Arial" w:eastAsia="Arial" w:hAnsi="Arial" w:cs="Arial"/>
        <w:sz w:val="18"/>
      </w:rPr>
      <w:t>5,4</w:t>
    </w:r>
    <w:r>
      <w:rPr>
        <w:rFonts w:ascii="Arial" w:eastAsia="Arial" w:hAnsi="Arial" w:cs="Arial"/>
        <w:sz w:val="18"/>
      </w:rPr>
      <w:t xml:space="preserve"> miljarder kronor. </w:t>
    </w:r>
    <w:r w:rsidR="001B06E3" w:rsidRPr="001B06E3">
      <w:rPr>
        <w:rFonts w:ascii="Arial" w:hAnsi="Arial" w:cs="Arial"/>
        <w:sz w:val="18"/>
        <w:szCs w:val="18"/>
      </w:rPr>
      <w:t>Midroc Europe ägs av affärsmannen Mohammed Al-Amoudi och familjen Wikström.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69BC" w14:textId="77777777" w:rsidR="000A7CD0" w:rsidRDefault="000A7CD0">
      <w:r>
        <w:separator/>
      </w:r>
    </w:p>
  </w:footnote>
  <w:footnote w:type="continuationSeparator" w:id="0">
    <w:p w14:paraId="78A980B7" w14:textId="77777777" w:rsidR="000A7CD0" w:rsidRDefault="000A7CD0">
      <w:r>
        <w:continuationSeparator/>
      </w:r>
    </w:p>
  </w:footnote>
  <w:footnote w:type="continuationNotice" w:id="1">
    <w:p w14:paraId="55E7871D" w14:textId="77777777" w:rsidR="000A7CD0" w:rsidRDefault="000A7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1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1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1BCC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95CA7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1696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867BF"/>
    <w:rsid w:val="00294BE4"/>
    <w:rsid w:val="00297635"/>
    <w:rsid w:val="002A2400"/>
    <w:rsid w:val="002A49B6"/>
    <w:rsid w:val="002B051E"/>
    <w:rsid w:val="002B17E8"/>
    <w:rsid w:val="002F5F09"/>
    <w:rsid w:val="003033BE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84C1E"/>
    <w:rsid w:val="003A12CE"/>
    <w:rsid w:val="003A6782"/>
    <w:rsid w:val="003B1F23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24BA4"/>
    <w:rsid w:val="00433C41"/>
    <w:rsid w:val="00437351"/>
    <w:rsid w:val="00440CA2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0FDB"/>
    <w:rsid w:val="005A2705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3835"/>
    <w:rsid w:val="00755A8E"/>
    <w:rsid w:val="00760F86"/>
    <w:rsid w:val="00762892"/>
    <w:rsid w:val="00763D34"/>
    <w:rsid w:val="0077164A"/>
    <w:rsid w:val="00780CBD"/>
    <w:rsid w:val="007A13BB"/>
    <w:rsid w:val="007A2E78"/>
    <w:rsid w:val="007C0540"/>
    <w:rsid w:val="007C0B3D"/>
    <w:rsid w:val="007C7056"/>
    <w:rsid w:val="007D4BD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423D"/>
    <w:rsid w:val="0086788B"/>
    <w:rsid w:val="008773F5"/>
    <w:rsid w:val="00892445"/>
    <w:rsid w:val="00893D9E"/>
    <w:rsid w:val="008B093B"/>
    <w:rsid w:val="008D7E07"/>
    <w:rsid w:val="008E2D2C"/>
    <w:rsid w:val="008E4DF6"/>
    <w:rsid w:val="008F1572"/>
    <w:rsid w:val="008F3A74"/>
    <w:rsid w:val="008F3F77"/>
    <w:rsid w:val="008F53CE"/>
    <w:rsid w:val="009039BF"/>
    <w:rsid w:val="00931D50"/>
    <w:rsid w:val="00936D2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8368B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075C"/>
    <w:rsid w:val="00B12907"/>
    <w:rsid w:val="00B12F2D"/>
    <w:rsid w:val="00B210F5"/>
    <w:rsid w:val="00B240E8"/>
    <w:rsid w:val="00B44AFF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19B"/>
    <w:rsid w:val="00C1093E"/>
    <w:rsid w:val="00C11EF8"/>
    <w:rsid w:val="00C14984"/>
    <w:rsid w:val="00C244ED"/>
    <w:rsid w:val="00C246C8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E24E4"/>
    <w:rsid w:val="00DF5B19"/>
    <w:rsid w:val="00E1112F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37A06"/>
    <w:rsid w:val="00F43B85"/>
    <w:rsid w:val="00F477AD"/>
    <w:rsid w:val="00F6188F"/>
    <w:rsid w:val="00F628A5"/>
    <w:rsid w:val="00F62B8D"/>
    <w:rsid w:val="00F63FB6"/>
    <w:rsid w:val="00F6431C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BB5B-189C-4B67-9402-B8308905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100</TotalTime>
  <Pages>1</Pages>
  <Words>352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Midroc vinner markanvisning i Oceanhamnen, Helsingborg</vt:lpstr>
      <vt:lpstr>        Fakta ”Mosaik av möjligheter”</vt:lpstr>
    </vt:vector>
  </TitlesOfParts>
  <Company>Midroc Property Development AB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12</cp:revision>
  <cp:lastPrinted>2015-03-03T10:57:00Z</cp:lastPrinted>
  <dcterms:created xsi:type="dcterms:W3CDTF">2015-02-26T13:24:00Z</dcterms:created>
  <dcterms:modified xsi:type="dcterms:W3CDTF">2015-03-03T11:28:00Z</dcterms:modified>
</cp:coreProperties>
</file>