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53CA" w:rsidRPr="00582FF5" w:rsidRDefault="009853CA" w:rsidP="009853CA">
      <w:pPr>
        <w:rPr>
          <w:b/>
          <w:lang w:val="es-AR"/>
        </w:rPr>
      </w:pPr>
      <w:r w:rsidRPr="00582FF5">
        <w:rPr>
          <w:lang w:val="es-AR"/>
        </w:rPr>
        <w:drawing>
          <wp:anchor distT="0" distB="0" distL="114300" distR="114300" simplePos="0" relativeHeight="251659264" behindDoc="1" locked="0" layoutInCell="1" allowOverlap="1" wp14:anchorId="04C5E9C4" wp14:editId="37A5B7FB">
            <wp:simplePos x="0" y="0"/>
            <wp:positionH relativeFrom="column">
              <wp:posOffset>-908050</wp:posOffset>
            </wp:positionH>
            <wp:positionV relativeFrom="paragraph">
              <wp:posOffset>-895350</wp:posOffset>
            </wp:positionV>
            <wp:extent cx="7743882" cy="2349500"/>
            <wp:effectExtent l="0" t="0" r="9525" b="0"/>
            <wp:wrapNone/>
            <wp:docPr id="2" name="Picture 1" descr="Description: Macintosh HD:Users:renemoreno:Desktop:UL_ISO_081210 Folder:Links:UL_ISO_PressRelease:UL_ISO_PressReleas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acintosh HD:Users:renemoreno:Desktop:UL_ISO_081210 Folder:Links:UL_ISO_PressRelease:UL_ISO_PressRelease Heade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53656" cy="2352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53CA" w:rsidRPr="00582FF5" w:rsidRDefault="009853CA" w:rsidP="009853CA">
      <w:pPr>
        <w:rPr>
          <w:lang w:val="es-AR"/>
        </w:rPr>
      </w:pPr>
    </w:p>
    <w:p w:rsidR="009853CA" w:rsidRPr="00582FF5" w:rsidRDefault="009853CA" w:rsidP="009853CA">
      <w:pPr>
        <w:rPr>
          <w:lang w:val="es-AR"/>
        </w:rPr>
      </w:pPr>
    </w:p>
    <w:p w:rsidR="009853CA" w:rsidRPr="00582FF5" w:rsidRDefault="009853CA" w:rsidP="009853CA">
      <w:pPr>
        <w:rPr>
          <w:lang w:val="es-AR"/>
        </w:rPr>
      </w:pPr>
    </w:p>
    <w:p w:rsidR="009853CA" w:rsidRPr="00582FF5" w:rsidRDefault="009853CA" w:rsidP="009853CA">
      <w:pPr>
        <w:rPr>
          <w:lang w:val="es-AR"/>
        </w:rPr>
      </w:pPr>
    </w:p>
    <w:p w:rsidR="009853CA" w:rsidRPr="00582FF5" w:rsidRDefault="009853CA" w:rsidP="009853CA">
      <w:pPr>
        <w:spacing w:after="0"/>
        <w:rPr>
          <w:lang w:val="es-AR"/>
        </w:rPr>
      </w:pPr>
      <w:r w:rsidRPr="00582FF5">
        <w:rPr>
          <w:lang w:val="es-AR"/>
        </w:rPr>
        <w:t>Julia Blanco</w:t>
      </w:r>
    </w:p>
    <w:p w:rsidR="009853CA" w:rsidRPr="00582FF5" w:rsidRDefault="009853CA" w:rsidP="009853CA">
      <w:pPr>
        <w:spacing w:after="0"/>
        <w:rPr>
          <w:lang w:val="es-AR"/>
        </w:rPr>
      </w:pPr>
      <w:r w:rsidRPr="00582FF5">
        <w:rPr>
          <w:lang w:val="es-AR"/>
        </w:rPr>
        <w:t>Latam</w:t>
      </w:r>
      <w:r w:rsidRPr="00582FF5">
        <w:rPr>
          <w:lang w:val="es-AR"/>
        </w:rPr>
        <w:t xml:space="preserve"> Marketing </w:t>
      </w:r>
      <w:r w:rsidRPr="00582FF5">
        <w:rPr>
          <w:lang w:val="es-AR"/>
        </w:rPr>
        <w:t>Coordinator</w:t>
      </w:r>
    </w:p>
    <w:p w:rsidR="009853CA" w:rsidRPr="00582FF5" w:rsidRDefault="009853CA" w:rsidP="009853CA">
      <w:pPr>
        <w:spacing w:after="0"/>
        <w:rPr>
          <w:lang w:val="es-AR"/>
        </w:rPr>
      </w:pPr>
      <w:r w:rsidRPr="00582FF5">
        <w:rPr>
          <w:lang w:val="es-AR"/>
        </w:rPr>
        <w:t>UL International</w:t>
      </w:r>
    </w:p>
    <w:p w:rsidR="009853CA" w:rsidRPr="00582FF5" w:rsidRDefault="009853CA" w:rsidP="009853CA">
      <w:pPr>
        <w:spacing w:after="0"/>
        <w:rPr>
          <w:lang w:val="es-AR"/>
        </w:rPr>
      </w:pPr>
      <w:r w:rsidRPr="00582FF5">
        <w:rPr>
          <w:lang w:val="es-AR"/>
        </w:rPr>
        <w:t>Julia.Blanco</w:t>
      </w:r>
      <w:r w:rsidRPr="00582FF5">
        <w:rPr>
          <w:lang w:val="es-AR"/>
        </w:rPr>
        <w:t>@ul.com</w:t>
      </w:r>
    </w:p>
    <w:p w:rsidR="00062314" w:rsidRPr="00582FF5" w:rsidRDefault="00062314" w:rsidP="00062314">
      <w:pPr>
        <w:spacing w:after="0"/>
        <w:rPr>
          <w:lang w:val="es-AR"/>
        </w:rPr>
      </w:pPr>
      <w:r w:rsidRPr="00582FF5">
        <w:rPr>
          <w:lang w:val="es-AR"/>
        </w:rPr>
        <w:t>+54.</w:t>
      </w:r>
      <w:r w:rsidRPr="00062314">
        <w:rPr>
          <w:lang w:val="es-AR"/>
        </w:rPr>
        <w:t>11</w:t>
      </w:r>
      <w:r w:rsidRPr="00582FF5">
        <w:rPr>
          <w:lang w:val="es-AR"/>
        </w:rPr>
        <w:t>.</w:t>
      </w:r>
      <w:r w:rsidRPr="00062314">
        <w:rPr>
          <w:lang w:val="es-AR"/>
        </w:rPr>
        <w:t>3</w:t>
      </w:r>
      <w:r w:rsidRPr="00582FF5">
        <w:rPr>
          <w:lang w:val="es-AR"/>
        </w:rPr>
        <w:t>984.</w:t>
      </w:r>
      <w:r w:rsidRPr="00062314">
        <w:rPr>
          <w:lang w:val="es-AR"/>
        </w:rPr>
        <w:t>2600.</w:t>
      </w:r>
    </w:p>
    <w:p w:rsidR="00550B0E" w:rsidRPr="00062314" w:rsidRDefault="00550B0E" w:rsidP="00062314">
      <w:pPr>
        <w:spacing w:after="0"/>
        <w:rPr>
          <w:lang w:val="es-AR"/>
        </w:rPr>
      </w:pPr>
    </w:p>
    <w:p w:rsidR="00550B0E" w:rsidRPr="00582FF5" w:rsidRDefault="009D1C49" w:rsidP="009D1C49">
      <w:pPr>
        <w:shd w:val="clear" w:color="auto" w:fill="FFFFFF"/>
        <w:spacing w:after="30" w:line="240" w:lineRule="auto"/>
        <w:jc w:val="center"/>
        <w:outlineLvl w:val="0"/>
        <w:rPr>
          <w:rFonts w:asciiTheme="minorBidi" w:eastAsia="Times New Roman" w:hAnsiTheme="minorBidi"/>
          <w:b/>
          <w:bCs/>
          <w:color w:val="212121"/>
          <w:sz w:val="26"/>
          <w:szCs w:val="26"/>
          <w:lang w:val="es-AR"/>
        </w:rPr>
      </w:pPr>
      <w:bookmarkStart w:id="0" w:name="_GoBack"/>
      <w:r w:rsidRPr="00582FF5">
        <w:rPr>
          <w:rFonts w:asciiTheme="minorBidi" w:eastAsia="Times New Roman" w:hAnsiTheme="minorBidi"/>
          <w:b/>
          <w:bCs/>
          <w:color w:val="212121"/>
          <w:sz w:val="26"/>
          <w:szCs w:val="26"/>
          <w:lang w:val="es-AR"/>
        </w:rPr>
        <w:t>UL 2900-2-3 ayuda a mitigar los riesgos de seguridad de Internet de las Cosas (Iot)</w:t>
      </w:r>
    </w:p>
    <w:bookmarkEnd w:id="0"/>
    <w:p w:rsidR="009D1C49" w:rsidRPr="009D1C49" w:rsidRDefault="009D1C49" w:rsidP="009D1C49">
      <w:pPr>
        <w:spacing w:after="0" w:line="270" w:lineRule="atLeast"/>
        <w:jc w:val="center"/>
        <w:rPr>
          <w:rFonts w:ascii="Arial" w:eastAsia="Cambria" w:hAnsi="Arial" w:cs="Times New Roman"/>
          <w:i/>
          <w:iCs/>
          <w:lang w:val="es-AR" w:eastAsia="en-US"/>
        </w:rPr>
      </w:pPr>
      <w:r w:rsidRPr="009D1C49">
        <w:rPr>
          <w:rFonts w:ascii="Arial" w:eastAsia="Cambria" w:hAnsi="Arial" w:cs="Times New Roman"/>
          <w:i/>
          <w:iCs/>
          <w:lang w:val="es-AR" w:eastAsia="en-US"/>
        </w:rPr>
        <w:t>Medidores de energía eléctrica, cámaras de seguridad, sensores y cajeros automáticos están menos expuestos a problemas de seguridad de ciber con el protocolo UL 2900-2-3</w:t>
      </w:r>
    </w:p>
    <w:p w:rsidR="009D1C49" w:rsidRPr="00582FF5" w:rsidRDefault="009D1C49" w:rsidP="009D1C49">
      <w:pPr>
        <w:spacing w:after="0" w:line="270" w:lineRule="atLeast"/>
        <w:jc w:val="both"/>
        <w:rPr>
          <w:rFonts w:asciiTheme="minorBidi" w:eastAsia="Cambria" w:hAnsiTheme="minorBidi"/>
          <w:sz w:val="20"/>
          <w:szCs w:val="24"/>
          <w:lang w:val="es-AR" w:eastAsia="en-US"/>
        </w:rPr>
      </w:pPr>
    </w:p>
    <w:p w:rsidR="009D1C49" w:rsidRPr="009D1C49" w:rsidRDefault="009D1C49" w:rsidP="009D1C49">
      <w:pPr>
        <w:spacing w:after="100" w:afterAutospacing="1" w:line="270" w:lineRule="atLeast"/>
        <w:jc w:val="both"/>
        <w:rPr>
          <w:rFonts w:ascii="Arial" w:eastAsia="Cambria" w:hAnsi="Arial" w:cs="Times New Roman"/>
          <w:sz w:val="20"/>
          <w:szCs w:val="24"/>
          <w:lang w:val="es-AR" w:eastAsia="en-US"/>
        </w:rPr>
      </w:pPr>
      <w:r w:rsidRPr="00582FF5">
        <w:rPr>
          <w:rFonts w:asciiTheme="minorBidi" w:eastAsia="Times New Roman" w:hAnsiTheme="minorBidi"/>
          <w:b/>
          <w:lang w:val="es-AR" w:eastAsia="pt-BR"/>
        </w:rPr>
        <w:t xml:space="preserve">San Pablo, febrero </w:t>
      </w:r>
      <w:r w:rsidR="00582FF5" w:rsidRPr="00582FF5">
        <w:rPr>
          <w:rFonts w:asciiTheme="minorBidi" w:eastAsia="Times New Roman" w:hAnsiTheme="minorBidi"/>
          <w:b/>
          <w:lang w:val="es-AR" w:eastAsia="pt-BR"/>
        </w:rPr>
        <w:t>de 2018 -</w:t>
      </w:r>
      <w:r w:rsidR="00582FF5" w:rsidRPr="00582FF5">
        <w:rPr>
          <w:rFonts w:ascii="Verdana" w:eastAsia="Times New Roman" w:hAnsi="Verdana" w:cs="Arial"/>
          <w:b/>
          <w:lang w:val="es-AR" w:eastAsia="pt-BR"/>
        </w:rPr>
        <w:t xml:space="preserve"> </w:t>
      </w:r>
      <w:r w:rsidRPr="00582FF5">
        <w:rPr>
          <w:rFonts w:ascii="Verdana" w:eastAsia="Times New Roman" w:hAnsi="Verdana" w:cs="Arial"/>
          <w:lang w:val="es-AR" w:eastAsia="pt-BR"/>
        </w:rPr>
        <w:t xml:space="preserve"> </w:t>
      </w:r>
      <w:r w:rsidRPr="009D1C49">
        <w:rPr>
          <w:rFonts w:ascii="Arial" w:eastAsia="Cambria" w:hAnsi="Arial" w:cs="Times New Roman"/>
          <w:sz w:val="20"/>
          <w:szCs w:val="24"/>
          <w:lang w:val="es-AR" w:eastAsia="en-US"/>
        </w:rPr>
        <w:t>Según Gartner Inc., empresa de investigación y asesoramiento de mercado, habrá 8.400 millones de dispositivos conectados en uso en 2017 y la expectativa es de 20.400 millones para 2020. El crecimiento exponencial de aparatos conectados a Internet, tales como Smart TVs, consolas de HDTV, medidores de energía y cámaras de seguridad ofrecen tanto a los usuarios B2B como a B2C, varias oportunidades de servicios por llamada, más conveniencia, entre otros beneficios.</w:t>
      </w:r>
    </w:p>
    <w:p w:rsidR="009D1C49" w:rsidRPr="009D1C49" w:rsidRDefault="009D1C49" w:rsidP="009D1C49">
      <w:pPr>
        <w:spacing w:after="100" w:afterAutospacing="1" w:line="270" w:lineRule="atLeast"/>
        <w:jc w:val="both"/>
        <w:rPr>
          <w:rFonts w:ascii="Arial" w:eastAsia="Cambria" w:hAnsi="Arial" w:cs="Times New Roman"/>
          <w:sz w:val="20"/>
          <w:szCs w:val="24"/>
          <w:lang w:val="es-AR" w:eastAsia="en-US"/>
        </w:rPr>
      </w:pPr>
      <w:r w:rsidRPr="009D1C49">
        <w:rPr>
          <w:rFonts w:ascii="Arial" w:eastAsia="Cambria" w:hAnsi="Arial" w:cs="Times New Roman"/>
          <w:sz w:val="20"/>
          <w:szCs w:val="24"/>
          <w:lang w:val="es-AR" w:eastAsia="en-US"/>
        </w:rPr>
        <w:t>En el caso de sistemas de seguridad electrónica, Internet de las Cosas (IoT por sus siglas en inglés) permite a las organizaciones el monitoreo remoto, así como la identificación y la respuesta a cuestiones de seguridad. Las contraseñas digitales se pueden cambiar rápidamente, por ejemplo, para limitar o permitir el acceso, añadiendo un nivel adicional de seguridad al sistema.</w:t>
      </w:r>
    </w:p>
    <w:p w:rsidR="009D1C49" w:rsidRPr="009D1C49" w:rsidRDefault="009D1C49" w:rsidP="009D1C49">
      <w:pPr>
        <w:spacing w:after="100" w:afterAutospacing="1" w:line="270" w:lineRule="atLeast"/>
        <w:jc w:val="both"/>
        <w:rPr>
          <w:rFonts w:ascii="Arial" w:eastAsia="Cambria" w:hAnsi="Arial" w:cs="Times New Roman"/>
          <w:sz w:val="20"/>
          <w:szCs w:val="24"/>
          <w:lang w:val="es-AR" w:eastAsia="en-US"/>
        </w:rPr>
      </w:pPr>
      <w:r w:rsidRPr="009D1C49">
        <w:rPr>
          <w:rFonts w:ascii="Arial" w:eastAsia="Cambria" w:hAnsi="Arial" w:cs="Times New Roman"/>
          <w:sz w:val="20"/>
          <w:szCs w:val="24"/>
          <w:lang w:val="es-AR" w:eastAsia="en-US"/>
        </w:rPr>
        <w:t>Con la tecnología interconectada también vienen amenazas digitales en forma de phishing (una manera deshonesta que los cibercriminales usan para engañar y revelar información personal, como contraseñas de tarjeta de crédito, CPF y número de cuentas bancarias, enviando correos electrónicos falsos o dirigiendo a los sitios web falsos), los bots (destructor de robots, también conocido como Internet bot o web robot, una aplicación de software diseñada para simular acciones humanas repetidas veces de manera estándar, al igual que lo haría un robot), ransomware: el tipo de software nocivo que restringe el acceso al sistema infectado y cobra un rescate para que el acceso pueda ser restablecido y, si no ocurre, los archivos pueden ser perdidos e incluso publicados) y malware (software nocivo), entre otras técnicas usadas por quien ataca de esta forma para manipular las vulnerabilidades de la red del software y los sistemas operativos.</w:t>
      </w:r>
    </w:p>
    <w:p w:rsidR="009D1C49" w:rsidRPr="009D1C49" w:rsidRDefault="009D1C49" w:rsidP="009D1C49">
      <w:pPr>
        <w:spacing w:after="100" w:afterAutospacing="1" w:line="270" w:lineRule="atLeast"/>
        <w:jc w:val="both"/>
        <w:rPr>
          <w:rFonts w:ascii="Arial" w:eastAsia="Cambria" w:hAnsi="Arial" w:cs="Times New Roman"/>
          <w:b/>
          <w:bCs/>
          <w:sz w:val="20"/>
          <w:szCs w:val="24"/>
          <w:lang w:val="es-AR" w:eastAsia="en-US"/>
        </w:rPr>
      </w:pPr>
      <w:r w:rsidRPr="00582FF5">
        <w:rPr>
          <w:rFonts w:ascii="Arial" w:eastAsia="Cambria" w:hAnsi="Arial" w:cs="Times New Roman"/>
          <w:b/>
          <w:bCs/>
          <w:sz w:val="20"/>
          <w:szCs w:val="24"/>
          <w:lang w:val="es-AR" w:eastAsia="en-US"/>
        </w:rPr>
        <w:t>¿Qué está en juego?</w:t>
      </w:r>
    </w:p>
    <w:p w:rsidR="009D1C49" w:rsidRPr="009D1C49" w:rsidRDefault="009D1C49" w:rsidP="009D1C49">
      <w:pPr>
        <w:spacing w:after="100" w:afterAutospacing="1" w:line="270" w:lineRule="atLeast"/>
        <w:jc w:val="both"/>
        <w:rPr>
          <w:rFonts w:ascii="Arial" w:eastAsia="Cambria" w:hAnsi="Arial" w:cs="Times New Roman"/>
          <w:sz w:val="20"/>
          <w:szCs w:val="24"/>
          <w:lang w:val="es-AR" w:eastAsia="en-US"/>
        </w:rPr>
      </w:pPr>
      <w:r w:rsidRPr="009D1C49">
        <w:rPr>
          <w:rFonts w:ascii="Arial" w:eastAsia="Cambria" w:hAnsi="Arial" w:cs="Times New Roman"/>
          <w:sz w:val="20"/>
          <w:szCs w:val="24"/>
          <w:lang w:val="es-AR" w:eastAsia="en-US"/>
        </w:rPr>
        <w:t>Symantec (empresa de seguridad cibernética), en su Informe de Amenazas de Seguridad en Internet de 2017, presenta estas estadísticas, obtenidas a partir de análisis llevados a cabo en 2016:</w:t>
      </w:r>
    </w:p>
    <w:p w:rsidR="009D1C49" w:rsidRPr="009D1C49" w:rsidRDefault="009D1C49" w:rsidP="009D1C49">
      <w:pPr>
        <w:numPr>
          <w:ilvl w:val="0"/>
          <w:numId w:val="2"/>
        </w:numPr>
        <w:spacing w:before="100" w:beforeAutospacing="1" w:after="100" w:afterAutospacing="1" w:line="270" w:lineRule="atLeast"/>
        <w:ind w:left="0"/>
        <w:jc w:val="both"/>
        <w:rPr>
          <w:rFonts w:ascii="Arial" w:eastAsia="Cambria" w:hAnsi="Arial" w:cs="Times New Roman"/>
          <w:sz w:val="20"/>
          <w:szCs w:val="24"/>
          <w:lang w:val="es-AR" w:eastAsia="en-US"/>
        </w:rPr>
      </w:pPr>
      <w:r w:rsidRPr="009D1C49">
        <w:rPr>
          <w:rFonts w:ascii="Arial" w:eastAsia="Cambria" w:hAnsi="Arial" w:cs="Times New Roman"/>
          <w:sz w:val="20"/>
          <w:szCs w:val="24"/>
          <w:lang w:val="es-AR" w:eastAsia="en-US"/>
        </w:rPr>
        <w:t>1 de cada 2,596 mensajes de correo electrónico contiene intentos de phishing</w:t>
      </w:r>
    </w:p>
    <w:p w:rsidR="009D1C49" w:rsidRPr="009D1C49" w:rsidRDefault="009D1C49" w:rsidP="009D1C49">
      <w:pPr>
        <w:numPr>
          <w:ilvl w:val="0"/>
          <w:numId w:val="2"/>
        </w:numPr>
        <w:spacing w:before="100" w:beforeAutospacing="1" w:after="100" w:afterAutospacing="1" w:line="270" w:lineRule="atLeast"/>
        <w:ind w:left="0"/>
        <w:jc w:val="both"/>
        <w:rPr>
          <w:rFonts w:ascii="Arial" w:eastAsia="Cambria" w:hAnsi="Arial" w:cs="Times New Roman"/>
          <w:sz w:val="20"/>
          <w:szCs w:val="24"/>
          <w:lang w:val="es-AR" w:eastAsia="en-US"/>
        </w:rPr>
      </w:pPr>
      <w:r w:rsidRPr="009D1C49">
        <w:rPr>
          <w:rFonts w:ascii="Arial" w:eastAsia="Cambria" w:hAnsi="Arial" w:cs="Times New Roman"/>
          <w:sz w:val="20"/>
          <w:szCs w:val="24"/>
          <w:lang w:val="es-AR" w:eastAsia="en-US"/>
        </w:rPr>
        <w:lastRenderedPageBreak/>
        <w:t>Hay 357 millones de nuevas variantes de malware</w:t>
      </w:r>
    </w:p>
    <w:p w:rsidR="009D1C49" w:rsidRPr="009D1C49" w:rsidRDefault="009D1C49" w:rsidP="009D1C49">
      <w:pPr>
        <w:numPr>
          <w:ilvl w:val="0"/>
          <w:numId w:val="2"/>
        </w:numPr>
        <w:spacing w:before="100" w:beforeAutospacing="1" w:after="100" w:afterAutospacing="1" w:line="270" w:lineRule="atLeast"/>
        <w:ind w:left="0"/>
        <w:jc w:val="both"/>
        <w:rPr>
          <w:rFonts w:ascii="Arial" w:eastAsia="Cambria" w:hAnsi="Arial" w:cs="Times New Roman"/>
          <w:sz w:val="20"/>
          <w:szCs w:val="24"/>
          <w:lang w:val="es-AR" w:eastAsia="en-US"/>
        </w:rPr>
      </w:pPr>
      <w:r w:rsidRPr="009D1C49">
        <w:rPr>
          <w:rFonts w:ascii="Arial" w:eastAsia="Cambria" w:hAnsi="Arial" w:cs="Times New Roman"/>
          <w:sz w:val="20"/>
          <w:szCs w:val="24"/>
          <w:lang w:val="es-AR" w:eastAsia="en-US"/>
        </w:rPr>
        <w:t>98.6 millones de bots</w:t>
      </w:r>
    </w:p>
    <w:p w:rsidR="009D1C49" w:rsidRPr="009D1C49" w:rsidRDefault="009D1C49" w:rsidP="009D1C49">
      <w:pPr>
        <w:numPr>
          <w:ilvl w:val="0"/>
          <w:numId w:val="2"/>
        </w:numPr>
        <w:spacing w:before="100" w:beforeAutospacing="1" w:after="100" w:afterAutospacing="1" w:line="270" w:lineRule="atLeast"/>
        <w:ind w:left="0"/>
        <w:jc w:val="both"/>
        <w:rPr>
          <w:rFonts w:ascii="Arial" w:eastAsia="Cambria" w:hAnsi="Arial" w:cs="Times New Roman"/>
          <w:sz w:val="20"/>
          <w:szCs w:val="24"/>
          <w:lang w:val="es-AR" w:eastAsia="en-US"/>
        </w:rPr>
      </w:pPr>
      <w:r w:rsidRPr="009D1C49">
        <w:rPr>
          <w:rFonts w:ascii="Arial" w:eastAsia="Cambria" w:hAnsi="Arial" w:cs="Times New Roman"/>
          <w:sz w:val="20"/>
          <w:szCs w:val="24"/>
          <w:lang w:val="es-AR" w:eastAsia="en-US"/>
        </w:rPr>
        <w:t>229 mil ataques web bloqueados por día, en promedio</w:t>
      </w:r>
    </w:p>
    <w:p w:rsidR="009D1C49" w:rsidRPr="009D1C49" w:rsidRDefault="009D1C49" w:rsidP="009D1C49">
      <w:pPr>
        <w:numPr>
          <w:ilvl w:val="0"/>
          <w:numId w:val="2"/>
        </w:numPr>
        <w:spacing w:before="100" w:beforeAutospacing="1" w:after="100" w:afterAutospacing="1" w:line="270" w:lineRule="atLeast"/>
        <w:ind w:left="0"/>
        <w:jc w:val="both"/>
        <w:rPr>
          <w:rFonts w:ascii="Arial" w:eastAsia="Cambria" w:hAnsi="Arial" w:cs="Times New Roman"/>
          <w:sz w:val="20"/>
          <w:szCs w:val="24"/>
          <w:lang w:val="es-AR" w:eastAsia="en-US"/>
        </w:rPr>
      </w:pPr>
      <w:r w:rsidRPr="009D1C49">
        <w:rPr>
          <w:rFonts w:ascii="Arial" w:eastAsia="Cambria" w:hAnsi="Arial" w:cs="Times New Roman"/>
          <w:sz w:val="20"/>
          <w:szCs w:val="24"/>
          <w:lang w:val="es-AR" w:eastAsia="en-US"/>
        </w:rPr>
        <w:t>Los aparatos conectados a Internet fueron atacados por media una vez cada dos minutos.</w:t>
      </w:r>
    </w:p>
    <w:p w:rsidR="009D1C49" w:rsidRPr="009D1C49" w:rsidRDefault="009D1C49" w:rsidP="009D1C49">
      <w:pPr>
        <w:spacing w:after="100" w:afterAutospacing="1" w:line="270" w:lineRule="atLeast"/>
        <w:jc w:val="both"/>
        <w:rPr>
          <w:rFonts w:ascii="Arial" w:eastAsia="Cambria" w:hAnsi="Arial" w:cs="Times New Roman"/>
          <w:sz w:val="20"/>
          <w:szCs w:val="24"/>
          <w:lang w:val="es-AR" w:eastAsia="en-US"/>
        </w:rPr>
      </w:pPr>
      <w:r w:rsidRPr="009D1C49">
        <w:rPr>
          <w:rFonts w:ascii="Arial" w:eastAsia="Cambria" w:hAnsi="Arial" w:cs="Times New Roman"/>
          <w:sz w:val="20"/>
          <w:szCs w:val="24"/>
          <w:lang w:val="es-AR" w:eastAsia="en-US"/>
        </w:rPr>
        <w:t>Para contextualizar estos números, un ataque ocurrido en octubre de 2016 ganó los titulares cuando las cámaras hackeadas llevaron a una impresionante negación de servicio distribuido (DDOS por sus siglas en inglés), afectando a sitios web como Amazon, Twitter, Spotify, Yelp, Netflix y Reddit. Un ejército de botnets, conocidos como Mirai, causó un problema gigantesco derribando sitios o disminuyendo severamente su frecuencia operativa.</w:t>
      </w:r>
    </w:p>
    <w:p w:rsidR="009D1C49" w:rsidRPr="009D1C49" w:rsidRDefault="009D1C49" w:rsidP="009D1C49">
      <w:pPr>
        <w:spacing w:after="100" w:afterAutospacing="1" w:line="270" w:lineRule="atLeast"/>
        <w:jc w:val="both"/>
        <w:rPr>
          <w:rFonts w:ascii="Arial" w:eastAsia="Cambria" w:hAnsi="Arial" w:cs="Times New Roman"/>
          <w:sz w:val="20"/>
          <w:szCs w:val="24"/>
          <w:lang w:val="es-AR" w:eastAsia="en-US"/>
        </w:rPr>
      </w:pPr>
      <w:r w:rsidRPr="009D1C49">
        <w:rPr>
          <w:rFonts w:ascii="Arial" w:eastAsia="Cambria" w:hAnsi="Arial" w:cs="Times New Roman"/>
          <w:sz w:val="20"/>
          <w:szCs w:val="24"/>
          <w:lang w:val="es-AR" w:eastAsia="en-US"/>
        </w:rPr>
        <w:t>Los nuevos artículos reportan que el tráfico fue conducido por varios tipos de aparatos de IoT, incluyendo, enrutadores, grabadoras de vídeo y cámaras. Los aparatos conectados como estos se utilizan como opción para hackear redes legítimas.</w:t>
      </w:r>
    </w:p>
    <w:p w:rsidR="009D1C49" w:rsidRPr="009D1C49" w:rsidRDefault="009D1C49" w:rsidP="009D1C49">
      <w:pPr>
        <w:spacing w:after="100" w:afterAutospacing="1" w:line="270" w:lineRule="atLeast"/>
        <w:jc w:val="both"/>
        <w:rPr>
          <w:rFonts w:ascii="Arial" w:eastAsia="Cambria" w:hAnsi="Arial" w:cs="Times New Roman"/>
          <w:sz w:val="20"/>
          <w:szCs w:val="24"/>
          <w:lang w:val="es-AR" w:eastAsia="en-US"/>
        </w:rPr>
      </w:pPr>
      <w:r w:rsidRPr="009D1C49">
        <w:rPr>
          <w:rFonts w:ascii="Arial" w:eastAsia="Cambria" w:hAnsi="Arial" w:cs="Times New Roman"/>
          <w:sz w:val="20"/>
          <w:szCs w:val="24"/>
          <w:lang w:val="es-AR" w:eastAsia="en-US"/>
        </w:rPr>
        <w:t>En Brasil, hospitales fueron blancos de ataques que derribaron sus redes y causaron problemas en la atención de pacientes.</w:t>
      </w:r>
    </w:p>
    <w:p w:rsidR="009D1C49" w:rsidRPr="009D1C49" w:rsidRDefault="009D1C49" w:rsidP="009D1C49">
      <w:pPr>
        <w:spacing w:after="100" w:afterAutospacing="1" w:line="270" w:lineRule="atLeast"/>
        <w:jc w:val="both"/>
        <w:rPr>
          <w:rFonts w:ascii="Arial" w:eastAsia="Cambria" w:hAnsi="Arial" w:cs="Times New Roman"/>
          <w:sz w:val="20"/>
          <w:szCs w:val="24"/>
          <w:lang w:val="es-AR" w:eastAsia="en-US"/>
        </w:rPr>
      </w:pPr>
      <w:r w:rsidRPr="009D1C49">
        <w:rPr>
          <w:rFonts w:ascii="Arial" w:eastAsia="Cambria" w:hAnsi="Arial" w:cs="Times New Roman"/>
          <w:sz w:val="20"/>
          <w:szCs w:val="24"/>
          <w:lang w:val="es-AR" w:eastAsia="en-US"/>
        </w:rPr>
        <w:t>En 2017 Brasil se ubicó detrás de China en el ranking de más casos de ataques cibernéticos con daños de USD 22 mil millones a empresas, organizaciones y personas víctimas de estas acciones.</w:t>
      </w:r>
    </w:p>
    <w:p w:rsidR="009D1C49" w:rsidRPr="009D1C49" w:rsidRDefault="009D1C49" w:rsidP="009D1C49">
      <w:pPr>
        <w:spacing w:after="100" w:afterAutospacing="1" w:line="270" w:lineRule="atLeast"/>
        <w:jc w:val="both"/>
        <w:rPr>
          <w:rFonts w:ascii="Arial" w:eastAsia="Cambria" w:hAnsi="Arial" w:cs="Times New Roman"/>
          <w:b/>
          <w:bCs/>
          <w:sz w:val="20"/>
          <w:szCs w:val="24"/>
          <w:lang w:val="es-AR" w:eastAsia="en-US"/>
        </w:rPr>
      </w:pPr>
      <w:r w:rsidRPr="00582FF5">
        <w:rPr>
          <w:rFonts w:ascii="Arial" w:eastAsia="Cambria" w:hAnsi="Arial" w:cs="Times New Roman"/>
          <w:b/>
          <w:bCs/>
          <w:sz w:val="20"/>
          <w:szCs w:val="24"/>
          <w:lang w:val="es-AR" w:eastAsia="en-US"/>
        </w:rPr>
        <w:t>Seguridad del diseño</w:t>
      </w:r>
    </w:p>
    <w:p w:rsidR="009D1C49" w:rsidRPr="009D1C49" w:rsidRDefault="009D1C49" w:rsidP="009D1C49">
      <w:pPr>
        <w:spacing w:after="100" w:afterAutospacing="1" w:line="270" w:lineRule="atLeast"/>
        <w:jc w:val="both"/>
        <w:rPr>
          <w:rFonts w:ascii="Arial" w:eastAsia="Cambria" w:hAnsi="Arial" w:cs="Times New Roman"/>
          <w:sz w:val="20"/>
          <w:szCs w:val="24"/>
          <w:lang w:val="es-AR" w:eastAsia="en-US"/>
        </w:rPr>
      </w:pPr>
      <w:r w:rsidRPr="009D1C49">
        <w:rPr>
          <w:rFonts w:ascii="Arial" w:eastAsia="Cambria" w:hAnsi="Arial" w:cs="Times New Roman"/>
          <w:sz w:val="20"/>
          <w:szCs w:val="24"/>
          <w:lang w:val="es-AR" w:eastAsia="en-US"/>
        </w:rPr>
        <w:t>La Comisión Federal de Comunicación de los Estados Unidos (FCC en inglés) alertó a los fabricantes de aparatos IoT, a principios del año pasado, de informar sobre los riesgos de ciberseguridad, o enfrentarse a más interferencia del gobierno y nuevas regulaciones normativas.</w:t>
      </w:r>
    </w:p>
    <w:p w:rsidR="009D1C49" w:rsidRPr="009D1C49" w:rsidRDefault="009D1C49" w:rsidP="009D1C49">
      <w:pPr>
        <w:spacing w:after="100" w:afterAutospacing="1" w:line="270" w:lineRule="atLeast"/>
        <w:jc w:val="both"/>
        <w:rPr>
          <w:rFonts w:ascii="Arial" w:eastAsia="Cambria" w:hAnsi="Arial" w:cs="Times New Roman"/>
          <w:sz w:val="20"/>
          <w:szCs w:val="24"/>
          <w:lang w:val="es-AR" w:eastAsia="en-US"/>
        </w:rPr>
      </w:pPr>
      <w:r w:rsidRPr="009D1C49">
        <w:rPr>
          <w:rFonts w:ascii="Arial" w:eastAsia="Cambria" w:hAnsi="Arial" w:cs="Times New Roman"/>
          <w:sz w:val="20"/>
          <w:szCs w:val="24"/>
          <w:lang w:val="es-AR" w:eastAsia="en-US"/>
        </w:rPr>
        <w:t>En el centro del problema están los ataques DDOS a través de los botnets, como los Mirai, y un creciente escrutinio de canales poco seguros que pueden ser fácilmente interceptados por hackers. Muchos fabricantes producen aparatos fáciles de romper, como se muestra en una investigación al QuickLock Padlock, conducida por el estado de Nueva York (EEUU).</w:t>
      </w:r>
    </w:p>
    <w:p w:rsidR="009D1C49" w:rsidRPr="009D1C49" w:rsidRDefault="009D1C49" w:rsidP="009D1C49">
      <w:pPr>
        <w:spacing w:after="100" w:afterAutospacing="1" w:line="270" w:lineRule="atLeast"/>
        <w:jc w:val="both"/>
        <w:rPr>
          <w:rFonts w:ascii="Arial" w:eastAsia="Cambria" w:hAnsi="Arial" w:cs="Times New Roman"/>
          <w:sz w:val="20"/>
          <w:szCs w:val="24"/>
          <w:lang w:val="es-AR" w:eastAsia="en-US"/>
        </w:rPr>
      </w:pPr>
      <w:r w:rsidRPr="009D1C49">
        <w:rPr>
          <w:rFonts w:ascii="Arial" w:eastAsia="Cambria" w:hAnsi="Arial" w:cs="Times New Roman"/>
          <w:sz w:val="20"/>
          <w:szCs w:val="24"/>
          <w:lang w:val="es-AR" w:eastAsia="en-US"/>
        </w:rPr>
        <w:t>La FCC propuso en un documento sobre reducción de riesgos de ciberseguridad (Cybersecurity Risk Reduction White Paper, 18 de enero de 2017) la implementación de prácticas inteligentes de ciber diseño, como la autenticación de seguros y la adherencia a las mejores prácticas antes de priorizar el lanzamiento del producto. La FCC prefiere utilizar asociaciones público-privadas, pero complementa que "la Comisión tiene las herramientas para hacer ajustes para restaurar el equilibrio, si es necesario".</w:t>
      </w:r>
    </w:p>
    <w:p w:rsidR="009D1C49" w:rsidRPr="009D1C49" w:rsidRDefault="009D1C49" w:rsidP="009D1C49">
      <w:pPr>
        <w:spacing w:after="100" w:afterAutospacing="1" w:line="270" w:lineRule="atLeast"/>
        <w:jc w:val="both"/>
        <w:rPr>
          <w:rFonts w:ascii="Arial" w:eastAsia="Cambria" w:hAnsi="Arial" w:cs="Times New Roman"/>
          <w:b/>
          <w:bCs/>
          <w:sz w:val="20"/>
          <w:szCs w:val="24"/>
          <w:lang w:val="es-AR" w:eastAsia="en-US"/>
        </w:rPr>
      </w:pPr>
      <w:r w:rsidRPr="00582FF5">
        <w:rPr>
          <w:rFonts w:ascii="Arial" w:eastAsia="Cambria" w:hAnsi="Arial" w:cs="Times New Roman"/>
          <w:b/>
          <w:bCs/>
          <w:sz w:val="20"/>
          <w:szCs w:val="24"/>
          <w:lang w:val="es-AR" w:eastAsia="en-US"/>
        </w:rPr>
        <w:t>La solución</w:t>
      </w:r>
    </w:p>
    <w:p w:rsidR="009D1C49" w:rsidRPr="009D1C49" w:rsidRDefault="009D1C49" w:rsidP="009D1C49">
      <w:pPr>
        <w:spacing w:after="100" w:afterAutospacing="1" w:line="270" w:lineRule="atLeast"/>
        <w:jc w:val="both"/>
        <w:rPr>
          <w:rFonts w:ascii="Arial" w:eastAsia="Cambria" w:hAnsi="Arial" w:cs="Times New Roman"/>
          <w:sz w:val="20"/>
          <w:szCs w:val="24"/>
          <w:lang w:val="es-AR" w:eastAsia="en-US"/>
        </w:rPr>
      </w:pPr>
      <w:r w:rsidRPr="009D1C49">
        <w:rPr>
          <w:rFonts w:ascii="Arial" w:eastAsia="Cambria" w:hAnsi="Arial" w:cs="Times New Roman"/>
          <w:sz w:val="20"/>
          <w:szCs w:val="24"/>
          <w:lang w:val="es-AR" w:eastAsia="en-US"/>
        </w:rPr>
        <w:t>Para ayudar a mejorar la seguridad de los sistemas de seguridad electrónica existe el protocolo UL 2900-2-3, la nueva contribución a la serie UL 2900 de normas de ciberseguridad. Desarrollada con la ayuda de distintos participantes de la industria, proporciona un conjunto fundamental de rendimiento de ciberseguridad y requisitos de seguridad que los fabricantes de productos conectables pueden establecer como base de protección contra vulnerabilidades y malware.</w:t>
      </w:r>
    </w:p>
    <w:p w:rsidR="009D1C49" w:rsidRPr="009D1C49" w:rsidRDefault="009D1C49" w:rsidP="009D1C49">
      <w:pPr>
        <w:spacing w:after="100" w:afterAutospacing="1" w:line="270" w:lineRule="atLeast"/>
        <w:jc w:val="both"/>
        <w:rPr>
          <w:rFonts w:ascii="Arial" w:eastAsia="Cambria" w:hAnsi="Arial" w:cs="Times New Roman"/>
          <w:sz w:val="20"/>
          <w:szCs w:val="24"/>
          <w:lang w:val="es-AR" w:eastAsia="en-US"/>
        </w:rPr>
      </w:pPr>
      <w:r w:rsidRPr="009D1C49">
        <w:rPr>
          <w:rFonts w:ascii="Arial" w:eastAsia="Cambria" w:hAnsi="Arial" w:cs="Times New Roman"/>
          <w:sz w:val="20"/>
          <w:szCs w:val="24"/>
          <w:lang w:val="es-AR" w:eastAsia="en-US"/>
        </w:rPr>
        <w:t>El Programa de Seguridad Cibernética de UL (UL CAP) puede probar y evaluar el software de un producto y certificar la arquitectura y el diseño de software de este producto de acuerdo con las especificaciones enumeradas en la Descripción de la investigación (Outline of Investigation).</w:t>
      </w:r>
    </w:p>
    <w:p w:rsidR="009D1C49" w:rsidRPr="009D1C49" w:rsidRDefault="009D1C49" w:rsidP="009D1C49">
      <w:pPr>
        <w:spacing w:after="100" w:afterAutospacing="1" w:line="270" w:lineRule="atLeast"/>
        <w:jc w:val="both"/>
        <w:rPr>
          <w:rFonts w:ascii="Arial" w:eastAsia="Cambria" w:hAnsi="Arial" w:cs="Times New Roman"/>
          <w:sz w:val="20"/>
          <w:szCs w:val="24"/>
          <w:lang w:val="es-AR" w:eastAsia="en-US"/>
        </w:rPr>
      </w:pPr>
      <w:r w:rsidRPr="009D1C49">
        <w:rPr>
          <w:rFonts w:ascii="Arial" w:eastAsia="Cambria" w:hAnsi="Arial" w:cs="Times New Roman"/>
          <w:sz w:val="20"/>
          <w:szCs w:val="24"/>
          <w:lang w:val="es-AR" w:eastAsia="en-US"/>
        </w:rPr>
        <w:t>Las infraestructuras de seguridad electrónica incluyen sistemas de comunicación de emergencia, sistemas de alarma de fuego, sistemas de recepción de alarmas, sistemas de cajeros automáticos, sistemas de control de acceso, cámaras de seguridad, grabadoras de vídeo, grabadoras de vídeo digitales y otros.</w:t>
      </w:r>
    </w:p>
    <w:p w:rsidR="009D1C49" w:rsidRPr="009D1C49" w:rsidRDefault="009D1C49" w:rsidP="009D1C49">
      <w:pPr>
        <w:spacing w:after="100" w:afterAutospacing="1" w:line="270" w:lineRule="atLeast"/>
        <w:jc w:val="both"/>
        <w:rPr>
          <w:rFonts w:ascii="Arial" w:eastAsia="Cambria" w:hAnsi="Arial" w:cs="Times New Roman"/>
          <w:sz w:val="20"/>
          <w:szCs w:val="24"/>
          <w:lang w:val="es-AR" w:eastAsia="en-US"/>
        </w:rPr>
      </w:pPr>
      <w:r w:rsidRPr="009D1C49">
        <w:rPr>
          <w:rFonts w:ascii="Arial" w:eastAsia="Cambria" w:hAnsi="Arial" w:cs="Times New Roman"/>
          <w:sz w:val="20"/>
          <w:szCs w:val="24"/>
          <w:lang w:val="es-AR" w:eastAsia="en-US"/>
        </w:rPr>
        <w:t>El protocolo UL 2900-2-3 ha sido desarrollado de forma que hay una exigencia de seguridad mayor a cada nivel. Las pruebas incluyen detección de fallos conocidos, análisis de código y binario, análisis de control de riesgos, pruebas de penetración estructurada y evaluación de riesgos de seguridad.</w:t>
      </w:r>
    </w:p>
    <w:p w:rsidR="009D1C49" w:rsidRPr="009D1C49" w:rsidRDefault="009D1C49" w:rsidP="009D1C49">
      <w:pPr>
        <w:spacing w:after="100" w:afterAutospacing="1" w:line="270" w:lineRule="atLeast"/>
        <w:jc w:val="both"/>
        <w:rPr>
          <w:rFonts w:ascii="Arial" w:eastAsia="Cambria" w:hAnsi="Arial" w:cs="Times New Roman"/>
          <w:sz w:val="20"/>
          <w:szCs w:val="24"/>
          <w:lang w:val="es-AR" w:eastAsia="en-US"/>
        </w:rPr>
      </w:pPr>
      <w:r w:rsidRPr="009D1C49">
        <w:rPr>
          <w:rFonts w:ascii="Arial" w:eastAsia="Cambria" w:hAnsi="Arial" w:cs="Times New Roman"/>
          <w:sz w:val="20"/>
          <w:szCs w:val="24"/>
          <w:lang w:val="es-AR" w:eastAsia="en-US"/>
        </w:rPr>
        <w:t>Nivel 1: incluye los requisitos de seguridad básica para la evaluación de riesgos de seguridad en software de productos incluidos en la Descripción de la investigación (Outline of Investigation). Este nivel se recomienda como nivel mínimo de evaluación.</w:t>
      </w:r>
    </w:p>
    <w:p w:rsidR="009D1C49" w:rsidRPr="009D1C49" w:rsidRDefault="009D1C49" w:rsidP="009D1C49">
      <w:pPr>
        <w:spacing w:after="100" w:afterAutospacing="1" w:line="270" w:lineRule="atLeast"/>
        <w:jc w:val="both"/>
        <w:rPr>
          <w:rFonts w:ascii="Arial" w:eastAsia="Cambria" w:hAnsi="Arial" w:cs="Times New Roman"/>
          <w:sz w:val="20"/>
          <w:szCs w:val="24"/>
          <w:lang w:val="es-AR" w:eastAsia="en-US"/>
        </w:rPr>
      </w:pPr>
      <w:r w:rsidRPr="009D1C49">
        <w:rPr>
          <w:rFonts w:ascii="Arial" w:eastAsia="Cambria" w:hAnsi="Arial" w:cs="Times New Roman"/>
          <w:sz w:val="20"/>
          <w:szCs w:val="24"/>
          <w:lang w:val="es-AR" w:eastAsia="en-US"/>
        </w:rPr>
        <w:t>Nivel 2 - incluye todos los requisitos del primero y los requisitos de evaluación de riesgos de seguridad en el software de productos. Este nivel también proporciona una evaluación de las capacidades de seguridad de un producto con conocimientos de controles internos de seguridad.</w:t>
      </w:r>
    </w:p>
    <w:p w:rsidR="009D1C49" w:rsidRPr="009D1C49" w:rsidRDefault="009D1C49" w:rsidP="009D1C49">
      <w:pPr>
        <w:spacing w:after="100" w:afterAutospacing="1" w:line="270" w:lineRule="atLeast"/>
        <w:jc w:val="both"/>
        <w:rPr>
          <w:rFonts w:ascii="Arial" w:eastAsia="Cambria" w:hAnsi="Arial" w:cs="Times New Roman"/>
          <w:sz w:val="20"/>
          <w:szCs w:val="24"/>
          <w:lang w:val="es-AR" w:eastAsia="en-US"/>
        </w:rPr>
      </w:pPr>
      <w:r w:rsidRPr="009D1C49">
        <w:rPr>
          <w:rFonts w:ascii="Arial" w:eastAsia="Cambria" w:hAnsi="Arial" w:cs="Times New Roman"/>
          <w:sz w:val="20"/>
          <w:szCs w:val="24"/>
          <w:lang w:val="es-AR" w:eastAsia="en-US"/>
        </w:rPr>
        <w:t>Nivel 3 - incluye requisitos de evaluación y pruebas de los dos anteriores y requisitos adicionales de proceso del fabricante y administración. También proporciona la evaluación de las capacidades de seguridad de un producto con conocimiento de los controles internos de seguridad y las prácticas de negocio del fabricante para endosar la vida útil del producto.</w:t>
      </w:r>
    </w:p>
    <w:p w:rsidR="009D1C49" w:rsidRPr="009D1C49" w:rsidRDefault="009D1C49" w:rsidP="009D1C49">
      <w:pPr>
        <w:spacing w:after="100" w:afterAutospacing="1" w:line="270" w:lineRule="atLeast"/>
        <w:jc w:val="both"/>
        <w:rPr>
          <w:rFonts w:ascii="Arial" w:eastAsia="Cambria" w:hAnsi="Arial" w:cs="Times New Roman"/>
          <w:sz w:val="20"/>
          <w:szCs w:val="24"/>
          <w:lang w:val="es-AR" w:eastAsia="en-US"/>
        </w:rPr>
      </w:pPr>
      <w:r w:rsidRPr="009D1C49">
        <w:rPr>
          <w:rFonts w:ascii="Arial" w:eastAsia="Cambria" w:hAnsi="Arial" w:cs="Times New Roman"/>
          <w:sz w:val="20"/>
          <w:szCs w:val="24"/>
          <w:lang w:val="es-AR" w:eastAsia="en-US"/>
        </w:rPr>
        <w:t>En el mundo conectado de hoy, hay una variedad enorme de dispositivos que ofrecen puntos de entrada para ataques cibernéticos. Ahora es el momento en que los desarrolladores de software y fabricantes entiendan las vulnerabilidades de los sistemas y protejan sus productos contra ataques. El protocolo UL 2900-2-3 puede ayudar a garantizar el rendimiento y la confiabilidad del software del producto a mitigar estos riesgos.</w:t>
      </w:r>
    </w:p>
    <w:p w:rsidR="009D1C49" w:rsidRPr="009D1C49" w:rsidRDefault="009D1C49" w:rsidP="009D1C49">
      <w:pPr>
        <w:spacing w:after="100" w:afterAutospacing="1" w:line="270" w:lineRule="atLeast"/>
        <w:jc w:val="both"/>
        <w:rPr>
          <w:rFonts w:ascii="Helvetica" w:eastAsia="Times New Roman" w:hAnsi="Helvetica" w:cs="Helvetica"/>
          <w:color w:val="555555"/>
          <w:sz w:val="20"/>
          <w:szCs w:val="20"/>
          <w:lang w:val="es-AR"/>
        </w:rPr>
      </w:pPr>
      <w:r w:rsidRPr="009D1C49">
        <w:rPr>
          <w:rFonts w:ascii="Arial" w:eastAsia="Cambria" w:hAnsi="Arial" w:cs="Times New Roman"/>
          <w:sz w:val="20"/>
          <w:szCs w:val="24"/>
          <w:lang w:val="es-AR" w:eastAsia="en-US"/>
        </w:rPr>
        <w:t>Para conocer más acerca de las iniciativas y servicios de UL para combatir la ciberseguridad visite </w:t>
      </w:r>
      <w:hyperlink r:id="rId6" w:history="1">
        <w:r w:rsidRPr="00582FF5">
          <w:rPr>
            <w:rFonts w:ascii="Helvetica" w:eastAsia="Times New Roman" w:hAnsi="Helvetica" w:cs="Helvetica"/>
            <w:color w:val="0000FF"/>
            <w:sz w:val="20"/>
            <w:szCs w:val="20"/>
            <w:u w:val="single"/>
            <w:lang w:val="es-AR"/>
          </w:rPr>
          <w:t>https://industries.ul.com/cybersecurity</w:t>
        </w:r>
      </w:hyperlink>
      <w:r w:rsidRPr="009D1C49">
        <w:rPr>
          <w:rFonts w:ascii="Helvetica" w:eastAsia="Times New Roman" w:hAnsi="Helvetica" w:cs="Helvetica"/>
          <w:color w:val="555555"/>
          <w:sz w:val="20"/>
          <w:szCs w:val="20"/>
          <w:lang w:val="es-AR"/>
        </w:rPr>
        <w:t>.</w:t>
      </w:r>
    </w:p>
    <w:p w:rsidR="00385033" w:rsidRPr="00582FF5" w:rsidRDefault="00385033" w:rsidP="00385033">
      <w:pPr>
        <w:pStyle w:val="NormalWeb"/>
        <w:shd w:val="clear" w:color="auto" w:fill="FFFFFF"/>
        <w:spacing w:before="0" w:beforeAutospacing="0" w:after="300" w:afterAutospacing="0"/>
        <w:jc w:val="right"/>
        <w:rPr>
          <w:rFonts w:ascii="Verdana" w:hAnsi="Verdana"/>
          <w:sz w:val="20"/>
          <w:szCs w:val="20"/>
          <w:lang w:val="es-AR"/>
        </w:rPr>
      </w:pPr>
    </w:p>
    <w:p w:rsidR="00550B0E" w:rsidRPr="00582FF5" w:rsidRDefault="00550B0E" w:rsidP="00550B0E">
      <w:pPr>
        <w:shd w:val="clear" w:color="auto" w:fill="FFFFFF"/>
        <w:spacing w:line="240" w:lineRule="auto"/>
        <w:jc w:val="center"/>
        <w:rPr>
          <w:rFonts w:eastAsia="Times New Roman" w:cs="Arial"/>
          <w:bCs/>
          <w:color w:val="000000"/>
          <w:szCs w:val="20"/>
          <w:lang w:val="es-AR"/>
        </w:rPr>
      </w:pPr>
      <w:r w:rsidRPr="00582FF5">
        <w:rPr>
          <w:rFonts w:eastAsia="Times New Roman" w:cs="Arial"/>
          <w:bCs/>
          <w:color w:val="000000"/>
          <w:szCs w:val="20"/>
          <w:lang w:val="es-AR"/>
        </w:rPr>
        <w:t>+++++++</w:t>
      </w:r>
    </w:p>
    <w:p w:rsidR="00550B0E" w:rsidRPr="00582FF5" w:rsidRDefault="00550B0E" w:rsidP="00550B0E">
      <w:pPr>
        <w:pStyle w:val="NoSpacing"/>
        <w:rPr>
          <w:rFonts w:ascii="Arial" w:eastAsia="Times New Roman" w:hAnsi="Arial" w:cs="Arial"/>
          <w:color w:val="000000"/>
          <w:sz w:val="20"/>
          <w:szCs w:val="20"/>
          <w:lang w:val="es-AR"/>
        </w:rPr>
      </w:pPr>
    </w:p>
    <w:p w:rsidR="00550B0E" w:rsidRPr="00582FF5" w:rsidRDefault="00550B0E" w:rsidP="00550B0E">
      <w:pPr>
        <w:tabs>
          <w:tab w:val="left" w:pos="3240"/>
        </w:tabs>
        <w:rPr>
          <w:rFonts w:ascii="Arial" w:eastAsia="Times New Roman" w:hAnsi="Arial" w:cs="Arial"/>
          <w:b/>
          <w:bCs/>
          <w:color w:val="000000"/>
          <w:sz w:val="20"/>
          <w:szCs w:val="20"/>
          <w:lang w:val="es-AR" w:eastAsia="en-US"/>
        </w:rPr>
      </w:pPr>
      <w:r w:rsidRPr="00582FF5">
        <w:rPr>
          <w:rFonts w:ascii="Arial" w:eastAsia="Times New Roman" w:hAnsi="Arial" w:cs="Arial"/>
          <w:b/>
          <w:bCs/>
          <w:color w:val="000000"/>
          <w:sz w:val="20"/>
          <w:szCs w:val="20"/>
          <w:lang w:val="es-AR" w:eastAsia="en-US"/>
        </w:rPr>
        <w:t>Sobre a UL</w:t>
      </w:r>
      <w:r w:rsidRPr="00582FF5">
        <w:rPr>
          <w:rFonts w:ascii="Arial" w:eastAsia="Times New Roman" w:hAnsi="Arial" w:cs="Arial"/>
          <w:b/>
          <w:bCs/>
          <w:color w:val="000000"/>
          <w:sz w:val="20"/>
          <w:szCs w:val="20"/>
          <w:lang w:val="es-AR" w:eastAsia="en-US"/>
        </w:rPr>
        <w:tab/>
      </w:r>
    </w:p>
    <w:p w:rsidR="009D1C49" w:rsidRPr="00582FF5" w:rsidRDefault="009D1C49" w:rsidP="009853CA">
      <w:pPr>
        <w:jc w:val="both"/>
        <w:rPr>
          <w:rFonts w:ascii="Arial" w:eastAsia="Cambria" w:hAnsi="Arial" w:cs="Times New Roman"/>
          <w:sz w:val="20"/>
          <w:szCs w:val="24"/>
          <w:lang w:val="es-AR" w:eastAsia="en-US"/>
        </w:rPr>
      </w:pPr>
      <w:r w:rsidRPr="00582FF5">
        <w:rPr>
          <w:rFonts w:ascii="Arial" w:eastAsia="Cambria" w:hAnsi="Arial" w:cs="Times New Roman"/>
          <w:sz w:val="20"/>
          <w:szCs w:val="24"/>
          <w:lang w:val="es-AR" w:eastAsia="en-US"/>
        </w:rPr>
        <w:t>UL es una compañía global independiente de primer nivel dedicada a la ciencia de la seguridad que promueve el progreso desde hace más de 120 años. Sus casi 11.000 profesionales están guiados por la misión de UL de fomentar entornos seguros para vivir y trabajar para todas las personas. UL utiliza la investigación y los estándares para progresar continuamente y satisfacer las necesidades de seguridad en constante evolución. Nos asociamos con empresas, fabricantes, asociaciones comerciales y autoridades regulatorias internacionales para brindar soluciones a una cadena de suministro global cada vez más compleja. Para más información acerca de nuestros servicios de certificación, prueba, inspección, capacitación y educación, visite </w:t>
      </w:r>
      <w:hyperlink r:id="rId7" w:history="1">
        <w:r w:rsidRPr="00582FF5">
          <w:rPr>
            <w:rStyle w:val="Hyperlink"/>
            <w:rFonts w:ascii="Arial" w:eastAsia="Cambria" w:hAnsi="Arial" w:cs="Times New Roman"/>
            <w:sz w:val="20"/>
            <w:szCs w:val="24"/>
            <w:lang w:val="es-AR" w:eastAsia="en-US"/>
          </w:rPr>
          <w:t>http://www.UL.com.</w:t>
        </w:r>
      </w:hyperlink>
    </w:p>
    <w:sectPr w:rsidR="009D1C49" w:rsidRPr="00582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012A6D"/>
    <w:multiLevelType w:val="multilevel"/>
    <w:tmpl w:val="B574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DA4DCA"/>
    <w:multiLevelType w:val="multilevel"/>
    <w:tmpl w:val="F7086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3CA"/>
    <w:rsid w:val="00062314"/>
    <w:rsid w:val="00210DB1"/>
    <w:rsid w:val="00385033"/>
    <w:rsid w:val="00550B0E"/>
    <w:rsid w:val="00582FF5"/>
    <w:rsid w:val="007C2764"/>
    <w:rsid w:val="009853CA"/>
    <w:rsid w:val="009D1C49"/>
    <w:rsid w:val="00E6405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97270"/>
  <w15:chartTrackingRefBased/>
  <w15:docId w15:val="{BE00EC3F-00AB-4DC1-8A7D-80AA62969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9853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3CA"/>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9853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53CA"/>
    <w:rPr>
      <w:b/>
      <w:bCs/>
    </w:rPr>
  </w:style>
  <w:style w:type="character" w:styleId="Hyperlink">
    <w:name w:val="Hyperlink"/>
    <w:basedOn w:val="DefaultParagraphFont"/>
    <w:uiPriority w:val="99"/>
    <w:unhideWhenUsed/>
    <w:rsid w:val="009853CA"/>
    <w:rPr>
      <w:color w:val="0000FF"/>
      <w:u w:val="single"/>
    </w:rPr>
  </w:style>
  <w:style w:type="character" w:styleId="UnresolvedMention">
    <w:name w:val="Unresolved Mention"/>
    <w:basedOn w:val="DefaultParagraphFont"/>
    <w:uiPriority w:val="99"/>
    <w:semiHidden/>
    <w:unhideWhenUsed/>
    <w:rsid w:val="009853CA"/>
    <w:rPr>
      <w:color w:val="808080"/>
      <w:shd w:val="clear" w:color="auto" w:fill="E6E6E6"/>
    </w:rPr>
  </w:style>
  <w:style w:type="paragraph" w:styleId="NoSpacing">
    <w:name w:val="No Spacing"/>
    <w:basedOn w:val="Normal"/>
    <w:uiPriority w:val="1"/>
    <w:qFormat/>
    <w:rsid w:val="00550B0E"/>
    <w:pPr>
      <w:spacing w:after="0" w:line="240" w:lineRule="auto"/>
    </w:pPr>
    <w:rPr>
      <w:rFonts w:ascii="Calibri" w:eastAsiaTheme="minorHAnsi" w:hAnsi="Calibri" w:cs="Times New Roman"/>
      <w:lang w:eastAsia="en-US"/>
    </w:rPr>
  </w:style>
  <w:style w:type="paragraph" w:customStyle="1" w:styleId="lead">
    <w:name w:val="lead"/>
    <w:basedOn w:val="Normal"/>
    <w:rsid w:val="00385033"/>
    <w:pPr>
      <w:spacing w:before="100" w:beforeAutospacing="1" w:after="100" w:afterAutospacing="1" w:line="240" w:lineRule="auto"/>
    </w:pPr>
    <w:rPr>
      <w:rFonts w:ascii="Times New Roman" w:eastAsia="Times New Roman" w:hAnsi="Times New Roman" w:cs="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560437">
      <w:bodyDiv w:val="1"/>
      <w:marLeft w:val="0"/>
      <w:marRight w:val="0"/>
      <w:marTop w:val="0"/>
      <w:marBottom w:val="0"/>
      <w:divBdr>
        <w:top w:val="none" w:sz="0" w:space="0" w:color="auto"/>
        <w:left w:val="none" w:sz="0" w:space="0" w:color="auto"/>
        <w:bottom w:val="none" w:sz="0" w:space="0" w:color="auto"/>
        <w:right w:val="none" w:sz="0" w:space="0" w:color="auto"/>
      </w:divBdr>
    </w:div>
    <w:div w:id="603541686">
      <w:bodyDiv w:val="1"/>
      <w:marLeft w:val="0"/>
      <w:marRight w:val="0"/>
      <w:marTop w:val="0"/>
      <w:marBottom w:val="0"/>
      <w:divBdr>
        <w:top w:val="none" w:sz="0" w:space="0" w:color="auto"/>
        <w:left w:val="none" w:sz="0" w:space="0" w:color="auto"/>
        <w:bottom w:val="none" w:sz="0" w:space="0" w:color="auto"/>
        <w:right w:val="none" w:sz="0" w:space="0" w:color="auto"/>
      </w:divBdr>
    </w:div>
    <w:div w:id="738557013">
      <w:bodyDiv w:val="1"/>
      <w:marLeft w:val="0"/>
      <w:marRight w:val="0"/>
      <w:marTop w:val="0"/>
      <w:marBottom w:val="0"/>
      <w:divBdr>
        <w:top w:val="none" w:sz="0" w:space="0" w:color="auto"/>
        <w:left w:val="none" w:sz="0" w:space="0" w:color="auto"/>
        <w:bottom w:val="none" w:sz="0" w:space="0" w:color="auto"/>
        <w:right w:val="none" w:sz="0" w:space="0" w:color="auto"/>
      </w:divBdr>
    </w:div>
    <w:div w:id="1039159383">
      <w:bodyDiv w:val="1"/>
      <w:marLeft w:val="0"/>
      <w:marRight w:val="0"/>
      <w:marTop w:val="0"/>
      <w:marBottom w:val="0"/>
      <w:divBdr>
        <w:top w:val="none" w:sz="0" w:space="0" w:color="auto"/>
        <w:left w:val="none" w:sz="0" w:space="0" w:color="auto"/>
        <w:bottom w:val="none" w:sz="0" w:space="0" w:color="auto"/>
        <w:right w:val="none" w:sz="0" w:space="0" w:color="auto"/>
      </w:divBdr>
      <w:divsChild>
        <w:div w:id="1500845165">
          <w:marLeft w:val="0"/>
          <w:marRight w:val="0"/>
          <w:marTop w:val="0"/>
          <w:marBottom w:val="0"/>
          <w:divBdr>
            <w:top w:val="none" w:sz="0" w:space="0" w:color="auto"/>
            <w:left w:val="none" w:sz="0" w:space="0" w:color="auto"/>
            <w:bottom w:val="none" w:sz="0" w:space="0" w:color="auto"/>
            <w:right w:val="none" w:sz="0" w:space="0" w:color="auto"/>
          </w:divBdr>
        </w:div>
        <w:div w:id="870075319">
          <w:marLeft w:val="0"/>
          <w:marRight w:val="0"/>
          <w:marTop w:val="300"/>
          <w:marBottom w:val="450"/>
          <w:divBdr>
            <w:top w:val="single" w:sz="6" w:space="15" w:color="E6E6E6"/>
            <w:left w:val="none" w:sz="0" w:space="0" w:color="auto"/>
            <w:bottom w:val="none" w:sz="0" w:space="0" w:color="auto"/>
            <w:right w:val="none" w:sz="0" w:space="0" w:color="auto"/>
          </w:divBdr>
        </w:div>
      </w:divsChild>
    </w:div>
    <w:div w:id="143539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dustries.ul.com/cybersecurity"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1271</Words>
  <Characters>7245</Characters>
  <Application>Microsoft Office Word</Application>
  <DocSecurity>0</DocSecurity>
  <Lines>60</Lines>
  <Paragraphs>16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UL 2900-2-3 ayuda a mitigar los riesgos de seguridad de Internet de las Cosas (I</vt:lpstr>
    </vt:vector>
  </TitlesOfParts>
  <Company/>
  <LinksUpToDate>false</LinksUpToDate>
  <CharactersWithSpaces>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Blanco, Julia</dc:creator>
  <cp:keywords/>
  <dc:description/>
  <cp:lastModifiedBy>Blanco, Julia</cp:lastModifiedBy>
  <cp:revision>2</cp:revision>
  <dcterms:created xsi:type="dcterms:W3CDTF">2018-04-23T17:29:00Z</dcterms:created>
  <dcterms:modified xsi:type="dcterms:W3CDTF">2018-04-23T17:29:00Z</dcterms:modified>
</cp:coreProperties>
</file>