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1A" w:rsidRPr="007A24CF" w:rsidRDefault="00185C1A">
      <w:pPr>
        <w:rPr>
          <w:b/>
          <w:sz w:val="36"/>
          <w:szCs w:val="36"/>
        </w:rPr>
      </w:pPr>
    </w:p>
    <w:p w:rsidR="00F92B6A" w:rsidRPr="007A24CF" w:rsidRDefault="009A7855">
      <w:pPr>
        <w:rPr>
          <w:b/>
          <w:sz w:val="36"/>
          <w:szCs w:val="36"/>
        </w:rPr>
      </w:pPr>
      <w:r w:rsidRPr="007A24CF">
        <w:rPr>
          <w:b/>
          <w:sz w:val="36"/>
          <w:szCs w:val="36"/>
        </w:rPr>
        <w:t>Pressrelease</w:t>
      </w:r>
      <w:r w:rsidR="00EF4FE5" w:rsidRPr="007A24CF">
        <w:rPr>
          <w:b/>
          <w:sz w:val="36"/>
          <w:szCs w:val="36"/>
        </w:rPr>
        <w:t xml:space="preserve"> </w:t>
      </w:r>
      <w:r w:rsidR="00D9697F" w:rsidRPr="007A24CF">
        <w:rPr>
          <w:b/>
          <w:sz w:val="36"/>
          <w:szCs w:val="36"/>
        </w:rPr>
        <w:t xml:space="preserve">från Airtours </w:t>
      </w:r>
      <w:r w:rsidR="00A4121B">
        <w:rPr>
          <w:b/>
          <w:sz w:val="36"/>
          <w:szCs w:val="36"/>
        </w:rPr>
        <w:t>111013</w:t>
      </w:r>
    </w:p>
    <w:p w:rsidR="00185C1A" w:rsidRPr="007A24CF" w:rsidRDefault="00185C1A">
      <w:pPr>
        <w:rPr>
          <w:b/>
        </w:rPr>
      </w:pPr>
    </w:p>
    <w:p w:rsidR="008A335E" w:rsidRPr="007A24CF" w:rsidRDefault="008A335E" w:rsidP="008A335E">
      <w:pPr>
        <w:spacing w:before="100" w:beforeAutospacing="1" w:after="100" w:afterAutospacing="1"/>
        <w:rPr>
          <w:b/>
          <w:bCs/>
          <w:color w:val="333333"/>
        </w:rPr>
      </w:pPr>
      <w:bookmarkStart w:id="0" w:name="_GoBack"/>
      <w:r w:rsidRPr="007A24CF">
        <w:rPr>
          <w:b/>
          <w:bCs/>
          <w:color w:val="333333"/>
        </w:rPr>
        <w:t>Hela</w:t>
      </w:r>
      <w:r w:rsidR="007B1240">
        <w:rPr>
          <w:b/>
          <w:bCs/>
          <w:color w:val="333333"/>
        </w:rPr>
        <w:t xml:space="preserve"> listan med de populäraste Cityweekend </w:t>
      </w:r>
      <w:r w:rsidRPr="007A24CF">
        <w:rPr>
          <w:b/>
          <w:bCs/>
          <w:color w:val="333333"/>
        </w:rPr>
        <w:t xml:space="preserve">resmålen under </w:t>
      </w:r>
      <w:r w:rsidR="00A4121B">
        <w:rPr>
          <w:b/>
          <w:bCs/>
          <w:color w:val="333333"/>
        </w:rPr>
        <w:t>tredje</w:t>
      </w:r>
      <w:r w:rsidRPr="007A24CF">
        <w:rPr>
          <w:b/>
          <w:bCs/>
          <w:color w:val="333333"/>
        </w:rPr>
        <w:t xml:space="preserve"> kvartalet </w:t>
      </w:r>
      <w:r w:rsidR="009035E7" w:rsidRPr="007A24CF">
        <w:rPr>
          <w:b/>
          <w:bCs/>
          <w:color w:val="333333"/>
        </w:rPr>
        <w:t>2011</w:t>
      </w:r>
    </w:p>
    <w:p w:rsidR="009035E7" w:rsidRPr="007A24CF" w:rsidRDefault="000D51AF" w:rsidP="009035E7">
      <w:pPr>
        <w:spacing w:before="100" w:beforeAutospacing="1" w:after="100" w:afterAutospacing="1"/>
        <w:rPr>
          <w:color w:val="333333"/>
        </w:rPr>
      </w:pPr>
      <w:r>
        <w:rPr>
          <w:b/>
          <w:bCs/>
          <w:color w:val="333333"/>
        </w:rPr>
        <w:t>Rekordsommar för Palma som storstad</w:t>
      </w:r>
      <w:r w:rsidR="009035E7" w:rsidRPr="007A24CF">
        <w:rPr>
          <w:b/>
          <w:bCs/>
          <w:color w:val="333333"/>
        </w:rPr>
        <w:t>!</w:t>
      </w:r>
    </w:p>
    <w:p w:rsidR="00F83243" w:rsidRDefault="008A335E" w:rsidP="008A335E">
      <w:pPr>
        <w:spacing w:before="100" w:beforeAutospacing="1" w:after="100" w:afterAutospacing="1"/>
        <w:rPr>
          <w:color w:val="333333"/>
        </w:rPr>
      </w:pPr>
      <w:proofErr w:type="gramStart"/>
      <w:r w:rsidRPr="007A24CF">
        <w:rPr>
          <w:color w:val="333333"/>
        </w:rPr>
        <w:t>-</w:t>
      </w:r>
      <w:proofErr w:type="gramEnd"/>
      <w:r w:rsidRPr="007A24CF">
        <w:rPr>
          <w:color w:val="333333"/>
        </w:rPr>
        <w:t xml:space="preserve"> </w:t>
      </w:r>
      <w:r w:rsidR="00F83243">
        <w:rPr>
          <w:color w:val="333333"/>
        </w:rPr>
        <w:t>Aldrig tidigare har vi haft ett sådant tryck på en storstad som vi haft det senaste kvartalet till Palma</w:t>
      </w:r>
      <w:r w:rsidR="00013B6C">
        <w:rPr>
          <w:color w:val="333333"/>
        </w:rPr>
        <w:t xml:space="preserve">, </w:t>
      </w:r>
      <w:r w:rsidRPr="007A24CF">
        <w:rPr>
          <w:color w:val="333333"/>
        </w:rPr>
        <w:t>säger Airtours informationschef Stefan Chatzopoulos.</w:t>
      </w:r>
      <w:r w:rsidR="00013B6C">
        <w:rPr>
          <w:color w:val="333333"/>
        </w:rPr>
        <w:t xml:space="preserve"> </w:t>
      </w:r>
      <w:r w:rsidR="00F83243">
        <w:rPr>
          <w:color w:val="333333"/>
        </w:rPr>
        <w:t xml:space="preserve">Palma har länge varit en av våra bäst säljande destinationer men under sensommaren och hösten har intressent för Palma fullkomligt exploderat, ökningen från förra året ligger på hela </w:t>
      </w:r>
      <w:proofErr w:type="gramStart"/>
      <w:r w:rsidR="00F83243">
        <w:rPr>
          <w:color w:val="333333"/>
        </w:rPr>
        <w:t>158%</w:t>
      </w:r>
      <w:proofErr w:type="gramEnd"/>
      <w:r w:rsidR="00F83243">
        <w:rPr>
          <w:color w:val="333333"/>
        </w:rPr>
        <w:t>.</w:t>
      </w:r>
    </w:p>
    <w:p w:rsidR="008A335E" w:rsidRPr="007A24CF" w:rsidRDefault="00F83243" w:rsidP="008A335E">
      <w:pPr>
        <w:spacing w:before="100" w:beforeAutospacing="1" w:after="100" w:afterAutospacing="1"/>
        <w:rPr>
          <w:color w:val="333333"/>
        </w:rPr>
      </w:pPr>
      <w:r>
        <w:rPr>
          <w:b/>
          <w:bCs/>
          <w:color w:val="333333"/>
        </w:rPr>
        <w:t>Och hur ser kortresandet ut totalt sätt för tredje kvartalet</w:t>
      </w:r>
      <w:r w:rsidR="008A335E" w:rsidRPr="007A24CF">
        <w:rPr>
          <w:b/>
          <w:bCs/>
          <w:color w:val="333333"/>
        </w:rPr>
        <w:t>?</w:t>
      </w:r>
    </w:p>
    <w:p w:rsidR="00F83243" w:rsidRDefault="008A335E" w:rsidP="008A335E">
      <w:pPr>
        <w:spacing w:before="100" w:beforeAutospacing="1" w:after="100" w:afterAutospacing="1"/>
        <w:rPr>
          <w:color w:val="333333"/>
        </w:rPr>
      </w:pPr>
      <w:proofErr w:type="gramStart"/>
      <w:r w:rsidRPr="007A24CF">
        <w:rPr>
          <w:color w:val="333333"/>
        </w:rPr>
        <w:t>-</w:t>
      </w:r>
      <w:proofErr w:type="gramEnd"/>
      <w:r w:rsidRPr="007A24CF">
        <w:rPr>
          <w:color w:val="333333"/>
        </w:rPr>
        <w:t xml:space="preserve"> </w:t>
      </w:r>
      <w:r w:rsidR="00BF6CDE">
        <w:rPr>
          <w:color w:val="333333"/>
        </w:rPr>
        <w:t>Intresset för Cityweekends har</w:t>
      </w:r>
      <w:r w:rsidR="00F83243">
        <w:rPr>
          <w:color w:val="333333"/>
        </w:rPr>
        <w:t xml:space="preserve"> fortsatt att</w:t>
      </w:r>
      <w:r w:rsidR="00FB3DCF">
        <w:rPr>
          <w:color w:val="333333"/>
        </w:rPr>
        <w:t xml:space="preserve"> öka</w:t>
      </w:r>
      <w:r w:rsidR="00F83243">
        <w:rPr>
          <w:color w:val="333333"/>
        </w:rPr>
        <w:t>. Jämfört med förra året ser vi en ökning</w:t>
      </w:r>
      <w:r w:rsidR="00FB3DCF">
        <w:rPr>
          <w:color w:val="333333"/>
        </w:rPr>
        <w:t xml:space="preserve"> med </w:t>
      </w:r>
      <w:r w:rsidR="00F83243">
        <w:rPr>
          <w:color w:val="333333"/>
        </w:rPr>
        <w:t>21,3</w:t>
      </w:r>
      <w:r w:rsidR="009F0C88">
        <w:rPr>
          <w:color w:val="333333"/>
        </w:rPr>
        <w:t xml:space="preserve"> </w:t>
      </w:r>
      <w:r w:rsidR="00FB3DCF">
        <w:rPr>
          <w:color w:val="333333"/>
        </w:rPr>
        <w:t>%</w:t>
      </w:r>
      <w:r w:rsidR="00F83243">
        <w:rPr>
          <w:color w:val="333333"/>
        </w:rPr>
        <w:t xml:space="preserve">. </w:t>
      </w:r>
    </w:p>
    <w:p w:rsidR="008A335E" w:rsidRPr="007A24CF" w:rsidRDefault="00F83243" w:rsidP="008A335E">
      <w:pPr>
        <w:spacing w:before="100" w:beforeAutospacing="1" w:after="100" w:afterAutospacing="1"/>
        <w:rPr>
          <w:color w:val="333333"/>
        </w:rPr>
      </w:pPr>
      <w:r>
        <w:rPr>
          <w:b/>
          <w:bCs/>
          <w:color w:val="333333"/>
        </w:rPr>
        <w:t>Så krisen påverkar inte resandet alls</w:t>
      </w:r>
      <w:r w:rsidR="00FB3DCF">
        <w:rPr>
          <w:b/>
          <w:bCs/>
          <w:color w:val="333333"/>
        </w:rPr>
        <w:t>?</w:t>
      </w:r>
    </w:p>
    <w:p w:rsidR="008A335E" w:rsidRPr="007A24CF" w:rsidRDefault="008A335E" w:rsidP="008A335E">
      <w:pPr>
        <w:spacing w:before="100" w:beforeAutospacing="1" w:after="100" w:afterAutospacing="1"/>
        <w:rPr>
          <w:color w:val="333333"/>
        </w:rPr>
      </w:pPr>
      <w:proofErr w:type="gramStart"/>
      <w:r w:rsidRPr="007A24CF">
        <w:rPr>
          <w:color w:val="333333"/>
        </w:rPr>
        <w:t>-</w:t>
      </w:r>
      <w:proofErr w:type="gramEnd"/>
      <w:r w:rsidRPr="007A24CF">
        <w:rPr>
          <w:color w:val="333333"/>
        </w:rPr>
        <w:t xml:space="preserve"> </w:t>
      </w:r>
      <w:r w:rsidR="00B76F50">
        <w:rPr>
          <w:color w:val="333333"/>
        </w:rPr>
        <w:t>Ja och nej, i</w:t>
      </w:r>
      <w:r w:rsidR="00BF6CDE">
        <w:rPr>
          <w:color w:val="333333"/>
        </w:rPr>
        <w:t>ntresset för kortresor</w:t>
      </w:r>
      <w:r w:rsidR="00F83243">
        <w:rPr>
          <w:color w:val="333333"/>
        </w:rPr>
        <w:t xml:space="preserve"> är enormt stort </w:t>
      </w:r>
      <w:r w:rsidR="00B76F50">
        <w:rPr>
          <w:color w:val="333333"/>
        </w:rPr>
        <w:t>men kunderna kräver lägre priser än förra året för att resa . Försiktigheten hos kunderna har gjort att a</w:t>
      </w:r>
      <w:r w:rsidR="00BF6CDE">
        <w:rPr>
          <w:color w:val="333333"/>
        </w:rPr>
        <w:t>lla;</w:t>
      </w:r>
      <w:r w:rsidR="00F83243">
        <w:rPr>
          <w:color w:val="333333"/>
        </w:rPr>
        <w:t xml:space="preserve"> </w:t>
      </w:r>
      <w:r w:rsidR="00B76F50">
        <w:rPr>
          <w:color w:val="333333"/>
        </w:rPr>
        <w:t xml:space="preserve">flygbolagen, hotellen och vi själva, har sänkt priserna för att möta kundernas krav. </w:t>
      </w:r>
    </w:p>
    <w:p w:rsidR="00FD0F3B" w:rsidRPr="007A24CF" w:rsidRDefault="00FD0F3B" w:rsidP="00FD0F3B">
      <w:pPr>
        <w:spacing w:before="100" w:beforeAutospacing="1" w:after="100" w:afterAutospacing="1"/>
        <w:rPr>
          <w:color w:val="333333"/>
        </w:rPr>
      </w:pPr>
      <w:r>
        <w:rPr>
          <w:b/>
          <w:bCs/>
          <w:color w:val="333333"/>
        </w:rPr>
        <w:t xml:space="preserve">Vilka bubblare ser ni till </w:t>
      </w:r>
      <w:r w:rsidR="00B76F50">
        <w:rPr>
          <w:b/>
          <w:bCs/>
          <w:color w:val="333333"/>
        </w:rPr>
        <w:t>vintern</w:t>
      </w:r>
      <w:r>
        <w:rPr>
          <w:b/>
          <w:bCs/>
          <w:color w:val="333333"/>
        </w:rPr>
        <w:t>?</w:t>
      </w:r>
    </w:p>
    <w:p w:rsidR="00FD0F3B" w:rsidRPr="007A24CF" w:rsidRDefault="00FD0F3B" w:rsidP="00FD0F3B">
      <w:pPr>
        <w:spacing w:before="100" w:beforeAutospacing="1" w:after="100" w:afterAutospacing="1"/>
        <w:rPr>
          <w:color w:val="333333"/>
        </w:rPr>
      </w:pPr>
      <w:proofErr w:type="gramStart"/>
      <w:r w:rsidRPr="007A24CF">
        <w:rPr>
          <w:color w:val="333333"/>
        </w:rPr>
        <w:t>-</w:t>
      </w:r>
      <w:proofErr w:type="gramEnd"/>
      <w:r w:rsidRPr="007A24CF">
        <w:rPr>
          <w:color w:val="333333"/>
        </w:rPr>
        <w:t xml:space="preserve"> </w:t>
      </w:r>
      <w:r w:rsidR="00BF6CDE">
        <w:rPr>
          <w:color w:val="333333"/>
        </w:rPr>
        <w:t>Vi</w:t>
      </w:r>
      <w:r w:rsidR="00B76F50">
        <w:rPr>
          <w:color w:val="333333"/>
        </w:rPr>
        <w:t xml:space="preserve"> tror att London kommer</w:t>
      </w:r>
      <w:r w:rsidR="00BF6CDE">
        <w:rPr>
          <w:color w:val="333333"/>
        </w:rPr>
        <w:t xml:space="preserve"> att</w:t>
      </w:r>
      <w:r w:rsidR="00B76F50">
        <w:rPr>
          <w:color w:val="333333"/>
        </w:rPr>
        <w:t xml:space="preserve"> komma starkt, </w:t>
      </w:r>
      <w:r w:rsidR="00114EFF">
        <w:rPr>
          <w:color w:val="333333"/>
        </w:rPr>
        <w:t>det är en stad som ligger svenskarna varmt om hjärtat</w:t>
      </w:r>
      <w:r w:rsidR="00B76F50">
        <w:rPr>
          <w:color w:val="333333"/>
        </w:rPr>
        <w:t>. I övrigt så s</w:t>
      </w:r>
      <w:r w:rsidR="00114EFF">
        <w:rPr>
          <w:color w:val="333333"/>
        </w:rPr>
        <w:t>er fortsatt stark efterfrågan till</w:t>
      </w:r>
      <w:r w:rsidR="00B76F50">
        <w:rPr>
          <w:color w:val="333333"/>
        </w:rPr>
        <w:t xml:space="preserve"> Dublin (+315%) som ökar kraftigt för tredje kvartalet i rad</w:t>
      </w:r>
      <w:r w:rsidR="00DB30AD">
        <w:rPr>
          <w:color w:val="333333"/>
        </w:rPr>
        <w:t>.</w:t>
      </w:r>
      <w:r w:rsidR="00B76F50">
        <w:rPr>
          <w:color w:val="333333"/>
        </w:rPr>
        <w:t xml:space="preserve"> </w:t>
      </w:r>
      <w:r w:rsidR="008F4296">
        <w:rPr>
          <w:color w:val="333333"/>
        </w:rPr>
        <w:t>Istanbul hade kunnat öka mycket mer</w:t>
      </w:r>
      <w:r w:rsidR="00114EFF">
        <w:rPr>
          <w:color w:val="333333"/>
        </w:rPr>
        <w:t>,</w:t>
      </w:r>
      <w:r w:rsidR="008F4296">
        <w:rPr>
          <w:color w:val="333333"/>
        </w:rPr>
        <w:t xml:space="preserve"> </w:t>
      </w:r>
      <w:r w:rsidR="00114EFF">
        <w:rPr>
          <w:color w:val="333333"/>
        </w:rPr>
        <w:t>men det är ett</w:t>
      </w:r>
      <w:r w:rsidR="008F4296">
        <w:rPr>
          <w:color w:val="333333"/>
        </w:rPr>
        <w:t xml:space="preserve"> stort internationellt tryck på staden, att få rum i Istanbul är nu</w:t>
      </w:r>
      <w:r w:rsidR="00114EFF">
        <w:rPr>
          <w:color w:val="333333"/>
        </w:rPr>
        <w:t xml:space="preserve"> många gånger</w:t>
      </w:r>
      <w:r w:rsidR="008F4296">
        <w:rPr>
          <w:color w:val="333333"/>
        </w:rPr>
        <w:t xml:space="preserve"> svårare a</w:t>
      </w:r>
      <w:r w:rsidR="00114EFF">
        <w:rPr>
          <w:color w:val="333333"/>
        </w:rPr>
        <w:t>tt få än i New York</w:t>
      </w:r>
      <w:r w:rsidR="008F4296">
        <w:rPr>
          <w:color w:val="333333"/>
        </w:rPr>
        <w:t>.</w:t>
      </w:r>
    </w:p>
    <w:p w:rsidR="00FD0F3B" w:rsidRPr="007A24CF" w:rsidRDefault="00FD0F3B" w:rsidP="00FD0F3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0"/>
        <w:gridCol w:w="1256"/>
        <w:gridCol w:w="1000"/>
      </w:tblGrid>
      <w:tr w:rsidR="00E01EDF" w:rsidRPr="00E01EDF" w:rsidTr="00E01EDF">
        <w:trPr>
          <w:trHeight w:val="360"/>
        </w:trPr>
        <w:tc>
          <w:tcPr>
            <w:tcW w:w="520" w:type="dxa"/>
            <w:noWrap/>
            <w:hideMark/>
          </w:tcPr>
          <w:p w:rsidR="00E01EDF" w:rsidRPr="00E01EDF" w:rsidRDefault="00E01EDF" w:rsidP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E01EDF" w:rsidRPr="00E01EDF" w:rsidRDefault="000D51AF">
            <w:pPr>
              <w:rPr>
                <w:b/>
                <w:bCs/>
              </w:rPr>
            </w:pPr>
            <w:r>
              <w:rPr>
                <w:b/>
                <w:bCs/>
              </w:rPr>
              <w:t>Palma</w:t>
            </w:r>
          </w:p>
        </w:tc>
        <w:tc>
          <w:tcPr>
            <w:tcW w:w="1000" w:type="dxa"/>
            <w:noWrap/>
            <w:hideMark/>
          </w:tcPr>
          <w:p w:rsidR="00E01EDF" w:rsidRPr="00E01EDF" w:rsidRDefault="00E01EDF" w:rsidP="000D51A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+</w:t>
            </w:r>
            <w:r w:rsidR="000D51AF">
              <w:rPr>
                <w:b/>
                <w:bCs/>
              </w:rPr>
              <w:t>158</w:t>
            </w:r>
            <w:r w:rsidRPr="00E01EDF">
              <w:rPr>
                <w:b/>
                <w:bCs/>
              </w:rPr>
              <w:t>%</w:t>
            </w:r>
          </w:p>
        </w:tc>
      </w:tr>
      <w:tr w:rsidR="00E01EDF" w:rsidRPr="00E01EDF" w:rsidTr="00E01EDF">
        <w:trPr>
          <w:trHeight w:val="360"/>
        </w:trPr>
        <w:tc>
          <w:tcPr>
            <w:tcW w:w="520" w:type="dxa"/>
            <w:noWrap/>
            <w:hideMark/>
          </w:tcPr>
          <w:p w:rsidR="00E01EDF" w:rsidRPr="00E01EDF" w:rsidRDefault="00E01EDF" w:rsidP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E01EDF" w:rsidRPr="00E01EDF" w:rsidRDefault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Barcelona</w:t>
            </w:r>
          </w:p>
        </w:tc>
        <w:tc>
          <w:tcPr>
            <w:tcW w:w="1000" w:type="dxa"/>
            <w:noWrap/>
            <w:hideMark/>
          </w:tcPr>
          <w:p w:rsidR="00E01EDF" w:rsidRPr="00E01EDF" w:rsidRDefault="000D51AF" w:rsidP="00E01E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proofErr w:type="gramStart"/>
            <w:r>
              <w:rPr>
                <w:b/>
                <w:bCs/>
              </w:rPr>
              <w:t>14</w:t>
            </w:r>
            <w:r w:rsidR="00E01EDF" w:rsidRPr="00E01EDF">
              <w:rPr>
                <w:b/>
                <w:bCs/>
              </w:rPr>
              <w:t>%</w:t>
            </w:r>
            <w:proofErr w:type="gramEnd"/>
          </w:p>
        </w:tc>
      </w:tr>
      <w:tr w:rsidR="00E01EDF" w:rsidRPr="00E01EDF" w:rsidTr="00E01EDF">
        <w:trPr>
          <w:trHeight w:val="360"/>
        </w:trPr>
        <w:tc>
          <w:tcPr>
            <w:tcW w:w="520" w:type="dxa"/>
            <w:noWrap/>
            <w:hideMark/>
          </w:tcPr>
          <w:p w:rsidR="00E01EDF" w:rsidRPr="00E01EDF" w:rsidRDefault="00E01EDF" w:rsidP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E01EDF" w:rsidRPr="00E01EDF" w:rsidRDefault="000D51AF">
            <w:pPr>
              <w:rPr>
                <w:b/>
                <w:bCs/>
              </w:rPr>
            </w:pPr>
            <w:r>
              <w:rPr>
                <w:b/>
                <w:bCs/>
              </w:rPr>
              <w:t>Prag</w:t>
            </w:r>
          </w:p>
        </w:tc>
        <w:tc>
          <w:tcPr>
            <w:tcW w:w="1000" w:type="dxa"/>
            <w:noWrap/>
            <w:hideMark/>
          </w:tcPr>
          <w:p w:rsidR="00E01EDF" w:rsidRPr="00E01EDF" w:rsidRDefault="000D51AF" w:rsidP="00E01EDF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E01EDF" w:rsidRPr="00E01EDF">
              <w:rPr>
                <w:b/>
                <w:bCs/>
              </w:rPr>
              <w:t>3%</w:t>
            </w:r>
          </w:p>
        </w:tc>
      </w:tr>
      <w:tr w:rsidR="00E01EDF" w:rsidRPr="00E01EDF" w:rsidTr="00E01EDF">
        <w:trPr>
          <w:trHeight w:val="360"/>
        </w:trPr>
        <w:tc>
          <w:tcPr>
            <w:tcW w:w="520" w:type="dxa"/>
            <w:noWrap/>
            <w:hideMark/>
          </w:tcPr>
          <w:p w:rsidR="00E01EDF" w:rsidRPr="00E01EDF" w:rsidRDefault="00E01EDF" w:rsidP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E01EDF" w:rsidRPr="00E01EDF" w:rsidRDefault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London</w:t>
            </w:r>
          </w:p>
        </w:tc>
        <w:tc>
          <w:tcPr>
            <w:tcW w:w="1000" w:type="dxa"/>
            <w:noWrap/>
            <w:hideMark/>
          </w:tcPr>
          <w:p w:rsidR="00E01EDF" w:rsidRPr="00E01EDF" w:rsidRDefault="000D51AF" w:rsidP="00E01EDF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gramStart"/>
            <w:r>
              <w:rPr>
                <w:b/>
                <w:bCs/>
              </w:rPr>
              <w:t>3</w:t>
            </w:r>
            <w:r w:rsidR="00E01EDF" w:rsidRPr="00E01EDF">
              <w:rPr>
                <w:b/>
                <w:bCs/>
              </w:rPr>
              <w:t>%</w:t>
            </w:r>
            <w:proofErr w:type="gramEnd"/>
          </w:p>
        </w:tc>
      </w:tr>
      <w:tr w:rsidR="00E01EDF" w:rsidRPr="00E01EDF" w:rsidTr="00E01EDF">
        <w:trPr>
          <w:trHeight w:val="360"/>
        </w:trPr>
        <w:tc>
          <w:tcPr>
            <w:tcW w:w="520" w:type="dxa"/>
            <w:noWrap/>
            <w:hideMark/>
          </w:tcPr>
          <w:p w:rsidR="00E01EDF" w:rsidRPr="00E01EDF" w:rsidRDefault="00E01EDF" w:rsidP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E01EDF" w:rsidRPr="00E01EDF" w:rsidRDefault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Malta</w:t>
            </w:r>
          </w:p>
        </w:tc>
        <w:tc>
          <w:tcPr>
            <w:tcW w:w="1000" w:type="dxa"/>
            <w:noWrap/>
            <w:hideMark/>
          </w:tcPr>
          <w:p w:rsidR="00E01EDF" w:rsidRPr="00E01EDF" w:rsidRDefault="000D51AF" w:rsidP="00E01EDF">
            <w:pPr>
              <w:rPr>
                <w:b/>
                <w:bCs/>
              </w:rPr>
            </w:pPr>
            <w:r>
              <w:rPr>
                <w:b/>
                <w:bCs/>
              </w:rPr>
              <w:t>+65</w:t>
            </w:r>
            <w:r w:rsidR="00E01EDF" w:rsidRPr="00E01EDF">
              <w:rPr>
                <w:b/>
                <w:bCs/>
              </w:rPr>
              <w:t>%</w:t>
            </w:r>
          </w:p>
        </w:tc>
      </w:tr>
      <w:tr w:rsidR="00E01EDF" w:rsidRPr="00E01EDF" w:rsidTr="00E01EDF">
        <w:trPr>
          <w:trHeight w:val="360"/>
        </w:trPr>
        <w:tc>
          <w:tcPr>
            <w:tcW w:w="520" w:type="dxa"/>
            <w:noWrap/>
            <w:hideMark/>
          </w:tcPr>
          <w:p w:rsidR="00E01EDF" w:rsidRPr="00E01EDF" w:rsidRDefault="00E01EDF" w:rsidP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E01EDF" w:rsidRPr="00E01EDF" w:rsidRDefault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Rom</w:t>
            </w:r>
          </w:p>
        </w:tc>
        <w:tc>
          <w:tcPr>
            <w:tcW w:w="1000" w:type="dxa"/>
            <w:noWrap/>
            <w:hideMark/>
          </w:tcPr>
          <w:p w:rsidR="00E01EDF" w:rsidRPr="00E01EDF" w:rsidRDefault="000D51AF" w:rsidP="00E01EDF">
            <w:pPr>
              <w:rPr>
                <w:b/>
                <w:bCs/>
              </w:rPr>
            </w:pPr>
            <w:r>
              <w:rPr>
                <w:b/>
                <w:bCs/>
              </w:rPr>
              <w:t>+2</w:t>
            </w:r>
            <w:r w:rsidR="00E01EDF" w:rsidRPr="00E01EDF">
              <w:rPr>
                <w:b/>
                <w:bCs/>
              </w:rPr>
              <w:t>%</w:t>
            </w:r>
          </w:p>
        </w:tc>
      </w:tr>
      <w:tr w:rsidR="00E01EDF" w:rsidRPr="00E01EDF" w:rsidTr="00E01EDF">
        <w:trPr>
          <w:trHeight w:val="360"/>
        </w:trPr>
        <w:tc>
          <w:tcPr>
            <w:tcW w:w="520" w:type="dxa"/>
            <w:noWrap/>
            <w:hideMark/>
          </w:tcPr>
          <w:p w:rsidR="00E01EDF" w:rsidRPr="00E01EDF" w:rsidRDefault="00E01EDF" w:rsidP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E01EDF" w:rsidRPr="00E01EDF" w:rsidRDefault="000D51AF">
            <w:pPr>
              <w:rPr>
                <w:b/>
                <w:bCs/>
              </w:rPr>
            </w:pPr>
            <w:r>
              <w:rPr>
                <w:b/>
                <w:bCs/>
              </w:rPr>
              <w:t>Berlin</w:t>
            </w:r>
          </w:p>
        </w:tc>
        <w:tc>
          <w:tcPr>
            <w:tcW w:w="1000" w:type="dxa"/>
            <w:noWrap/>
            <w:hideMark/>
          </w:tcPr>
          <w:p w:rsidR="00E01EDF" w:rsidRPr="00E01EDF" w:rsidRDefault="00E01EDF" w:rsidP="000D51A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+</w:t>
            </w:r>
            <w:r w:rsidR="000D51AF">
              <w:rPr>
                <w:b/>
                <w:bCs/>
              </w:rPr>
              <w:t xml:space="preserve">/- </w:t>
            </w:r>
            <w:proofErr w:type="gramStart"/>
            <w:r w:rsidR="000D51AF">
              <w:rPr>
                <w:b/>
                <w:bCs/>
              </w:rPr>
              <w:t>0</w:t>
            </w:r>
            <w:r w:rsidRPr="00E01EDF">
              <w:rPr>
                <w:b/>
                <w:bCs/>
              </w:rPr>
              <w:t>%</w:t>
            </w:r>
            <w:proofErr w:type="gramEnd"/>
          </w:p>
        </w:tc>
      </w:tr>
      <w:tr w:rsidR="00E01EDF" w:rsidRPr="00E01EDF" w:rsidTr="00E01EDF">
        <w:trPr>
          <w:trHeight w:val="360"/>
        </w:trPr>
        <w:tc>
          <w:tcPr>
            <w:tcW w:w="520" w:type="dxa"/>
            <w:noWrap/>
            <w:hideMark/>
          </w:tcPr>
          <w:p w:rsidR="00E01EDF" w:rsidRPr="00E01EDF" w:rsidRDefault="00E01EDF" w:rsidP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E01EDF" w:rsidRPr="00E01EDF" w:rsidRDefault="000D51AF">
            <w:pPr>
              <w:rPr>
                <w:b/>
                <w:bCs/>
              </w:rPr>
            </w:pPr>
            <w:r>
              <w:rPr>
                <w:b/>
                <w:bCs/>
              </w:rPr>
              <w:t>Paris</w:t>
            </w:r>
          </w:p>
        </w:tc>
        <w:tc>
          <w:tcPr>
            <w:tcW w:w="1000" w:type="dxa"/>
            <w:noWrap/>
            <w:hideMark/>
          </w:tcPr>
          <w:p w:rsidR="00E01EDF" w:rsidRPr="00E01EDF" w:rsidRDefault="00E01EDF" w:rsidP="000D51A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+</w:t>
            </w:r>
            <w:r w:rsidR="000D51AF">
              <w:rPr>
                <w:b/>
                <w:bCs/>
              </w:rPr>
              <w:t>5</w:t>
            </w:r>
            <w:r w:rsidRPr="00E01EDF">
              <w:rPr>
                <w:b/>
                <w:bCs/>
              </w:rPr>
              <w:t>%</w:t>
            </w:r>
          </w:p>
        </w:tc>
      </w:tr>
      <w:tr w:rsidR="00E01EDF" w:rsidRPr="00E01EDF" w:rsidTr="00E01EDF">
        <w:trPr>
          <w:trHeight w:val="360"/>
        </w:trPr>
        <w:tc>
          <w:tcPr>
            <w:tcW w:w="520" w:type="dxa"/>
            <w:noWrap/>
            <w:hideMark/>
          </w:tcPr>
          <w:p w:rsidR="00E01EDF" w:rsidRPr="00E01EDF" w:rsidRDefault="00E01EDF" w:rsidP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E01EDF" w:rsidRPr="00E01EDF" w:rsidRDefault="000D51AF">
            <w:pPr>
              <w:rPr>
                <w:b/>
                <w:bCs/>
              </w:rPr>
            </w:pPr>
            <w:r>
              <w:rPr>
                <w:b/>
                <w:bCs/>
              </w:rPr>
              <w:t>Istanbul</w:t>
            </w:r>
          </w:p>
        </w:tc>
        <w:tc>
          <w:tcPr>
            <w:tcW w:w="1000" w:type="dxa"/>
            <w:noWrap/>
            <w:hideMark/>
          </w:tcPr>
          <w:p w:rsidR="00E01EDF" w:rsidRPr="00E01EDF" w:rsidRDefault="00E01EDF" w:rsidP="000D51A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+</w:t>
            </w:r>
            <w:r w:rsidR="000D51AF">
              <w:rPr>
                <w:b/>
                <w:bCs/>
              </w:rPr>
              <w:t>65</w:t>
            </w:r>
            <w:r w:rsidRPr="00E01EDF">
              <w:rPr>
                <w:b/>
                <w:bCs/>
              </w:rPr>
              <w:t>%</w:t>
            </w:r>
          </w:p>
        </w:tc>
      </w:tr>
      <w:tr w:rsidR="00E01EDF" w:rsidRPr="00E01EDF" w:rsidTr="00E01EDF">
        <w:trPr>
          <w:trHeight w:val="360"/>
        </w:trPr>
        <w:tc>
          <w:tcPr>
            <w:tcW w:w="520" w:type="dxa"/>
            <w:noWrap/>
            <w:hideMark/>
          </w:tcPr>
          <w:p w:rsidR="00E01EDF" w:rsidRPr="00E01EDF" w:rsidRDefault="00E01EDF" w:rsidP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E01EDF" w:rsidRPr="00E01EDF" w:rsidRDefault="000D51AF">
            <w:pPr>
              <w:rPr>
                <w:b/>
                <w:bCs/>
              </w:rPr>
            </w:pPr>
            <w:r>
              <w:rPr>
                <w:b/>
                <w:bCs/>
              </w:rPr>
              <w:t>Budapest</w:t>
            </w:r>
          </w:p>
        </w:tc>
        <w:tc>
          <w:tcPr>
            <w:tcW w:w="1000" w:type="dxa"/>
            <w:noWrap/>
            <w:hideMark/>
          </w:tcPr>
          <w:p w:rsidR="00E01EDF" w:rsidRPr="00E01EDF" w:rsidRDefault="00E01EDF" w:rsidP="000D51A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+</w:t>
            </w:r>
            <w:r w:rsidR="000D51AF">
              <w:rPr>
                <w:b/>
                <w:bCs/>
              </w:rPr>
              <w:t>94</w:t>
            </w:r>
            <w:r w:rsidRPr="00E01EDF">
              <w:rPr>
                <w:b/>
                <w:bCs/>
              </w:rPr>
              <w:t>%</w:t>
            </w:r>
          </w:p>
        </w:tc>
      </w:tr>
      <w:bookmarkEnd w:id="0"/>
    </w:tbl>
    <w:p w:rsidR="00595237" w:rsidRPr="007A24CF" w:rsidRDefault="00595237" w:rsidP="00AD1A5C"/>
    <w:sectPr w:rsidR="00595237" w:rsidRPr="007A24CF" w:rsidSect="00185C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9D" w:rsidRDefault="0091759D" w:rsidP="00514980">
      <w:r>
        <w:separator/>
      </w:r>
    </w:p>
  </w:endnote>
  <w:endnote w:type="continuationSeparator" w:id="0">
    <w:p w:rsidR="0091759D" w:rsidRDefault="0091759D" w:rsidP="0051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9D" w:rsidRDefault="0091759D" w:rsidP="00514980">
      <w:r>
        <w:separator/>
      </w:r>
    </w:p>
  </w:footnote>
  <w:footnote w:type="continuationSeparator" w:id="0">
    <w:p w:rsidR="0091759D" w:rsidRDefault="0091759D" w:rsidP="00514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80" w:rsidRDefault="00A924C9">
    <w:pPr>
      <w:pStyle w:val="Sidhuvud"/>
    </w:pPr>
    <w:r>
      <w:rPr>
        <w:rFonts w:ascii="Verdana" w:hAnsi="Verdana"/>
        <w:noProof/>
        <w:color w:val="000000"/>
        <w:sz w:val="17"/>
        <w:szCs w:val="17"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posOffset>1826895</wp:posOffset>
          </wp:positionH>
          <wp:positionV relativeFrom="line">
            <wp:posOffset>-228600</wp:posOffset>
          </wp:positionV>
          <wp:extent cx="1931035" cy="775970"/>
          <wp:effectExtent l="19050" t="0" r="0" b="0"/>
          <wp:wrapSquare wrapText="bothSides"/>
          <wp:docPr id="1" name="Bild 1" descr="Airtours - startsid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rtours - startsid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69C"/>
    <w:multiLevelType w:val="hybridMultilevel"/>
    <w:tmpl w:val="73A61914"/>
    <w:lvl w:ilvl="0" w:tplc="DE0E4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E4DEB"/>
    <w:multiLevelType w:val="hybridMultilevel"/>
    <w:tmpl w:val="E528BA4C"/>
    <w:lvl w:ilvl="0" w:tplc="6A20E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5"/>
    <w:rsid w:val="00013B6C"/>
    <w:rsid w:val="00017AAC"/>
    <w:rsid w:val="00022B94"/>
    <w:rsid w:val="000357BF"/>
    <w:rsid w:val="00041E07"/>
    <w:rsid w:val="00044B02"/>
    <w:rsid w:val="00047C45"/>
    <w:rsid w:val="00056292"/>
    <w:rsid w:val="000562D2"/>
    <w:rsid w:val="0005799A"/>
    <w:rsid w:val="000647FC"/>
    <w:rsid w:val="0006565E"/>
    <w:rsid w:val="00067BB9"/>
    <w:rsid w:val="0007182A"/>
    <w:rsid w:val="00072E70"/>
    <w:rsid w:val="00081FCF"/>
    <w:rsid w:val="000846FC"/>
    <w:rsid w:val="00085FE1"/>
    <w:rsid w:val="00091680"/>
    <w:rsid w:val="00092774"/>
    <w:rsid w:val="0009308D"/>
    <w:rsid w:val="000A3C58"/>
    <w:rsid w:val="000A4AF0"/>
    <w:rsid w:val="000B144F"/>
    <w:rsid w:val="000D3075"/>
    <w:rsid w:val="000D4830"/>
    <w:rsid w:val="000D51AF"/>
    <w:rsid w:val="000E1965"/>
    <w:rsid w:val="000E3147"/>
    <w:rsid w:val="000F3DB1"/>
    <w:rsid w:val="00110913"/>
    <w:rsid w:val="001128BF"/>
    <w:rsid w:val="00114EFF"/>
    <w:rsid w:val="00116AF7"/>
    <w:rsid w:val="001401FB"/>
    <w:rsid w:val="001440F2"/>
    <w:rsid w:val="0014755A"/>
    <w:rsid w:val="00154960"/>
    <w:rsid w:val="0016241E"/>
    <w:rsid w:val="0016742C"/>
    <w:rsid w:val="001809ED"/>
    <w:rsid w:val="00185C1A"/>
    <w:rsid w:val="0019572A"/>
    <w:rsid w:val="001A5BD1"/>
    <w:rsid w:val="001A6DD6"/>
    <w:rsid w:val="001B54D2"/>
    <w:rsid w:val="001C04AC"/>
    <w:rsid w:val="001C2E6C"/>
    <w:rsid w:val="001C2F47"/>
    <w:rsid w:val="001D0C4E"/>
    <w:rsid w:val="001D58E9"/>
    <w:rsid w:val="001E06B7"/>
    <w:rsid w:val="001F043A"/>
    <w:rsid w:val="001F4238"/>
    <w:rsid w:val="00204EA8"/>
    <w:rsid w:val="00207B5F"/>
    <w:rsid w:val="00212F65"/>
    <w:rsid w:val="002169C8"/>
    <w:rsid w:val="00222A0F"/>
    <w:rsid w:val="00230B56"/>
    <w:rsid w:val="00243A90"/>
    <w:rsid w:val="00250A54"/>
    <w:rsid w:val="0025503C"/>
    <w:rsid w:val="00255105"/>
    <w:rsid w:val="0026291E"/>
    <w:rsid w:val="00263F73"/>
    <w:rsid w:val="00266BD0"/>
    <w:rsid w:val="00274AF6"/>
    <w:rsid w:val="00296611"/>
    <w:rsid w:val="002A4CB0"/>
    <w:rsid w:val="002B0FC5"/>
    <w:rsid w:val="002C08CF"/>
    <w:rsid w:val="002C1F62"/>
    <w:rsid w:val="002C432A"/>
    <w:rsid w:val="002C479C"/>
    <w:rsid w:val="002C690D"/>
    <w:rsid w:val="002D100F"/>
    <w:rsid w:val="002D546E"/>
    <w:rsid w:val="002D66C9"/>
    <w:rsid w:val="002F0F4B"/>
    <w:rsid w:val="002F4892"/>
    <w:rsid w:val="002F71C3"/>
    <w:rsid w:val="00303DF9"/>
    <w:rsid w:val="003110BE"/>
    <w:rsid w:val="00313F14"/>
    <w:rsid w:val="0032239B"/>
    <w:rsid w:val="003443DC"/>
    <w:rsid w:val="00344B0E"/>
    <w:rsid w:val="003643C8"/>
    <w:rsid w:val="00373D05"/>
    <w:rsid w:val="003813D4"/>
    <w:rsid w:val="0038652D"/>
    <w:rsid w:val="00386A7F"/>
    <w:rsid w:val="00392976"/>
    <w:rsid w:val="003A2FB9"/>
    <w:rsid w:val="003B2C72"/>
    <w:rsid w:val="003C1AF2"/>
    <w:rsid w:val="003C1C70"/>
    <w:rsid w:val="003C22B5"/>
    <w:rsid w:val="003D090D"/>
    <w:rsid w:val="003D41BC"/>
    <w:rsid w:val="003E069B"/>
    <w:rsid w:val="003E10AE"/>
    <w:rsid w:val="003E3D20"/>
    <w:rsid w:val="0042688B"/>
    <w:rsid w:val="00426A46"/>
    <w:rsid w:val="00427382"/>
    <w:rsid w:val="0043146F"/>
    <w:rsid w:val="004326E5"/>
    <w:rsid w:val="00441E13"/>
    <w:rsid w:val="00442C37"/>
    <w:rsid w:val="0044446C"/>
    <w:rsid w:val="00444711"/>
    <w:rsid w:val="004644E5"/>
    <w:rsid w:val="00465779"/>
    <w:rsid w:val="004807D2"/>
    <w:rsid w:val="004B2D88"/>
    <w:rsid w:val="004C510C"/>
    <w:rsid w:val="004D0589"/>
    <w:rsid w:val="004F1EAD"/>
    <w:rsid w:val="004F749F"/>
    <w:rsid w:val="00501AFF"/>
    <w:rsid w:val="00502FA3"/>
    <w:rsid w:val="00504555"/>
    <w:rsid w:val="00504860"/>
    <w:rsid w:val="00511046"/>
    <w:rsid w:val="005122C1"/>
    <w:rsid w:val="00514980"/>
    <w:rsid w:val="00517B31"/>
    <w:rsid w:val="005251E2"/>
    <w:rsid w:val="00525A87"/>
    <w:rsid w:val="0053228E"/>
    <w:rsid w:val="0053249B"/>
    <w:rsid w:val="00544FE3"/>
    <w:rsid w:val="0055025B"/>
    <w:rsid w:val="005563CF"/>
    <w:rsid w:val="00561E7D"/>
    <w:rsid w:val="005713A7"/>
    <w:rsid w:val="0057710C"/>
    <w:rsid w:val="00577B3E"/>
    <w:rsid w:val="00583BF0"/>
    <w:rsid w:val="00584595"/>
    <w:rsid w:val="00590078"/>
    <w:rsid w:val="00595237"/>
    <w:rsid w:val="00595A33"/>
    <w:rsid w:val="005B14EC"/>
    <w:rsid w:val="005B1A63"/>
    <w:rsid w:val="005C7B34"/>
    <w:rsid w:val="005D3E81"/>
    <w:rsid w:val="005D4492"/>
    <w:rsid w:val="005D5A6F"/>
    <w:rsid w:val="005E5D97"/>
    <w:rsid w:val="005E6DD9"/>
    <w:rsid w:val="005F253C"/>
    <w:rsid w:val="005F7D67"/>
    <w:rsid w:val="00600EFE"/>
    <w:rsid w:val="00606CF1"/>
    <w:rsid w:val="0061338B"/>
    <w:rsid w:val="00616CF9"/>
    <w:rsid w:val="00623385"/>
    <w:rsid w:val="00634454"/>
    <w:rsid w:val="00640E47"/>
    <w:rsid w:val="006460B6"/>
    <w:rsid w:val="00673812"/>
    <w:rsid w:val="006830FD"/>
    <w:rsid w:val="00690CB8"/>
    <w:rsid w:val="00696464"/>
    <w:rsid w:val="006A5004"/>
    <w:rsid w:val="006A74EA"/>
    <w:rsid w:val="006A76E2"/>
    <w:rsid w:val="006B4668"/>
    <w:rsid w:val="006B507C"/>
    <w:rsid w:val="006B5B58"/>
    <w:rsid w:val="006C31F2"/>
    <w:rsid w:val="006E71AD"/>
    <w:rsid w:val="006F481C"/>
    <w:rsid w:val="00704771"/>
    <w:rsid w:val="0070798A"/>
    <w:rsid w:val="00707BD4"/>
    <w:rsid w:val="00714A74"/>
    <w:rsid w:val="00731B01"/>
    <w:rsid w:val="007429FE"/>
    <w:rsid w:val="00745E9F"/>
    <w:rsid w:val="0075613C"/>
    <w:rsid w:val="0075781D"/>
    <w:rsid w:val="007770BC"/>
    <w:rsid w:val="007774CC"/>
    <w:rsid w:val="007A068B"/>
    <w:rsid w:val="007A1B8A"/>
    <w:rsid w:val="007A20ED"/>
    <w:rsid w:val="007A24CF"/>
    <w:rsid w:val="007A4C8D"/>
    <w:rsid w:val="007B1240"/>
    <w:rsid w:val="007B1C08"/>
    <w:rsid w:val="007B323B"/>
    <w:rsid w:val="007C24E9"/>
    <w:rsid w:val="007C4CCD"/>
    <w:rsid w:val="007C6360"/>
    <w:rsid w:val="007D083A"/>
    <w:rsid w:val="007E28BE"/>
    <w:rsid w:val="007F52E2"/>
    <w:rsid w:val="007F67FF"/>
    <w:rsid w:val="007F7B7B"/>
    <w:rsid w:val="008163FF"/>
    <w:rsid w:val="008211D8"/>
    <w:rsid w:val="008212D0"/>
    <w:rsid w:val="00821440"/>
    <w:rsid w:val="0083368D"/>
    <w:rsid w:val="00841052"/>
    <w:rsid w:val="00846FFC"/>
    <w:rsid w:val="00874D86"/>
    <w:rsid w:val="00883952"/>
    <w:rsid w:val="0088568A"/>
    <w:rsid w:val="00886E9A"/>
    <w:rsid w:val="008A335E"/>
    <w:rsid w:val="008A7E7F"/>
    <w:rsid w:val="008D0CBE"/>
    <w:rsid w:val="008D3A80"/>
    <w:rsid w:val="008D4B63"/>
    <w:rsid w:val="008D72AF"/>
    <w:rsid w:val="008E2D92"/>
    <w:rsid w:val="008E6CCE"/>
    <w:rsid w:val="008F4296"/>
    <w:rsid w:val="008F544B"/>
    <w:rsid w:val="008F6D29"/>
    <w:rsid w:val="00901762"/>
    <w:rsid w:val="009035E7"/>
    <w:rsid w:val="009157AE"/>
    <w:rsid w:val="00916783"/>
    <w:rsid w:val="0091759D"/>
    <w:rsid w:val="00924870"/>
    <w:rsid w:val="009318C1"/>
    <w:rsid w:val="009404C4"/>
    <w:rsid w:val="00943887"/>
    <w:rsid w:val="00954443"/>
    <w:rsid w:val="00955D83"/>
    <w:rsid w:val="00966041"/>
    <w:rsid w:val="0096687B"/>
    <w:rsid w:val="0097410B"/>
    <w:rsid w:val="00980C5F"/>
    <w:rsid w:val="0098713B"/>
    <w:rsid w:val="00990DF7"/>
    <w:rsid w:val="009A2790"/>
    <w:rsid w:val="009A38C8"/>
    <w:rsid w:val="009A7855"/>
    <w:rsid w:val="009C30A5"/>
    <w:rsid w:val="009D1C93"/>
    <w:rsid w:val="009D2E1A"/>
    <w:rsid w:val="009D64E5"/>
    <w:rsid w:val="009E0AEF"/>
    <w:rsid w:val="009E663E"/>
    <w:rsid w:val="009E7009"/>
    <w:rsid w:val="009F0C88"/>
    <w:rsid w:val="00A20C8A"/>
    <w:rsid w:val="00A30B71"/>
    <w:rsid w:val="00A4121B"/>
    <w:rsid w:val="00A41855"/>
    <w:rsid w:val="00A456C6"/>
    <w:rsid w:val="00A4711C"/>
    <w:rsid w:val="00A50857"/>
    <w:rsid w:val="00A555AC"/>
    <w:rsid w:val="00A60E9C"/>
    <w:rsid w:val="00A61D63"/>
    <w:rsid w:val="00A776F7"/>
    <w:rsid w:val="00A819B8"/>
    <w:rsid w:val="00A912D9"/>
    <w:rsid w:val="00A924C9"/>
    <w:rsid w:val="00A925B9"/>
    <w:rsid w:val="00A94556"/>
    <w:rsid w:val="00A94A8F"/>
    <w:rsid w:val="00AA06E9"/>
    <w:rsid w:val="00AA3692"/>
    <w:rsid w:val="00AA7450"/>
    <w:rsid w:val="00AB46B6"/>
    <w:rsid w:val="00AD1A5C"/>
    <w:rsid w:val="00AD3F3E"/>
    <w:rsid w:val="00AE2E8A"/>
    <w:rsid w:val="00AF21C7"/>
    <w:rsid w:val="00AF5105"/>
    <w:rsid w:val="00AF6024"/>
    <w:rsid w:val="00AF7112"/>
    <w:rsid w:val="00B114C0"/>
    <w:rsid w:val="00B220C5"/>
    <w:rsid w:val="00B22D3D"/>
    <w:rsid w:val="00B43F59"/>
    <w:rsid w:val="00B4497D"/>
    <w:rsid w:val="00B65652"/>
    <w:rsid w:val="00B76F50"/>
    <w:rsid w:val="00B85A26"/>
    <w:rsid w:val="00B9026D"/>
    <w:rsid w:val="00B9218F"/>
    <w:rsid w:val="00BA50F9"/>
    <w:rsid w:val="00BB3565"/>
    <w:rsid w:val="00BB38EE"/>
    <w:rsid w:val="00BB68EB"/>
    <w:rsid w:val="00BC4BDE"/>
    <w:rsid w:val="00BC5CFD"/>
    <w:rsid w:val="00BD4AAC"/>
    <w:rsid w:val="00BE0290"/>
    <w:rsid w:val="00BE4481"/>
    <w:rsid w:val="00BE7E35"/>
    <w:rsid w:val="00BF6290"/>
    <w:rsid w:val="00BF6CDE"/>
    <w:rsid w:val="00C11AB5"/>
    <w:rsid w:val="00C21D4E"/>
    <w:rsid w:val="00C404EA"/>
    <w:rsid w:val="00C42FB8"/>
    <w:rsid w:val="00C56AB2"/>
    <w:rsid w:val="00C57EA1"/>
    <w:rsid w:val="00C644C2"/>
    <w:rsid w:val="00C80A3E"/>
    <w:rsid w:val="00C86FDE"/>
    <w:rsid w:val="00C9181A"/>
    <w:rsid w:val="00C9626C"/>
    <w:rsid w:val="00CA51EB"/>
    <w:rsid w:val="00CB304D"/>
    <w:rsid w:val="00CC29A7"/>
    <w:rsid w:val="00CC54C9"/>
    <w:rsid w:val="00CC5552"/>
    <w:rsid w:val="00CD13FA"/>
    <w:rsid w:val="00CD52D5"/>
    <w:rsid w:val="00CD75C1"/>
    <w:rsid w:val="00CD79E8"/>
    <w:rsid w:val="00CD79E9"/>
    <w:rsid w:val="00CF7FCE"/>
    <w:rsid w:val="00D02A12"/>
    <w:rsid w:val="00D067EB"/>
    <w:rsid w:val="00D117FA"/>
    <w:rsid w:val="00D1326A"/>
    <w:rsid w:val="00D24C12"/>
    <w:rsid w:val="00D36507"/>
    <w:rsid w:val="00D440A5"/>
    <w:rsid w:val="00D5013C"/>
    <w:rsid w:val="00D6487A"/>
    <w:rsid w:val="00D65AA1"/>
    <w:rsid w:val="00D8038A"/>
    <w:rsid w:val="00D837AE"/>
    <w:rsid w:val="00D9031E"/>
    <w:rsid w:val="00D94478"/>
    <w:rsid w:val="00D95D88"/>
    <w:rsid w:val="00D9697F"/>
    <w:rsid w:val="00DA3417"/>
    <w:rsid w:val="00DA4D33"/>
    <w:rsid w:val="00DA5956"/>
    <w:rsid w:val="00DB30AD"/>
    <w:rsid w:val="00DB569F"/>
    <w:rsid w:val="00DC16D3"/>
    <w:rsid w:val="00DC6F1E"/>
    <w:rsid w:val="00DD55B0"/>
    <w:rsid w:val="00DD7BB8"/>
    <w:rsid w:val="00DE0003"/>
    <w:rsid w:val="00DE4DA9"/>
    <w:rsid w:val="00DE7D88"/>
    <w:rsid w:val="00DF0914"/>
    <w:rsid w:val="00DF10E2"/>
    <w:rsid w:val="00E01E4E"/>
    <w:rsid w:val="00E01EDF"/>
    <w:rsid w:val="00E1628F"/>
    <w:rsid w:val="00E177AD"/>
    <w:rsid w:val="00E21FC7"/>
    <w:rsid w:val="00E2776A"/>
    <w:rsid w:val="00E47639"/>
    <w:rsid w:val="00E52DBD"/>
    <w:rsid w:val="00E561B1"/>
    <w:rsid w:val="00E56FF1"/>
    <w:rsid w:val="00E63180"/>
    <w:rsid w:val="00E667FE"/>
    <w:rsid w:val="00E71EAD"/>
    <w:rsid w:val="00E85629"/>
    <w:rsid w:val="00E90396"/>
    <w:rsid w:val="00E95423"/>
    <w:rsid w:val="00EA4822"/>
    <w:rsid w:val="00EB039F"/>
    <w:rsid w:val="00EB0A2F"/>
    <w:rsid w:val="00EC1721"/>
    <w:rsid w:val="00ED42BE"/>
    <w:rsid w:val="00EF257C"/>
    <w:rsid w:val="00EF2A9A"/>
    <w:rsid w:val="00EF4FE5"/>
    <w:rsid w:val="00F11F31"/>
    <w:rsid w:val="00F128B8"/>
    <w:rsid w:val="00F12941"/>
    <w:rsid w:val="00F16B7F"/>
    <w:rsid w:val="00F22482"/>
    <w:rsid w:val="00F24616"/>
    <w:rsid w:val="00F3062D"/>
    <w:rsid w:val="00F3125F"/>
    <w:rsid w:val="00F32D39"/>
    <w:rsid w:val="00F33C49"/>
    <w:rsid w:val="00F34592"/>
    <w:rsid w:val="00F34AA1"/>
    <w:rsid w:val="00F437F9"/>
    <w:rsid w:val="00F6254D"/>
    <w:rsid w:val="00F77E51"/>
    <w:rsid w:val="00F83243"/>
    <w:rsid w:val="00F85689"/>
    <w:rsid w:val="00F92B6A"/>
    <w:rsid w:val="00FB0D54"/>
    <w:rsid w:val="00FB1B30"/>
    <w:rsid w:val="00FB3DCF"/>
    <w:rsid w:val="00FB3ED9"/>
    <w:rsid w:val="00FC0E9D"/>
    <w:rsid w:val="00FD0F3B"/>
    <w:rsid w:val="00FD5AAB"/>
    <w:rsid w:val="00FE190D"/>
    <w:rsid w:val="00FE33AF"/>
    <w:rsid w:val="00FE708D"/>
    <w:rsid w:val="00FE72D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DA9"/>
    <w:rPr>
      <w:sz w:val="24"/>
      <w:szCs w:val="24"/>
    </w:rPr>
  </w:style>
  <w:style w:type="paragraph" w:styleId="Rubrik2">
    <w:name w:val="heading 2"/>
    <w:basedOn w:val="Normal"/>
    <w:qFormat/>
    <w:rsid w:val="00980C5F"/>
    <w:pPr>
      <w:spacing w:before="100" w:beforeAutospacing="1" w:after="100" w:afterAutospacing="1"/>
      <w:outlineLvl w:val="1"/>
    </w:pPr>
    <w:rPr>
      <w:rFonts w:ascii="Verdana" w:hAnsi="Verdana"/>
      <w:b/>
      <w:bCs/>
      <w:color w:val="00000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980C5F"/>
    <w:pPr>
      <w:spacing w:before="100" w:beforeAutospacing="1" w:after="100" w:afterAutospacing="1" w:line="225" w:lineRule="atLeast"/>
    </w:pPr>
    <w:rPr>
      <w:rFonts w:ascii="Verdana" w:hAnsi="Verdana"/>
      <w:color w:val="000000"/>
      <w:sz w:val="17"/>
      <w:szCs w:val="17"/>
    </w:rPr>
  </w:style>
  <w:style w:type="paragraph" w:customStyle="1" w:styleId="brodtext">
    <w:name w:val="brodtext"/>
    <w:basedOn w:val="Normal"/>
    <w:rsid w:val="00980C5F"/>
    <w:pPr>
      <w:spacing w:line="225" w:lineRule="atLeast"/>
    </w:pPr>
    <w:rPr>
      <w:rFonts w:ascii="Verdana" w:hAnsi="Verdana"/>
      <w:color w:val="000000"/>
      <w:sz w:val="17"/>
      <w:szCs w:val="17"/>
    </w:rPr>
  </w:style>
  <w:style w:type="paragraph" w:styleId="Sidhuvud">
    <w:name w:val="header"/>
    <w:basedOn w:val="Normal"/>
    <w:link w:val="SidhuvudChar"/>
    <w:rsid w:val="005149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14980"/>
    <w:rPr>
      <w:sz w:val="24"/>
      <w:szCs w:val="24"/>
    </w:rPr>
  </w:style>
  <w:style w:type="paragraph" w:styleId="Sidfot">
    <w:name w:val="footer"/>
    <w:basedOn w:val="Normal"/>
    <w:link w:val="SidfotChar"/>
    <w:rsid w:val="005149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14980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A335E"/>
    <w:rPr>
      <w:color w:val="2158C7"/>
      <w:u w:val="single"/>
    </w:rPr>
  </w:style>
  <w:style w:type="character" w:styleId="Stark">
    <w:name w:val="Strong"/>
    <w:basedOn w:val="Standardstycketeckensnitt"/>
    <w:uiPriority w:val="22"/>
    <w:qFormat/>
    <w:rsid w:val="008A335E"/>
    <w:rPr>
      <w:b/>
      <w:bCs/>
      <w:color w:val="333333"/>
      <w:sz w:val="20"/>
      <w:szCs w:val="20"/>
    </w:rPr>
  </w:style>
  <w:style w:type="table" w:styleId="Tabellrutnt">
    <w:name w:val="Table Grid"/>
    <w:basedOn w:val="Normaltabell"/>
    <w:rsid w:val="00E0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DA9"/>
    <w:rPr>
      <w:sz w:val="24"/>
      <w:szCs w:val="24"/>
    </w:rPr>
  </w:style>
  <w:style w:type="paragraph" w:styleId="Rubrik2">
    <w:name w:val="heading 2"/>
    <w:basedOn w:val="Normal"/>
    <w:qFormat/>
    <w:rsid w:val="00980C5F"/>
    <w:pPr>
      <w:spacing w:before="100" w:beforeAutospacing="1" w:after="100" w:afterAutospacing="1"/>
      <w:outlineLvl w:val="1"/>
    </w:pPr>
    <w:rPr>
      <w:rFonts w:ascii="Verdana" w:hAnsi="Verdana"/>
      <w:b/>
      <w:bCs/>
      <w:color w:val="00000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980C5F"/>
    <w:pPr>
      <w:spacing w:before="100" w:beforeAutospacing="1" w:after="100" w:afterAutospacing="1" w:line="225" w:lineRule="atLeast"/>
    </w:pPr>
    <w:rPr>
      <w:rFonts w:ascii="Verdana" w:hAnsi="Verdana"/>
      <w:color w:val="000000"/>
      <w:sz w:val="17"/>
      <w:szCs w:val="17"/>
    </w:rPr>
  </w:style>
  <w:style w:type="paragraph" w:customStyle="1" w:styleId="brodtext">
    <w:name w:val="brodtext"/>
    <w:basedOn w:val="Normal"/>
    <w:rsid w:val="00980C5F"/>
    <w:pPr>
      <w:spacing w:line="225" w:lineRule="atLeast"/>
    </w:pPr>
    <w:rPr>
      <w:rFonts w:ascii="Verdana" w:hAnsi="Verdana"/>
      <w:color w:val="000000"/>
      <w:sz w:val="17"/>
      <w:szCs w:val="17"/>
    </w:rPr>
  </w:style>
  <w:style w:type="paragraph" w:styleId="Sidhuvud">
    <w:name w:val="header"/>
    <w:basedOn w:val="Normal"/>
    <w:link w:val="SidhuvudChar"/>
    <w:rsid w:val="005149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14980"/>
    <w:rPr>
      <w:sz w:val="24"/>
      <w:szCs w:val="24"/>
    </w:rPr>
  </w:style>
  <w:style w:type="paragraph" w:styleId="Sidfot">
    <w:name w:val="footer"/>
    <w:basedOn w:val="Normal"/>
    <w:link w:val="SidfotChar"/>
    <w:rsid w:val="005149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14980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A335E"/>
    <w:rPr>
      <w:color w:val="2158C7"/>
      <w:u w:val="single"/>
    </w:rPr>
  </w:style>
  <w:style w:type="character" w:styleId="Stark">
    <w:name w:val="Strong"/>
    <w:basedOn w:val="Standardstycketeckensnitt"/>
    <w:uiPriority w:val="22"/>
    <w:qFormat/>
    <w:rsid w:val="008A335E"/>
    <w:rPr>
      <w:b/>
      <w:bCs/>
      <w:color w:val="333333"/>
      <w:sz w:val="20"/>
      <w:szCs w:val="20"/>
    </w:rPr>
  </w:style>
  <w:style w:type="table" w:styleId="Tabellrutnt">
    <w:name w:val="Table Grid"/>
    <w:basedOn w:val="Normaltabell"/>
    <w:rsid w:val="00E0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420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CCCCCC"/>
            <w:bottom w:val="single" w:sz="6" w:space="0" w:color="CCCCCC"/>
            <w:right w:val="single" w:sz="6" w:space="0" w:color="999999"/>
          </w:divBdr>
          <w:divsChild>
            <w:div w:id="19185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980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9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7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716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CCCCCC"/>
            <w:bottom w:val="single" w:sz="6" w:space="0" w:color="CCCCCC"/>
            <w:right w:val="single" w:sz="6" w:space="0" w:color="999999"/>
          </w:divBdr>
          <w:divsChild>
            <w:div w:id="3166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1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irtours.se/index.shtml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airtours.se/index.s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2BDF5-82DF-4A90-8718-61AAA423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240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Pressrelease 071027</vt:lpstr>
    </vt:vector>
  </TitlesOfParts>
  <Company>Airtours</Company>
  <LinksUpToDate>false</LinksUpToDate>
  <CharactersWithSpaces>1515</CharactersWithSpaces>
  <SharedDoc>false</SharedDoc>
  <HLinks>
    <vt:vector size="54" baseType="variant">
      <vt:variant>
        <vt:i4>7208973</vt:i4>
      </vt:variant>
      <vt:variant>
        <vt:i4>18</vt:i4>
      </vt:variant>
      <vt:variant>
        <vt:i4>0</vt:i4>
      </vt:variant>
      <vt:variant>
        <vt:i4>5</vt:i4>
      </vt:variant>
      <vt:variant>
        <vt:lpwstr>http://www.airtours.se/dest_bcn.shtml</vt:lpwstr>
      </vt:variant>
      <vt:variant>
        <vt:lpwstr/>
      </vt:variant>
      <vt:variant>
        <vt:i4>7208965</vt:i4>
      </vt:variant>
      <vt:variant>
        <vt:i4>15</vt:i4>
      </vt:variant>
      <vt:variant>
        <vt:i4>0</vt:i4>
      </vt:variant>
      <vt:variant>
        <vt:i4>5</vt:i4>
      </vt:variant>
      <vt:variant>
        <vt:lpwstr>http://www.airtours.se/dest_bcf.shtml</vt:lpwstr>
      </vt:variant>
      <vt:variant>
        <vt:lpwstr/>
      </vt:variant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http://www.airtours.se/dest_bcn.shtml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http://www.airtours.se/dest_bcn.shtml</vt:lpwstr>
      </vt:variant>
      <vt:variant>
        <vt:lpwstr/>
      </vt:variant>
      <vt:variant>
        <vt:i4>7602188</vt:i4>
      </vt:variant>
      <vt:variant>
        <vt:i4>6</vt:i4>
      </vt:variant>
      <vt:variant>
        <vt:i4>0</vt:i4>
      </vt:variant>
      <vt:variant>
        <vt:i4>5</vt:i4>
      </vt:variant>
      <vt:variant>
        <vt:lpwstr>http://www.airtours.se/dest_nyc.shtml</vt:lpwstr>
      </vt:variant>
      <vt:variant>
        <vt:lpwstr/>
      </vt:variant>
      <vt:variant>
        <vt:i4>6422531</vt:i4>
      </vt:variant>
      <vt:variant>
        <vt:i4>3</vt:i4>
      </vt:variant>
      <vt:variant>
        <vt:i4>0</vt:i4>
      </vt:variant>
      <vt:variant>
        <vt:i4>5</vt:i4>
      </vt:variant>
      <vt:variant>
        <vt:lpwstr>http://www.airtours.se/dest_lon.shtml</vt:lpwstr>
      </vt:variant>
      <vt:variant>
        <vt:lpwstr/>
      </vt:variant>
      <vt:variant>
        <vt:i4>6422531</vt:i4>
      </vt:variant>
      <vt:variant>
        <vt:i4>0</vt:i4>
      </vt:variant>
      <vt:variant>
        <vt:i4>0</vt:i4>
      </vt:variant>
      <vt:variant>
        <vt:i4>5</vt:i4>
      </vt:variant>
      <vt:variant>
        <vt:lpwstr>http://www.airtours.se/dest_lon.shtml</vt:lpwstr>
      </vt:variant>
      <vt:variant>
        <vt:lpwstr/>
      </vt:variant>
      <vt:variant>
        <vt:i4>7340087</vt:i4>
      </vt:variant>
      <vt:variant>
        <vt:i4>0</vt:i4>
      </vt:variant>
      <vt:variant>
        <vt:i4>0</vt:i4>
      </vt:variant>
      <vt:variant>
        <vt:i4>5</vt:i4>
      </vt:variant>
      <vt:variant>
        <vt:lpwstr>http://www.airtours.se/index.shtml</vt:lpwstr>
      </vt:variant>
      <vt:variant>
        <vt:lpwstr/>
      </vt:variant>
      <vt:variant>
        <vt:i4>7340087</vt:i4>
      </vt:variant>
      <vt:variant>
        <vt:i4>-1</vt:i4>
      </vt:variant>
      <vt:variant>
        <vt:i4>7169</vt:i4>
      </vt:variant>
      <vt:variant>
        <vt:i4>4</vt:i4>
      </vt:variant>
      <vt:variant>
        <vt:lpwstr>http://www.airtours.se/index.shtml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071027</dc:title>
  <dc:creator>Stefan Chatzopoulos</dc:creator>
  <cp:lastModifiedBy>Stefan Chatzopoulos</cp:lastModifiedBy>
  <cp:revision>5</cp:revision>
  <cp:lastPrinted>2010-04-08T14:29:00Z</cp:lastPrinted>
  <dcterms:created xsi:type="dcterms:W3CDTF">2011-10-13T13:39:00Z</dcterms:created>
  <dcterms:modified xsi:type="dcterms:W3CDTF">2011-10-13T15:01:00Z</dcterms:modified>
</cp:coreProperties>
</file>