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B30C7A" w:rsidRDefault="00232B65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NYHET!</w:t>
      </w: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proofErr w:type="spellStart"/>
      <w:r>
        <w:rPr>
          <w:bCs/>
          <w:color w:val="000000"/>
          <w:sz w:val="28"/>
          <w:szCs w:val="28"/>
          <w:lang w:val="sv-SE"/>
        </w:rPr>
        <w:t>Litiumjon</w:t>
      </w:r>
      <w:proofErr w:type="spellEnd"/>
      <w:r>
        <w:rPr>
          <w:bCs/>
          <w:color w:val="000000"/>
          <w:sz w:val="28"/>
          <w:szCs w:val="28"/>
          <w:lang w:val="sv-SE"/>
        </w:rPr>
        <w:t>-batterier – lättare, underhållsfria, effektfulla!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Nu lanserar Linde </w:t>
      </w:r>
      <w:proofErr w:type="spellStart"/>
      <w:r>
        <w:rPr>
          <w:bCs/>
          <w:color w:val="000000"/>
          <w:sz w:val="22"/>
          <w:szCs w:val="22"/>
          <w:lang w:val="sv-SE"/>
        </w:rPr>
        <w:t>litiumjon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-batterier på sina truckar. Introduktionen sker successivt och börjar med T16/T20-serien. </w:t>
      </w: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Linde har tillsammans med samarbetspartners utvecklat batterierna för bästa funktionalitet. </w:t>
      </w: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32B65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proofErr w:type="spellStart"/>
      <w:r>
        <w:rPr>
          <w:bCs/>
          <w:color w:val="000000"/>
          <w:sz w:val="22"/>
          <w:szCs w:val="22"/>
          <w:lang w:val="sv-SE"/>
        </w:rPr>
        <w:t>Litiumjon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-batterier är mindre och lättare än traditionella batterier, kräver inget underhåll och ger också mer effekt. </w:t>
      </w:r>
    </w:p>
    <w:p w:rsidR="00217258" w:rsidRDefault="00232B65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bookmarkStart w:id="0" w:name="_GoBack"/>
      <w:bookmarkEnd w:id="0"/>
      <w:r>
        <w:rPr>
          <w:bCs/>
          <w:color w:val="000000"/>
          <w:sz w:val="22"/>
          <w:szCs w:val="22"/>
          <w:lang w:val="sv-SE"/>
        </w:rPr>
        <w:t xml:space="preserve">Med ett </w:t>
      </w:r>
      <w:proofErr w:type="spellStart"/>
      <w:r>
        <w:rPr>
          <w:bCs/>
          <w:color w:val="000000"/>
          <w:sz w:val="22"/>
          <w:szCs w:val="22"/>
          <w:lang w:val="sv-SE"/>
        </w:rPr>
        <w:t>litiumjon</w:t>
      </w:r>
      <w:proofErr w:type="spellEnd"/>
      <w:r>
        <w:rPr>
          <w:bCs/>
          <w:color w:val="000000"/>
          <w:sz w:val="22"/>
          <w:szCs w:val="22"/>
          <w:lang w:val="sv-SE"/>
        </w:rPr>
        <w:t>-batteri får man ut 95% av batteriets kapacitet innan det behöver laddas. Laddningen går också snabbare, på cirka 1-1,5 timmar laddas batteriet upp till full kapacitet.</w:t>
      </w: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1C0A43"/>
    <w:rsid w:val="00217258"/>
    <w:rsid w:val="00232B65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6F69-4874-4AB6-8C90-B64E5BD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2014-06-30T13:57:00Z</cp:lastPrinted>
  <dcterms:created xsi:type="dcterms:W3CDTF">2014-07-01T07:51:00Z</dcterms:created>
  <dcterms:modified xsi:type="dcterms:W3CDTF">2014-07-01T07:51:00Z</dcterms:modified>
</cp:coreProperties>
</file>