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3" w:rsidRDefault="002B3813">
      <w:pPr>
        <w:tabs>
          <w:tab w:val="left" w:pos="4680"/>
        </w:tabs>
        <w:spacing w:line="240" w:lineRule="auto"/>
        <w:ind w:left="5368" w:hangingChars="2440" w:hanging="5368"/>
        <w:jc w:val="left"/>
        <w:rPr>
          <w:rStyle w:val="Hyperlnk"/>
          <w:sz w:val="22"/>
          <w:lang w:val="fr-FR"/>
        </w:rPr>
      </w:pPr>
    </w:p>
    <w:p w:rsidR="00F135E4" w:rsidRPr="00F810CC" w:rsidRDefault="00F135E4" w:rsidP="00772C9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4"/>
          <w:lang w:val="sv-SE"/>
        </w:rPr>
      </w:pPr>
      <w:r w:rsidRPr="00F810CC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ZTE </w:t>
      </w:r>
      <w:r w:rsidR="00F57FE5">
        <w:rPr>
          <w:rFonts w:ascii="Arial" w:hAnsi="Arial" w:cs="Arial"/>
          <w:b/>
          <w:color w:val="000000"/>
          <w:kern w:val="0"/>
          <w:sz w:val="24"/>
          <w:lang w:val="sv-SE"/>
        </w:rPr>
        <w:t>tar sig in på andraplats</w:t>
      </w:r>
      <w:r w:rsidR="00477DBB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 på globala IPTV marknaden</w:t>
      </w:r>
      <w:r w:rsidR="00361BE5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 </w:t>
      </w:r>
    </w:p>
    <w:p w:rsidR="00ED4D36" w:rsidRDefault="00ED4D36" w:rsidP="00294CFD">
      <w:pPr>
        <w:rPr>
          <w:rFonts w:ascii="Arial" w:hAnsi="Arial" w:cs="Arial"/>
          <w:b/>
          <w:color w:val="000000"/>
          <w:kern w:val="0"/>
          <w:sz w:val="24"/>
          <w:lang w:val="sv-SE"/>
        </w:rPr>
      </w:pPr>
    </w:p>
    <w:p w:rsidR="00294CFD" w:rsidRDefault="004A0C37" w:rsidP="00294CF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Den </w:t>
      </w:r>
      <w:r w:rsidR="008A4B49">
        <w:rPr>
          <w:rFonts w:ascii="Arial" w:hAnsi="Arial" w:cs="Arial"/>
          <w:b/>
          <w:sz w:val="22"/>
          <w:szCs w:val="22"/>
          <w:lang w:val="sv-SE"/>
        </w:rPr>
        <w:t>12</w:t>
      </w:r>
      <w:r w:rsidR="00F135E4">
        <w:rPr>
          <w:rFonts w:ascii="Arial" w:hAnsi="Arial" w:cs="Arial"/>
          <w:b/>
          <w:sz w:val="22"/>
          <w:szCs w:val="22"/>
          <w:lang w:val="sv-SE"/>
        </w:rPr>
        <w:t xml:space="preserve"> juli</w:t>
      </w:r>
      <w:r w:rsidR="00294CFD" w:rsidRPr="007D1646">
        <w:rPr>
          <w:rFonts w:ascii="Arial" w:hAnsi="Arial" w:cs="Arial"/>
          <w:b/>
          <w:sz w:val="22"/>
          <w:szCs w:val="22"/>
          <w:lang w:val="sv-SE"/>
        </w:rPr>
        <w:t xml:space="preserve"> 2013 </w:t>
      </w:r>
      <w:r w:rsidR="00294CFD" w:rsidRPr="007D1646">
        <w:rPr>
          <w:rFonts w:ascii="Arial" w:hAnsi="Arial" w:cs="Arial"/>
          <w:sz w:val="22"/>
          <w:szCs w:val="22"/>
          <w:lang w:val="sv-SE"/>
        </w:rPr>
        <w:t xml:space="preserve">– </w:t>
      </w:r>
      <w:r w:rsidR="00F135E4">
        <w:rPr>
          <w:rFonts w:ascii="Arial" w:hAnsi="Arial" w:cs="Arial"/>
          <w:sz w:val="22"/>
          <w:szCs w:val="22"/>
          <w:lang w:val="sv-SE"/>
        </w:rPr>
        <w:t xml:space="preserve">ZTE </w:t>
      </w:r>
      <w:r w:rsidR="00477DBB">
        <w:rPr>
          <w:rFonts w:ascii="Arial" w:hAnsi="Arial" w:cs="Arial"/>
          <w:sz w:val="22"/>
          <w:szCs w:val="22"/>
          <w:lang w:val="sv-SE"/>
        </w:rPr>
        <w:t>ranka</w:t>
      </w:r>
      <w:r w:rsidR="006E7F95">
        <w:rPr>
          <w:rFonts w:ascii="Arial" w:hAnsi="Arial" w:cs="Arial"/>
          <w:sz w:val="22"/>
          <w:szCs w:val="22"/>
          <w:lang w:val="sv-SE"/>
        </w:rPr>
        <w:t>s</w:t>
      </w:r>
      <w:r w:rsidR="00477DBB">
        <w:rPr>
          <w:rFonts w:ascii="Arial" w:hAnsi="Arial" w:cs="Arial"/>
          <w:sz w:val="22"/>
          <w:szCs w:val="22"/>
          <w:lang w:val="sv-SE"/>
        </w:rPr>
        <w:t xml:space="preserve"> nu som två</w:t>
      </w:r>
      <w:r w:rsidR="006E7F95">
        <w:rPr>
          <w:rFonts w:ascii="Arial" w:hAnsi="Arial" w:cs="Arial"/>
          <w:sz w:val="22"/>
          <w:szCs w:val="22"/>
          <w:lang w:val="sv-SE"/>
        </w:rPr>
        <w:t>a på den globala IPTV marknaden. Det</w:t>
      </w:r>
      <w:r w:rsidR="00477DBB">
        <w:rPr>
          <w:rFonts w:ascii="Arial" w:hAnsi="Arial" w:cs="Arial"/>
          <w:sz w:val="22"/>
          <w:szCs w:val="22"/>
          <w:lang w:val="sv-SE"/>
        </w:rPr>
        <w:t xml:space="preserve"> visar Market </w:t>
      </w:r>
      <w:proofErr w:type="spellStart"/>
      <w:r w:rsidR="00477DBB">
        <w:rPr>
          <w:rFonts w:ascii="Arial" w:hAnsi="Arial" w:cs="Arial"/>
          <w:sz w:val="22"/>
          <w:szCs w:val="22"/>
          <w:lang w:val="sv-SE"/>
        </w:rPr>
        <w:t>Leader</w:t>
      </w:r>
      <w:proofErr w:type="spellEnd"/>
      <w:r w:rsidR="00477DBB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477DBB">
        <w:rPr>
          <w:rFonts w:ascii="Arial" w:hAnsi="Arial" w:cs="Arial"/>
          <w:sz w:val="22"/>
          <w:szCs w:val="22"/>
          <w:lang w:val="sv-SE"/>
        </w:rPr>
        <w:t>Report</w:t>
      </w:r>
      <w:proofErr w:type="spellEnd"/>
      <w:r w:rsidR="006E7F95">
        <w:rPr>
          <w:rStyle w:val="Fotnotsreferens"/>
          <w:rFonts w:ascii="Arial" w:hAnsi="Arial" w:cs="Arial"/>
          <w:sz w:val="22"/>
          <w:szCs w:val="22"/>
          <w:lang w:val="sv-SE"/>
        </w:rPr>
        <w:footnoteReference w:id="1"/>
      </w:r>
      <w:r w:rsidR="00477DBB">
        <w:rPr>
          <w:rFonts w:ascii="Arial" w:hAnsi="Arial" w:cs="Arial"/>
          <w:sz w:val="22"/>
          <w:szCs w:val="22"/>
          <w:lang w:val="sv-SE"/>
        </w:rPr>
        <w:t xml:space="preserve"> </w:t>
      </w:r>
      <w:r w:rsidR="00AC179F">
        <w:rPr>
          <w:rFonts w:ascii="Arial" w:hAnsi="Arial" w:cs="Arial"/>
          <w:sz w:val="22"/>
          <w:szCs w:val="22"/>
          <w:lang w:val="sv-SE"/>
        </w:rPr>
        <w:t xml:space="preserve">från Multimedia Research Group (MRG) </w:t>
      </w:r>
      <w:r w:rsidR="00477DBB">
        <w:rPr>
          <w:rFonts w:ascii="Arial" w:hAnsi="Arial" w:cs="Arial"/>
          <w:sz w:val="22"/>
          <w:szCs w:val="22"/>
          <w:lang w:val="sv-SE"/>
        </w:rPr>
        <w:t xml:space="preserve">som undersökt 100 IPTV leverantörer </w:t>
      </w:r>
      <w:r w:rsidR="00F57FE5">
        <w:rPr>
          <w:rFonts w:ascii="Arial" w:hAnsi="Arial" w:cs="Arial"/>
          <w:sz w:val="22"/>
          <w:szCs w:val="22"/>
          <w:lang w:val="sv-SE"/>
        </w:rPr>
        <w:t>av</w:t>
      </w:r>
      <w:r w:rsidR="00477DBB">
        <w:rPr>
          <w:rFonts w:ascii="Arial" w:hAnsi="Arial" w:cs="Arial"/>
          <w:sz w:val="22"/>
          <w:szCs w:val="22"/>
          <w:lang w:val="sv-SE"/>
        </w:rPr>
        <w:t xml:space="preserve"> hård</w:t>
      </w:r>
      <w:r w:rsidR="00F57FE5">
        <w:rPr>
          <w:rFonts w:ascii="Arial" w:hAnsi="Arial" w:cs="Arial"/>
          <w:sz w:val="22"/>
          <w:szCs w:val="22"/>
          <w:lang w:val="sv-SE"/>
        </w:rPr>
        <w:t>-</w:t>
      </w:r>
      <w:r w:rsidR="00477DBB">
        <w:rPr>
          <w:rFonts w:ascii="Arial" w:hAnsi="Arial" w:cs="Arial"/>
          <w:sz w:val="22"/>
          <w:szCs w:val="22"/>
          <w:lang w:val="sv-SE"/>
        </w:rPr>
        <w:t xml:space="preserve"> och mjukvara, </w:t>
      </w:r>
      <w:r w:rsidR="006E7F95">
        <w:rPr>
          <w:rFonts w:ascii="Arial" w:hAnsi="Arial" w:cs="Arial"/>
          <w:sz w:val="22"/>
          <w:szCs w:val="22"/>
          <w:lang w:val="sv-SE"/>
        </w:rPr>
        <w:t xml:space="preserve">och som nu </w:t>
      </w:r>
      <w:r w:rsidR="00477DBB">
        <w:rPr>
          <w:rFonts w:ascii="Arial" w:hAnsi="Arial" w:cs="Arial"/>
          <w:sz w:val="22"/>
          <w:szCs w:val="22"/>
          <w:lang w:val="sv-SE"/>
        </w:rPr>
        <w:t xml:space="preserve">rankar ZTE som global tvåa inom tre olika produktkategorier. </w:t>
      </w:r>
    </w:p>
    <w:p w:rsidR="00477DBB" w:rsidRDefault="00477DBB" w:rsidP="00294CFD">
      <w:pPr>
        <w:rPr>
          <w:rFonts w:ascii="Arial" w:hAnsi="Arial" w:cs="Arial"/>
          <w:sz w:val="22"/>
          <w:szCs w:val="22"/>
          <w:lang w:val="sv-SE"/>
        </w:rPr>
      </w:pPr>
    </w:p>
    <w:p w:rsidR="00477DBB" w:rsidRDefault="00477DBB" w:rsidP="00294CF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ZTE tar pallplats avseende</w:t>
      </w:r>
      <w:r w:rsidR="008855CC">
        <w:rPr>
          <w:rFonts w:ascii="Arial" w:hAnsi="Arial" w:cs="Arial"/>
          <w:sz w:val="22"/>
          <w:szCs w:val="22"/>
          <w:lang w:val="sv-SE"/>
        </w:rPr>
        <w:t xml:space="preserve"> (marknadsandel inom pare</w:t>
      </w:r>
      <w:bookmarkStart w:id="0" w:name="_GoBack"/>
      <w:bookmarkEnd w:id="0"/>
      <w:r w:rsidR="006E7F95">
        <w:rPr>
          <w:rFonts w:ascii="Arial" w:hAnsi="Arial" w:cs="Arial"/>
          <w:sz w:val="22"/>
          <w:szCs w:val="22"/>
          <w:lang w:val="sv-SE"/>
        </w:rPr>
        <w:t>ntes)</w:t>
      </w:r>
      <w:r>
        <w:rPr>
          <w:rFonts w:ascii="Arial" w:hAnsi="Arial" w:cs="Arial"/>
          <w:sz w:val="22"/>
          <w:szCs w:val="22"/>
          <w:lang w:val="sv-SE"/>
        </w:rPr>
        <w:t>:</w:t>
      </w:r>
    </w:p>
    <w:p w:rsidR="00477DBB" w:rsidRDefault="006E7F95" w:rsidP="00477DBB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Video On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Demand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(11,3%)</w:t>
      </w:r>
    </w:p>
    <w:p w:rsidR="00477DBB" w:rsidRDefault="006E7F95" w:rsidP="00477DBB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Middleware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(18,3%)</w:t>
      </w:r>
    </w:p>
    <w:p w:rsidR="00477DBB" w:rsidRPr="00477DBB" w:rsidRDefault="006E7F95" w:rsidP="00477DBB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STB</w:t>
      </w:r>
      <w:r w:rsidR="00AC179F">
        <w:rPr>
          <w:rFonts w:ascii="Arial" w:hAnsi="Arial" w:cs="Arial"/>
          <w:sz w:val="22"/>
          <w:szCs w:val="22"/>
          <w:lang w:val="sv-SE"/>
        </w:rPr>
        <w:t xml:space="preserve"> (Set-Top-</w:t>
      </w:r>
      <w:proofErr w:type="spellStart"/>
      <w:r w:rsidR="00AC179F">
        <w:rPr>
          <w:rFonts w:ascii="Arial" w:hAnsi="Arial" w:cs="Arial"/>
          <w:sz w:val="22"/>
          <w:szCs w:val="22"/>
          <w:lang w:val="sv-SE"/>
        </w:rPr>
        <w:t>Boxes</w:t>
      </w:r>
      <w:proofErr w:type="spellEnd"/>
      <w:r w:rsidR="00AC179F">
        <w:rPr>
          <w:rFonts w:ascii="Arial" w:hAnsi="Arial" w:cs="Arial"/>
          <w:sz w:val="22"/>
          <w:szCs w:val="22"/>
          <w:lang w:val="sv-SE"/>
        </w:rPr>
        <w:t>)</w:t>
      </w:r>
      <w:r>
        <w:rPr>
          <w:rFonts w:ascii="Arial" w:hAnsi="Arial" w:cs="Arial"/>
          <w:sz w:val="22"/>
          <w:szCs w:val="22"/>
          <w:lang w:val="sv-SE"/>
        </w:rPr>
        <w:t xml:space="preserve"> (18,1%)</w:t>
      </w:r>
    </w:p>
    <w:p w:rsidR="006E7F95" w:rsidRDefault="006E7F95" w:rsidP="00294CFD">
      <w:pPr>
        <w:rPr>
          <w:rFonts w:ascii="Arial" w:hAnsi="Arial" w:cs="Arial"/>
          <w:sz w:val="22"/>
          <w:szCs w:val="22"/>
          <w:lang w:val="sv-SE"/>
        </w:rPr>
      </w:pPr>
    </w:p>
    <w:p w:rsidR="006E7F95" w:rsidRDefault="006E7F95" w:rsidP="00294CF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ZTE har hittills byggt 48 kommersiella IPTV </w:t>
      </w:r>
      <w:r w:rsidR="00AC179F">
        <w:rPr>
          <w:rFonts w:ascii="Arial" w:hAnsi="Arial" w:cs="Arial"/>
          <w:sz w:val="22"/>
          <w:szCs w:val="22"/>
          <w:lang w:val="sv-SE"/>
        </w:rPr>
        <w:t xml:space="preserve">nät </w:t>
      </w:r>
      <w:r>
        <w:rPr>
          <w:rFonts w:ascii="Arial" w:hAnsi="Arial" w:cs="Arial"/>
          <w:sz w:val="22"/>
          <w:szCs w:val="22"/>
          <w:lang w:val="sv-SE"/>
        </w:rPr>
        <w:t xml:space="preserve">med en kapacitet på drygt 20 miljoner användare. </w:t>
      </w:r>
      <w:r w:rsidR="009A373B">
        <w:rPr>
          <w:rFonts w:ascii="Arial" w:hAnsi="Arial" w:cs="Arial"/>
          <w:sz w:val="22"/>
          <w:szCs w:val="22"/>
          <w:lang w:val="sv-SE"/>
        </w:rPr>
        <w:t xml:space="preserve">Bolaget </w:t>
      </w:r>
      <w:r w:rsidR="007117A1">
        <w:rPr>
          <w:rFonts w:ascii="Arial" w:hAnsi="Arial" w:cs="Arial"/>
          <w:sz w:val="22"/>
          <w:szCs w:val="22"/>
          <w:lang w:val="sv-SE"/>
        </w:rPr>
        <w:t>tillhandahåller</w:t>
      </w:r>
      <w:r w:rsidR="009A373B">
        <w:rPr>
          <w:rFonts w:ascii="Arial" w:hAnsi="Arial" w:cs="Arial"/>
          <w:sz w:val="22"/>
          <w:szCs w:val="22"/>
          <w:lang w:val="sv-SE"/>
        </w:rPr>
        <w:t xml:space="preserve"> funktioner som tillåter a</w:t>
      </w:r>
      <w:r w:rsidR="00F57FE5">
        <w:rPr>
          <w:rFonts w:ascii="Arial" w:hAnsi="Arial" w:cs="Arial"/>
          <w:sz w:val="22"/>
          <w:szCs w:val="22"/>
          <w:lang w:val="sv-SE"/>
        </w:rPr>
        <w:t xml:space="preserve">nslutning till sociala nätverk och </w:t>
      </w:r>
      <w:r w:rsidR="009A373B">
        <w:rPr>
          <w:rFonts w:ascii="Arial" w:hAnsi="Arial" w:cs="Arial"/>
          <w:sz w:val="22"/>
          <w:szCs w:val="22"/>
          <w:lang w:val="sv-SE"/>
        </w:rPr>
        <w:t>videositer, videotelefon</w:t>
      </w:r>
      <w:r w:rsidR="00AC179F">
        <w:rPr>
          <w:rFonts w:ascii="Arial" w:hAnsi="Arial" w:cs="Arial"/>
          <w:sz w:val="22"/>
          <w:szCs w:val="22"/>
          <w:lang w:val="sv-SE"/>
        </w:rPr>
        <w:t>i</w:t>
      </w:r>
      <w:r w:rsidR="009A373B">
        <w:rPr>
          <w:rFonts w:ascii="Arial" w:hAnsi="Arial" w:cs="Arial"/>
          <w:sz w:val="22"/>
          <w:szCs w:val="22"/>
          <w:lang w:val="sv-SE"/>
        </w:rPr>
        <w:t xml:space="preserve"> och åtkomst till </w:t>
      </w:r>
      <w:proofErr w:type="spellStart"/>
      <w:r w:rsidR="009A373B">
        <w:rPr>
          <w:rFonts w:ascii="Arial" w:hAnsi="Arial" w:cs="Arial"/>
          <w:sz w:val="22"/>
          <w:szCs w:val="22"/>
          <w:lang w:val="sv-SE"/>
        </w:rPr>
        <w:t>app</w:t>
      </w:r>
      <w:proofErr w:type="spellEnd"/>
      <w:r w:rsidR="009A373B">
        <w:rPr>
          <w:rFonts w:ascii="Arial" w:hAnsi="Arial" w:cs="Arial"/>
          <w:sz w:val="22"/>
          <w:szCs w:val="22"/>
          <w:lang w:val="sv-SE"/>
        </w:rPr>
        <w:t xml:space="preserve">-butiker </w:t>
      </w:r>
      <w:r w:rsidR="00F57FE5">
        <w:rPr>
          <w:rFonts w:ascii="Arial" w:hAnsi="Arial" w:cs="Arial"/>
          <w:sz w:val="22"/>
          <w:szCs w:val="22"/>
          <w:lang w:val="sv-SE"/>
        </w:rPr>
        <w:t>på nätet</w:t>
      </w:r>
      <w:r w:rsidR="009A373B">
        <w:rPr>
          <w:rFonts w:ascii="Arial" w:hAnsi="Arial" w:cs="Arial"/>
          <w:sz w:val="22"/>
          <w:szCs w:val="22"/>
          <w:lang w:val="sv-SE"/>
        </w:rPr>
        <w:t xml:space="preserve">. Med dessa funktioner vill man ge </w:t>
      </w:r>
      <w:r w:rsidR="00AC179F">
        <w:rPr>
          <w:rFonts w:ascii="Arial" w:hAnsi="Arial" w:cs="Arial"/>
          <w:sz w:val="22"/>
          <w:szCs w:val="22"/>
          <w:lang w:val="sv-SE"/>
        </w:rPr>
        <w:t>bredbands</w:t>
      </w:r>
      <w:r w:rsidR="009A373B">
        <w:rPr>
          <w:rFonts w:ascii="Arial" w:hAnsi="Arial" w:cs="Arial"/>
          <w:sz w:val="22"/>
          <w:szCs w:val="22"/>
          <w:lang w:val="sv-SE"/>
        </w:rPr>
        <w:t>operatörer</w:t>
      </w:r>
      <w:r w:rsidR="00F57FE5">
        <w:rPr>
          <w:rFonts w:ascii="Arial" w:hAnsi="Arial" w:cs="Arial"/>
          <w:sz w:val="22"/>
          <w:szCs w:val="22"/>
          <w:lang w:val="sv-SE"/>
        </w:rPr>
        <w:t>na en</w:t>
      </w:r>
      <w:r w:rsidR="009A373B">
        <w:rPr>
          <w:rFonts w:ascii="Arial" w:hAnsi="Arial" w:cs="Arial"/>
          <w:sz w:val="22"/>
          <w:szCs w:val="22"/>
          <w:lang w:val="sv-SE"/>
        </w:rPr>
        <w:t xml:space="preserve"> möjlighet att </w:t>
      </w:r>
      <w:r w:rsidR="00F57FE5">
        <w:rPr>
          <w:rFonts w:ascii="Arial" w:hAnsi="Arial" w:cs="Arial"/>
          <w:sz w:val="22"/>
          <w:szCs w:val="22"/>
          <w:lang w:val="sv-SE"/>
        </w:rPr>
        <w:t>konkurrera</w:t>
      </w:r>
      <w:r w:rsidR="009A373B">
        <w:rPr>
          <w:rFonts w:ascii="Arial" w:hAnsi="Arial" w:cs="Arial"/>
          <w:sz w:val="22"/>
          <w:szCs w:val="22"/>
          <w:lang w:val="sv-SE"/>
        </w:rPr>
        <w:t xml:space="preserve"> med OTT</w:t>
      </w:r>
      <w:r w:rsidR="00AC179F">
        <w:rPr>
          <w:rFonts w:ascii="Arial" w:hAnsi="Arial" w:cs="Arial"/>
          <w:sz w:val="22"/>
          <w:szCs w:val="22"/>
          <w:lang w:val="sv-SE"/>
        </w:rPr>
        <w:t xml:space="preserve"> (over-the-</w:t>
      </w:r>
      <w:proofErr w:type="spellStart"/>
      <w:r w:rsidR="00AC179F">
        <w:rPr>
          <w:rFonts w:ascii="Arial" w:hAnsi="Arial" w:cs="Arial"/>
          <w:sz w:val="22"/>
          <w:szCs w:val="22"/>
          <w:lang w:val="sv-SE"/>
        </w:rPr>
        <w:t>top</w:t>
      </w:r>
      <w:proofErr w:type="spellEnd"/>
      <w:r w:rsidR="00AC179F">
        <w:rPr>
          <w:rFonts w:ascii="Arial" w:hAnsi="Arial" w:cs="Arial"/>
          <w:sz w:val="22"/>
          <w:szCs w:val="22"/>
          <w:lang w:val="sv-SE"/>
        </w:rPr>
        <w:t>)</w:t>
      </w:r>
      <w:r w:rsidR="009A373B">
        <w:rPr>
          <w:rFonts w:ascii="Arial" w:hAnsi="Arial" w:cs="Arial"/>
          <w:sz w:val="22"/>
          <w:szCs w:val="22"/>
          <w:lang w:val="sv-SE"/>
        </w:rPr>
        <w:t xml:space="preserve"> TV och göra IPTV STB till hemmets underhållningscenter. </w:t>
      </w:r>
    </w:p>
    <w:p w:rsidR="006E7F95" w:rsidRDefault="006E7F95" w:rsidP="00294CFD">
      <w:pPr>
        <w:rPr>
          <w:rFonts w:ascii="Arial" w:hAnsi="Arial" w:cs="Arial"/>
          <w:sz w:val="22"/>
          <w:szCs w:val="22"/>
          <w:lang w:val="sv-SE"/>
        </w:rPr>
      </w:pPr>
    </w:p>
    <w:p w:rsidR="00772C97" w:rsidRPr="00893FB5" w:rsidRDefault="006E7F95" w:rsidP="00294CFD">
      <w:pPr>
        <w:rPr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”Vi är jätteglada för denna oberoende värdering av våra insatser och kommer fortsätta att leverera öppna, innovativa, integrerade och kostnadseffektiva lösningar till våra </w:t>
      </w:r>
      <w:r w:rsidR="007117A1">
        <w:rPr>
          <w:rFonts w:ascii="Arial" w:hAnsi="Arial" w:cs="Arial"/>
          <w:sz w:val="22"/>
          <w:szCs w:val="22"/>
          <w:lang w:val="sv-SE"/>
        </w:rPr>
        <w:t>kunder</w:t>
      </w:r>
      <w:r>
        <w:rPr>
          <w:rFonts w:ascii="Arial" w:hAnsi="Arial" w:cs="Arial"/>
          <w:sz w:val="22"/>
          <w:szCs w:val="22"/>
          <w:lang w:val="sv-SE"/>
        </w:rPr>
        <w:t>”</w:t>
      </w:r>
      <w:r w:rsidR="007117A1">
        <w:rPr>
          <w:rFonts w:ascii="Arial" w:hAnsi="Arial" w:cs="Arial"/>
          <w:sz w:val="22"/>
          <w:szCs w:val="22"/>
          <w:lang w:val="sv-SE"/>
        </w:rPr>
        <w:t xml:space="preserve">, </w:t>
      </w:r>
      <w:r>
        <w:rPr>
          <w:rFonts w:ascii="Arial" w:hAnsi="Arial" w:cs="Arial"/>
          <w:sz w:val="22"/>
          <w:szCs w:val="22"/>
          <w:lang w:val="sv-SE"/>
        </w:rPr>
        <w:t xml:space="preserve">säger </w:t>
      </w:r>
      <w:r w:rsidR="00FD5AC3">
        <w:rPr>
          <w:rFonts w:ascii="Arial" w:hAnsi="Arial" w:cs="Arial"/>
          <w:sz w:val="22"/>
          <w:szCs w:val="22"/>
          <w:lang w:val="sv-SE"/>
        </w:rPr>
        <w:t>Magnus Isaksson, CTO för Norden</w:t>
      </w:r>
      <w:r>
        <w:rPr>
          <w:rFonts w:ascii="Arial" w:hAnsi="Arial" w:cs="Arial"/>
          <w:sz w:val="22"/>
          <w:szCs w:val="22"/>
          <w:lang w:val="sv-SE"/>
        </w:rPr>
        <w:t xml:space="preserve"> på ZTE. </w:t>
      </w:r>
      <w:r w:rsidR="00A35185">
        <w:rPr>
          <w:rFonts w:ascii="Arial" w:hAnsi="Arial" w:cs="Arial"/>
          <w:sz w:val="22"/>
          <w:szCs w:val="22"/>
          <w:lang w:val="sv-SE"/>
        </w:rPr>
        <w:br/>
      </w:r>
      <w:r w:rsidR="007117A1">
        <w:rPr>
          <w:lang w:val="sv-SE"/>
        </w:rPr>
        <w:br/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b/>
          <w:sz w:val="20"/>
          <w:szCs w:val="20"/>
          <w:lang w:val="sv-SE"/>
        </w:rPr>
      </w:pPr>
      <w:r w:rsidRPr="00AF2773">
        <w:rPr>
          <w:rFonts w:ascii="Arial" w:eastAsia="Calibri" w:hAnsi="Arial" w:cs="Arial"/>
          <w:b/>
          <w:sz w:val="20"/>
          <w:szCs w:val="20"/>
          <w:lang w:val="sv-SE"/>
        </w:rPr>
        <w:t>Mer information:</w:t>
      </w:r>
    </w:p>
    <w:p w:rsidR="007217F7" w:rsidRPr="00AF2773" w:rsidRDefault="00772C9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>
        <w:rPr>
          <w:rFonts w:ascii="Arial" w:eastAsia="Calibri" w:hAnsi="Arial" w:cs="Arial"/>
          <w:sz w:val="20"/>
          <w:szCs w:val="20"/>
          <w:lang w:val="sv-SE"/>
        </w:rPr>
        <w:t>Lina Perdius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>AxiCom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 xml:space="preserve">Mobil: </w:t>
      </w:r>
      <w:r w:rsidR="00772C97">
        <w:rPr>
          <w:rFonts w:ascii="Arial" w:eastAsia="Calibri" w:hAnsi="Arial" w:cs="Arial"/>
          <w:sz w:val="20"/>
          <w:szCs w:val="20"/>
          <w:lang w:val="sv-SE"/>
        </w:rPr>
        <w:t>070 018 78 75</w:t>
      </w:r>
    </w:p>
    <w:p w:rsidR="007217F7" w:rsidRDefault="00772C97" w:rsidP="007217F7">
      <w:pPr>
        <w:snapToGrid w:val="0"/>
        <w:contextualSpacing/>
        <w:rPr>
          <w:rStyle w:val="Hyperlnk"/>
          <w:rFonts w:ascii="Arial" w:eastAsia="Calibri" w:hAnsi="Arial" w:cs="Arial"/>
          <w:sz w:val="20"/>
          <w:szCs w:val="20"/>
          <w:lang w:val="sv-SE"/>
        </w:rPr>
      </w:pPr>
      <w:r>
        <w:rPr>
          <w:rFonts w:ascii="Arial" w:eastAsia="Calibri" w:hAnsi="Arial" w:cs="Arial"/>
          <w:sz w:val="20"/>
          <w:szCs w:val="20"/>
          <w:lang w:val="sv-SE"/>
        </w:rPr>
        <w:t>Mejl:</w:t>
      </w:r>
      <w:r w:rsidR="007117A1">
        <w:rPr>
          <w:rFonts w:ascii="Arial" w:eastAsia="Calibri" w:hAnsi="Arial" w:cs="Arial"/>
          <w:sz w:val="20"/>
          <w:szCs w:val="20"/>
          <w:lang w:val="sv-SE"/>
        </w:rPr>
        <w:t xml:space="preserve"> </w:t>
      </w:r>
      <w:hyperlink r:id="rId9" w:history="1">
        <w:r w:rsidR="007117A1" w:rsidRPr="008C2FC4">
          <w:rPr>
            <w:rStyle w:val="Hyperlnk"/>
            <w:rFonts w:ascii="Arial" w:eastAsia="Calibri" w:hAnsi="Arial" w:cs="Arial"/>
            <w:sz w:val="20"/>
            <w:szCs w:val="20"/>
            <w:lang w:val="sv-SE"/>
          </w:rPr>
          <w:t>lina.perdius@axicom.com</w:t>
        </w:r>
      </w:hyperlink>
      <w:r w:rsidR="007117A1">
        <w:rPr>
          <w:rFonts w:ascii="Arial" w:eastAsia="Calibri" w:hAnsi="Arial" w:cs="Arial"/>
          <w:sz w:val="20"/>
          <w:szCs w:val="20"/>
          <w:lang w:val="sv-SE"/>
        </w:rPr>
        <w:t xml:space="preserve"> </w:t>
      </w:r>
    </w:p>
    <w:p w:rsidR="00772C97" w:rsidRDefault="00772C97" w:rsidP="00294CFD">
      <w:pPr>
        <w:rPr>
          <w:lang w:val="sv-SE"/>
        </w:rPr>
      </w:pP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sv-SE"/>
        </w:rPr>
      </w:pPr>
      <w:r>
        <w:rPr>
          <w:rFonts w:ascii="Arial" w:eastAsia="Calibri" w:hAnsi="Arial" w:cs="Arial"/>
          <w:b/>
          <w:sz w:val="20"/>
          <w:szCs w:val="20"/>
          <w:lang w:val="sv-SE"/>
        </w:rPr>
        <w:lastRenderedPageBreak/>
        <w:t>Om ZTE</w:t>
      </w: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sv-SE"/>
        </w:rPr>
        <w:t xml:space="preserve">ZTE är en börsnoterad global leverantör av telekommunikationsprodukter och nätverkslösningar. ZTE har den bredaste och mest omfattande produktportföljen i världen och täcker i princip vartenda segment för fasta nät, trådlösa nät, tjänster och terminaler. Företaget levererar innovativa specialanpassade produkter och tjänster till fler än 500 operatörer i fler än 140 länder och hjälper dem att åstadkomma kontinuerlig tillväxt av intäkter och bidrar till att forma hur världen kommunicerar i framtiden. ZTE ökade under 2010 omsättningen med 21 % till mer än 10.6 miljarder USD. ZTE avsätter drygt 10 procent av den årliga omsättningen för forskning och utveckling och har intagit en ledande ställning i flera internationella organisationer som utvecklar framtida telekomstandarder. Bolaget är för socialt ansvarstagande (CSR, </w:t>
      </w:r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Corporate Social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Responsibility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). ZTE är medlem i FNs Global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Compact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 initiativ som innebär att företaget följer tio utvalda principer vid utveckling och genomförande av CSR-projekt. ZTE är Kinas enda börsnoterade telekomleverantör. Aktierna handlas på börserna i Hong Kong och Shenzhen under koden </w:t>
      </w:r>
      <w:r>
        <w:rPr>
          <w:rFonts w:ascii="Arial" w:eastAsia="Calibri" w:hAnsi="Arial" w:cs="Arial"/>
          <w:sz w:val="20"/>
          <w:szCs w:val="20"/>
          <w:lang w:val="sv-SE"/>
        </w:rPr>
        <w:t>0763</w:t>
      </w:r>
      <w:proofErr w:type="gramStart"/>
      <w:r>
        <w:rPr>
          <w:rFonts w:ascii="Arial" w:eastAsia="Calibri" w:hAnsi="Arial" w:cs="Arial"/>
          <w:sz w:val="20"/>
          <w:szCs w:val="20"/>
          <w:lang w:val="sv-SE"/>
        </w:rPr>
        <w:t>.HK</w:t>
      </w:r>
      <w:proofErr w:type="gramEnd"/>
      <w:r>
        <w:rPr>
          <w:rFonts w:ascii="Arial" w:eastAsia="Calibri" w:hAnsi="Arial" w:cs="Arial"/>
          <w:sz w:val="20"/>
          <w:szCs w:val="20"/>
          <w:lang w:val="sv-SE"/>
        </w:rPr>
        <w:t xml:space="preserve"> (för H-aktier) och 000063.SZ (för A-aktier). </w:t>
      </w:r>
      <w:proofErr w:type="spellStart"/>
      <w:r>
        <w:rPr>
          <w:rFonts w:ascii="Arial" w:eastAsia="Calibri" w:hAnsi="Arial" w:cs="Arial"/>
          <w:sz w:val="20"/>
          <w:szCs w:val="20"/>
        </w:rPr>
        <w:t>Vänligen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besök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  <w:hyperlink r:id="rId10" w:tgtFrame="_blank" w:history="1">
        <w:r>
          <w:rPr>
            <w:rStyle w:val="Hyperlnk"/>
            <w:rFonts w:ascii="Arial" w:eastAsia="Calibri" w:hAnsi="Arial" w:cs="Arial"/>
            <w:sz w:val="20"/>
            <w:szCs w:val="20"/>
          </w:rPr>
          <w:t>www.zte.com.cn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44191F" w:rsidRDefault="0044191F" w:rsidP="00FA6E82">
      <w:pPr>
        <w:pStyle w:val="Body"/>
        <w:tabs>
          <w:tab w:val="left" w:pos="4018"/>
        </w:tabs>
      </w:pPr>
    </w:p>
    <w:p w:rsidR="002B3813" w:rsidRDefault="00802928" w:rsidP="0044191F">
      <w:pPr>
        <w:adjustRightInd w:val="0"/>
        <w:snapToGrid w:val="0"/>
        <w:rPr>
          <w:rFonts w:eastAsia="PMingLiU"/>
          <w:sz w:val="20"/>
          <w:szCs w:val="20"/>
          <w:lang w:eastAsia="zh-TW"/>
        </w:rPr>
      </w:pPr>
      <w:r w:rsidRPr="00802928">
        <w:rPr>
          <w:rFonts w:ascii="Arial" w:hAnsi="Arial" w:cs="Arial"/>
          <w:color w:val="0000FF"/>
          <w:sz w:val="20"/>
          <w:szCs w:val="20"/>
        </w:rPr>
        <w:t xml:space="preserve"> </w:t>
      </w:r>
    </w:p>
    <w:sectPr w:rsidR="002B3813" w:rsidSect="003350AB">
      <w:headerReference w:type="even" r:id="rId11"/>
      <w:headerReference w:type="default" r:id="rId12"/>
      <w:footerReference w:type="even" r:id="rId13"/>
      <w:pgSz w:w="11906" w:h="16838"/>
      <w:pgMar w:top="1714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A1" w:rsidRDefault="008F17A1">
      <w:r>
        <w:separator/>
      </w:r>
    </w:p>
  </w:endnote>
  <w:endnote w:type="continuationSeparator" w:id="0">
    <w:p w:rsidR="008F17A1" w:rsidRDefault="008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E5" w:rsidRDefault="002C1E1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57FE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57FE5" w:rsidRDefault="00F57FE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A1" w:rsidRDefault="008F17A1">
      <w:r>
        <w:separator/>
      </w:r>
    </w:p>
  </w:footnote>
  <w:footnote w:type="continuationSeparator" w:id="0">
    <w:p w:rsidR="008F17A1" w:rsidRDefault="008F17A1">
      <w:r>
        <w:continuationSeparator/>
      </w:r>
    </w:p>
  </w:footnote>
  <w:footnote w:id="1">
    <w:p w:rsidR="00F57FE5" w:rsidRPr="006E7F95" w:rsidRDefault="00F57FE5">
      <w:pPr>
        <w:pStyle w:val="Fotnotstext"/>
        <w:rPr>
          <w:rFonts w:ascii="Arial" w:hAnsi="Arial" w:cs="Arial"/>
          <w:sz w:val="18"/>
          <w:szCs w:val="18"/>
          <w:lang w:val="sv-SE"/>
        </w:rPr>
      </w:pPr>
      <w:r w:rsidRPr="006E7F95">
        <w:rPr>
          <w:rStyle w:val="Fotnotsreferens"/>
          <w:rFonts w:ascii="Arial" w:hAnsi="Arial" w:cs="Arial"/>
          <w:sz w:val="18"/>
          <w:szCs w:val="18"/>
        </w:rPr>
        <w:footnoteRef/>
      </w:r>
      <w:r w:rsidRPr="006E7F95">
        <w:rPr>
          <w:rFonts w:ascii="Arial" w:hAnsi="Arial" w:cs="Arial"/>
          <w:sz w:val="18"/>
          <w:szCs w:val="18"/>
          <w:lang w:val="sv-SE"/>
        </w:rPr>
        <w:t xml:space="preserve"> Undersökningen omfattar sex regioner: Nordamerika, Latinamerika, Västeuropa, Östeuropa, Asien samt Mellanöstern/Afrika.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E5" w:rsidRDefault="008855CC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$PowerPlusWaterMarkObject1" o:spid="_x0000_s2053" type="#_x0000_t136" style="position:absolute;left:0;text-align:left;margin-left:0;margin-top:0;width:520.4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E5" w:rsidRDefault="00F57FE5">
    <w:pPr>
      <w:pStyle w:val="Sidhuvud"/>
      <w:jc w:val="both"/>
      <w:rPr>
        <w:rFonts w:eastAsia="PMingLiU"/>
        <w:lang w:eastAsia="zh-TW"/>
      </w:rPr>
    </w:pPr>
    <w:r>
      <w:rPr>
        <w:rFonts w:ascii="SimSun" w:cs="SimSun" w:hint="eastAsia"/>
        <w:noProof/>
        <w:color w:val="000000"/>
        <w:kern w:val="0"/>
        <w:sz w:val="20"/>
        <w:szCs w:val="20"/>
        <w:lang w:val="sv-SE" w:eastAsia="sv-SE"/>
      </w:rPr>
      <w:drawing>
        <wp:inline distT="0" distB="0" distL="0" distR="0">
          <wp:extent cx="714375" cy="2476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imSun" w:hAnsi="SimSun" w:hint="eastAsia"/>
      </w:rPr>
      <w:t xml:space="preserve">                                       </w:t>
    </w:r>
    <w:r>
      <w:rPr>
        <w:rFonts w:eastAsia="SimHei"/>
        <w:b/>
        <w:sz w:val="24"/>
        <w:szCs w:val="24"/>
      </w:rPr>
      <w:t xml:space="preserve"> </w:t>
    </w:r>
    <w:r>
      <w:rPr>
        <w:rFonts w:eastAsia="PMingLiU" w:hint="eastAsia"/>
        <w:b/>
        <w:sz w:val="24"/>
        <w:szCs w:val="24"/>
        <w:lang w:eastAsia="zh-TW"/>
      </w:rPr>
      <w:t xml:space="preserve">      </w:t>
    </w:r>
    <w:r>
      <w:rPr>
        <w:rFonts w:hint="eastAsia"/>
        <w:b/>
        <w:sz w:val="24"/>
        <w:szCs w:val="24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36"/>
    <w:multiLevelType w:val="hybridMultilevel"/>
    <w:tmpl w:val="94003D40"/>
    <w:lvl w:ilvl="0" w:tplc="0CFA2D4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F1EC9"/>
    <w:multiLevelType w:val="hybridMultilevel"/>
    <w:tmpl w:val="9468E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1688"/>
    <w:multiLevelType w:val="hybridMultilevel"/>
    <w:tmpl w:val="857ECB64"/>
    <w:lvl w:ilvl="0" w:tplc="2F705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F51347C"/>
    <w:multiLevelType w:val="hybridMultilevel"/>
    <w:tmpl w:val="0DF2769E"/>
    <w:lvl w:ilvl="0" w:tplc="D4320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9"/>
    <w:rsid w:val="0001160E"/>
    <w:rsid w:val="00024782"/>
    <w:rsid w:val="00042789"/>
    <w:rsid w:val="000436A4"/>
    <w:rsid w:val="0005076E"/>
    <w:rsid w:val="00060FDB"/>
    <w:rsid w:val="0009597A"/>
    <w:rsid w:val="000B3C19"/>
    <w:rsid w:val="000E056C"/>
    <w:rsid w:val="00103048"/>
    <w:rsid w:val="001239B1"/>
    <w:rsid w:val="00131B9C"/>
    <w:rsid w:val="00137812"/>
    <w:rsid w:val="00144BEF"/>
    <w:rsid w:val="00150892"/>
    <w:rsid w:val="001A05BD"/>
    <w:rsid w:val="001D0E0E"/>
    <w:rsid w:val="001D6BFB"/>
    <w:rsid w:val="001F167F"/>
    <w:rsid w:val="001F2C97"/>
    <w:rsid w:val="001F3B2F"/>
    <w:rsid w:val="0020657A"/>
    <w:rsid w:val="0021245D"/>
    <w:rsid w:val="0022204F"/>
    <w:rsid w:val="00226938"/>
    <w:rsid w:val="0023047B"/>
    <w:rsid w:val="002342DC"/>
    <w:rsid w:val="00243077"/>
    <w:rsid w:val="0026753F"/>
    <w:rsid w:val="00294CFD"/>
    <w:rsid w:val="002B3813"/>
    <w:rsid w:val="002C1578"/>
    <w:rsid w:val="002C1E15"/>
    <w:rsid w:val="002D0357"/>
    <w:rsid w:val="002D24B7"/>
    <w:rsid w:val="002D46A0"/>
    <w:rsid w:val="002F4630"/>
    <w:rsid w:val="002F57A2"/>
    <w:rsid w:val="002F631A"/>
    <w:rsid w:val="002F76E9"/>
    <w:rsid w:val="00315F44"/>
    <w:rsid w:val="00316B17"/>
    <w:rsid w:val="0032462F"/>
    <w:rsid w:val="00331586"/>
    <w:rsid w:val="003350AB"/>
    <w:rsid w:val="003531A6"/>
    <w:rsid w:val="003531B9"/>
    <w:rsid w:val="00361BE5"/>
    <w:rsid w:val="003750A4"/>
    <w:rsid w:val="00386FAF"/>
    <w:rsid w:val="00392F05"/>
    <w:rsid w:val="003963FC"/>
    <w:rsid w:val="003A3FE9"/>
    <w:rsid w:val="003B199F"/>
    <w:rsid w:val="003C6662"/>
    <w:rsid w:val="003D67FC"/>
    <w:rsid w:val="004055C5"/>
    <w:rsid w:val="0044191F"/>
    <w:rsid w:val="00477DBB"/>
    <w:rsid w:val="00483926"/>
    <w:rsid w:val="004A0C37"/>
    <w:rsid w:val="004A10CC"/>
    <w:rsid w:val="004B15C4"/>
    <w:rsid w:val="004C7E36"/>
    <w:rsid w:val="004D06FC"/>
    <w:rsid w:val="004D140C"/>
    <w:rsid w:val="004E6404"/>
    <w:rsid w:val="004E65EE"/>
    <w:rsid w:val="00516C62"/>
    <w:rsid w:val="005176EF"/>
    <w:rsid w:val="005311BE"/>
    <w:rsid w:val="00537CC5"/>
    <w:rsid w:val="0055419F"/>
    <w:rsid w:val="00560201"/>
    <w:rsid w:val="00575AD6"/>
    <w:rsid w:val="00597977"/>
    <w:rsid w:val="005A464F"/>
    <w:rsid w:val="005B3DDF"/>
    <w:rsid w:val="005D6BBF"/>
    <w:rsid w:val="006301FE"/>
    <w:rsid w:val="00634C8C"/>
    <w:rsid w:val="00653C63"/>
    <w:rsid w:val="00664A2E"/>
    <w:rsid w:val="00682A17"/>
    <w:rsid w:val="006A4EC1"/>
    <w:rsid w:val="006E6BA5"/>
    <w:rsid w:val="006E7BBA"/>
    <w:rsid w:val="006E7F95"/>
    <w:rsid w:val="006F43BC"/>
    <w:rsid w:val="006F7CD9"/>
    <w:rsid w:val="007117A1"/>
    <w:rsid w:val="007217F7"/>
    <w:rsid w:val="0073368E"/>
    <w:rsid w:val="00772C97"/>
    <w:rsid w:val="00782B67"/>
    <w:rsid w:val="007838BA"/>
    <w:rsid w:val="0078755C"/>
    <w:rsid w:val="007B16F8"/>
    <w:rsid w:val="007B4A06"/>
    <w:rsid w:val="007B4C5C"/>
    <w:rsid w:val="007E03D6"/>
    <w:rsid w:val="007F0DD3"/>
    <w:rsid w:val="00802928"/>
    <w:rsid w:val="00806F24"/>
    <w:rsid w:val="008105E2"/>
    <w:rsid w:val="00810C33"/>
    <w:rsid w:val="008123FB"/>
    <w:rsid w:val="00825DBD"/>
    <w:rsid w:val="00850BD9"/>
    <w:rsid w:val="0086359A"/>
    <w:rsid w:val="00873741"/>
    <w:rsid w:val="00877653"/>
    <w:rsid w:val="00880EB9"/>
    <w:rsid w:val="008855CC"/>
    <w:rsid w:val="00893B78"/>
    <w:rsid w:val="00893FB5"/>
    <w:rsid w:val="008A30CF"/>
    <w:rsid w:val="008A4B49"/>
    <w:rsid w:val="008B4103"/>
    <w:rsid w:val="008D1BA3"/>
    <w:rsid w:val="008F17A1"/>
    <w:rsid w:val="00907995"/>
    <w:rsid w:val="00911BE5"/>
    <w:rsid w:val="00915779"/>
    <w:rsid w:val="00924638"/>
    <w:rsid w:val="00937287"/>
    <w:rsid w:val="00947ABD"/>
    <w:rsid w:val="00950F07"/>
    <w:rsid w:val="009615DF"/>
    <w:rsid w:val="0097424B"/>
    <w:rsid w:val="009810AE"/>
    <w:rsid w:val="009818E1"/>
    <w:rsid w:val="00981C18"/>
    <w:rsid w:val="00983DB8"/>
    <w:rsid w:val="009844B5"/>
    <w:rsid w:val="00994952"/>
    <w:rsid w:val="009A373B"/>
    <w:rsid w:val="009A4B44"/>
    <w:rsid w:val="009A74E9"/>
    <w:rsid w:val="009B0F5B"/>
    <w:rsid w:val="009B1A92"/>
    <w:rsid w:val="009B751F"/>
    <w:rsid w:val="009C4DD7"/>
    <w:rsid w:val="009F550B"/>
    <w:rsid w:val="00A04BAE"/>
    <w:rsid w:val="00A16E30"/>
    <w:rsid w:val="00A35185"/>
    <w:rsid w:val="00A372DE"/>
    <w:rsid w:val="00A37696"/>
    <w:rsid w:val="00A55762"/>
    <w:rsid w:val="00A6523B"/>
    <w:rsid w:val="00A807BC"/>
    <w:rsid w:val="00A812F9"/>
    <w:rsid w:val="00AC179F"/>
    <w:rsid w:val="00AC3C81"/>
    <w:rsid w:val="00AD28A1"/>
    <w:rsid w:val="00AD5FE4"/>
    <w:rsid w:val="00AE3F56"/>
    <w:rsid w:val="00B264C3"/>
    <w:rsid w:val="00B630C9"/>
    <w:rsid w:val="00B74A39"/>
    <w:rsid w:val="00B80A4B"/>
    <w:rsid w:val="00B815AA"/>
    <w:rsid w:val="00B854A1"/>
    <w:rsid w:val="00BA04DA"/>
    <w:rsid w:val="00BB763A"/>
    <w:rsid w:val="00BC52DA"/>
    <w:rsid w:val="00BE06E5"/>
    <w:rsid w:val="00C07053"/>
    <w:rsid w:val="00C07057"/>
    <w:rsid w:val="00C07831"/>
    <w:rsid w:val="00C24583"/>
    <w:rsid w:val="00C2771B"/>
    <w:rsid w:val="00C3153E"/>
    <w:rsid w:val="00C54C16"/>
    <w:rsid w:val="00C565A2"/>
    <w:rsid w:val="00C574E7"/>
    <w:rsid w:val="00C6573B"/>
    <w:rsid w:val="00C75018"/>
    <w:rsid w:val="00C96B60"/>
    <w:rsid w:val="00CA2E7E"/>
    <w:rsid w:val="00CA781F"/>
    <w:rsid w:val="00CB5438"/>
    <w:rsid w:val="00CC6C24"/>
    <w:rsid w:val="00CE2E48"/>
    <w:rsid w:val="00D22FAC"/>
    <w:rsid w:val="00D32FC9"/>
    <w:rsid w:val="00D365E9"/>
    <w:rsid w:val="00D70E80"/>
    <w:rsid w:val="00D8708C"/>
    <w:rsid w:val="00D93951"/>
    <w:rsid w:val="00DA0D7C"/>
    <w:rsid w:val="00DC1972"/>
    <w:rsid w:val="00DD6AE0"/>
    <w:rsid w:val="00DE6223"/>
    <w:rsid w:val="00DE624B"/>
    <w:rsid w:val="00DF2178"/>
    <w:rsid w:val="00DF2A3A"/>
    <w:rsid w:val="00E243BF"/>
    <w:rsid w:val="00E477F7"/>
    <w:rsid w:val="00E563E0"/>
    <w:rsid w:val="00E8433B"/>
    <w:rsid w:val="00EA5360"/>
    <w:rsid w:val="00EB120E"/>
    <w:rsid w:val="00ED4412"/>
    <w:rsid w:val="00ED4D36"/>
    <w:rsid w:val="00EE1907"/>
    <w:rsid w:val="00EE2B7D"/>
    <w:rsid w:val="00EE7BD8"/>
    <w:rsid w:val="00EF4A77"/>
    <w:rsid w:val="00F00F2A"/>
    <w:rsid w:val="00F135E4"/>
    <w:rsid w:val="00F142B5"/>
    <w:rsid w:val="00F17FE3"/>
    <w:rsid w:val="00F252EA"/>
    <w:rsid w:val="00F57FE5"/>
    <w:rsid w:val="00F810CC"/>
    <w:rsid w:val="00F8658B"/>
    <w:rsid w:val="00FA6E82"/>
    <w:rsid w:val="00FC313E"/>
    <w:rsid w:val="00FC4BD7"/>
    <w:rsid w:val="00FD55A3"/>
    <w:rsid w:val="00FD5AC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  <w:style w:type="paragraph" w:styleId="Liststycke">
    <w:name w:val="List Paragraph"/>
    <w:basedOn w:val="Normal"/>
    <w:uiPriority w:val="34"/>
    <w:qFormat/>
    <w:rsid w:val="00C6573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E7F9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7F95"/>
    <w:rPr>
      <w:kern w:val="2"/>
    </w:rPr>
  </w:style>
  <w:style w:type="character" w:styleId="Fotnotsreferens">
    <w:name w:val="footnote reference"/>
    <w:basedOn w:val="Standardstycketeckensnitt"/>
    <w:uiPriority w:val="99"/>
    <w:semiHidden/>
    <w:unhideWhenUsed/>
    <w:rsid w:val="006E7F95"/>
    <w:rPr>
      <w:vertAlign w:val="superscript"/>
    </w:rPr>
  </w:style>
  <w:style w:type="paragraph" w:styleId="Revision">
    <w:name w:val="Revision"/>
    <w:hidden/>
    <w:uiPriority w:val="99"/>
    <w:semiHidden/>
    <w:rsid w:val="00CB54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  <w:style w:type="paragraph" w:styleId="Liststycke">
    <w:name w:val="List Paragraph"/>
    <w:basedOn w:val="Normal"/>
    <w:uiPriority w:val="34"/>
    <w:qFormat/>
    <w:rsid w:val="00C6573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E7F9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7F95"/>
    <w:rPr>
      <w:kern w:val="2"/>
    </w:rPr>
  </w:style>
  <w:style w:type="character" w:styleId="Fotnotsreferens">
    <w:name w:val="footnote reference"/>
    <w:basedOn w:val="Standardstycketeckensnitt"/>
    <w:uiPriority w:val="99"/>
    <w:semiHidden/>
    <w:unhideWhenUsed/>
    <w:rsid w:val="006E7F95"/>
    <w:rPr>
      <w:vertAlign w:val="superscript"/>
    </w:rPr>
  </w:style>
  <w:style w:type="paragraph" w:styleId="Revision">
    <w:name w:val="Revision"/>
    <w:hidden/>
    <w:uiPriority w:val="99"/>
    <w:semiHidden/>
    <w:rsid w:val="00CB5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62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90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te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na.perdius@axicom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C146-DF2F-4E76-9C15-8E55E83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2169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3" baseType="lpstr">
      <vt:lpstr>ZTE Broadband Access Slashes OA&amp;M Cost with Easyservice and Aims for a Green Low-TCO Broadband Network</vt:lpstr>
      <vt:lpstr>ZTE Broadband Access Slashes OA&amp;M Cost with Easyservice and Aims for a Green Low-TCO Broadband Network</vt:lpstr>
      <vt:lpstr>ZTE Broadband Access Slashes OA&amp;M Cost with Easyservice and Aims for a Green Low-TCO Broadband Network</vt:lpstr>
    </vt:vector>
  </TitlesOfParts>
  <Company>HOME</Company>
  <LinksUpToDate>false</LinksUpToDate>
  <CharactersWithSpaces>2506</CharactersWithSpaces>
  <SharedDoc>false</SharedDoc>
  <HLinks>
    <vt:vector size="18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mailto:andres.vejarano@edelman.com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mailto:mark.lee@edelman.com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mailto:ma.gaili@zte.com.cn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ZTE Broadband Access Slashes OA&amp;M Cost with Easyservice and Aims for a Green Low-TCO Broadband Network</dc:title>
  <dc:creator>Lonnquist, Jenny</dc:creator>
  <cp:lastModifiedBy>Perdius, Lina</cp:lastModifiedBy>
  <cp:revision>7</cp:revision>
  <cp:lastPrinted>2013-05-20T06:18:00Z</cp:lastPrinted>
  <dcterms:created xsi:type="dcterms:W3CDTF">2013-07-11T15:09:00Z</dcterms:created>
  <dcterms:modified xsi:type="dcterms:W3CDTF">2013-07-11T15:21:00Z</dcterms:modified>
</cp:coreProperties>
</file>