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0A5D48" w14:textId="41085442" w:rsidR="007A3A2F" w:rsidRDefault="007A3A2F" w:rsidP="007A3A2F">
      <w:pPr>
        <w:pStyle w:val="titel"/>
        <w:rPr>
          <w:sz w:val="22"/>
          <w:szCs w:val="22"/>
        </w:rPr>
      </w:pPr>
      <w:r>
        <w:rPr>
          <w:sz w:val="22"/>
          <w:szCs w:val="22"/>
        </w:rPr>
        <w:t>GOETHEANUM</w:t>
      </w:r>
      <w:r>
        <w:rPr>
          <w:sz w:val="22"/>
          <w:szCs w:val="22"/>
        </w:rPr>
        <w:tab/>
      </w:r>
      <w:r w:rsidR="00B90BB3">
        <w:rPr>
          <w:sz w:val="22"/>
          <w:szCs w:val="22"/>
        </w:rPr>
        <w:t xml:space="preserve"> </w:t>
      </w:r>
      <w:r w:rsidR="0081275A">
        <w:rPr>
          <w:sz w:val="22"/>
          <w:szCs w:val="22"/>
        </w:rPr>
        <w:t>COMUNICACIÓN</w:t>
      </w:r>
    </w:p>
    <w:p w14:paraId="2CA980B4" w14:textId="77777777" w:rsidR="007A3A2F" w:rsidRDefault="007A3A2F" w:rsidP="007A3A2F">
      <w:pPr>
        <w:pStyle w:val="titel"/>
        <w:jc w:val="right"/>
        <w:rPr>
          <w:sz w:val="22"/>
          <w:szCs w:val="22"/>
        </w:rPr>
      </w:pPr>
    </w:p>
    <w:p w14:paraId="0C2A46E6" w14:textId="77777777" w:rsidR="001A72BB" w:rsidRDefault="001A72BB" w:rsidP="001A72BB">
      <w:pPr>
        <w:pStyle w:val="titel"/>
        <w:jc w:val="right"/>
        <w:rPr>
          <w:sz w:val="22"/>
          <w:szCs w:val="22"/>
        </w:rPr>
      </w:pPr>
      <w:r>
        <w:rPr>
          <w:sz w:val="22"/>
          <w:szCs w:val="22"/>
        </w:rPr>
        <w:tab/>
        <w:t>Goetheanum, Dornach, Suiza, el 23 de octubre de 2026</w:t>
      </w:r>
    </w:p>
    <w:p w14:paraId="4CEEA8FD" w14:textId="77777777" w:rsidR="001A72BB" w:rsidRDefault="001A72BB" w:rsidP="001A72BB">
      <w:pPr>
        <w:pStyle w:val="body"/>
      </w:pPr>
    </w:p>
    <w:p w14:paraId="7AD5DE07" w14:textId="77777777" w:rsidR="001A72BB" w:rsidRPr="001A72BB" w:rsidRDefault="001A72BB" w:rsidP="001A72BB">
      <w:pPr>
        <w:pStyle w:val="titel"/>
        <w:spacing w:before="57"/>
        <w:rPr>
          <w:b/>
          <w:bCs/>
          <w:sz w:val="28"/>
          <w:szCs w:val="28"/>
        </w:rPr>
      </w:pPr>
      <w:r w:rsidRPr="001A72BB">
        <w:rPr>
          <w:b/>
          <w:bCs/>
          <w:sz w:val="28"/>
          <w:szCs w:val="28"/>
        </w:rPr>
        <w:t>Entre adaptación, colaboración y resistencia</w:t>
      </w:r>
    </w:p>
    <w:p w14:paraId="79B3B6DD" w14:textId="77777777" w:rsidR="001A72BB" w:rsidRPr="001A72BB" w:rsidRDefault="001A72BB" w:rsidP="001A72BB">
      <w:pPr>
        <w:pStyle w:val="titel"/>
        <w:spacing w:before="57"/>
        <w:rPr>
          <w:b/>
          <w:bCs/>
          <w:sz w:val="24"/>
          <w:szCs w:val="24"/>
        </w:rPr>
      </w:pPr>
      <w:r w:rsidRPr="001A72BB">
        <w:rPr>
          <w:b/>
          <w:bCs/>
          <w:sz w:val="24"/>
          <w:szCs w:val="24"/>
        </w:rPr>
        <w:t>Conclusión del estudio ‹Medicina antroposófica en el nacionalsocialismo› con el volumen 3 ‹Psiquiatría Antroposófica y Pedagogía Curativa 1933-1945›</w:t>
      </w:r>
    </w:p>
    <w:p w14:paraId="7E7B33F1" w14:textId="77777777" w:rsidR="001A72BB" w:rsidRPr="001A72BB" w:rsidRDefault="001A72BB" w:rsidP="001A72BB">
      <w:pPr>
        <w:pStyle w:val="body"/>
        <w:rPr>
          <w:b/>
          <w:bCs/>
        </w:rPr>
      </w:pPr>
    </w:p>
    <w:p w14:paraId="5784A7E6" w14:textId="77777777" w:rsidR="001A72BB" w:rsidRPr="001A72BB" w:rsidRDefault="001A72BB" w:rsidP="001A72BB">
      <w:pPr>
        <w:pStyle w:val="body"/>
        <w:rPr>
          <w:rFonts w:ascii="Titillium" w:hAnsi="Titillium" w:cs="Titillium"/>
          <w:b/>
          <w:bCs/>
          <w:sz w:val="16"/>
          <w:szCs w:val="16"/>
        </w:rPr>
      </w:pPr>
      <w:r w:rsidRPr="001A72BB">
        <w:rPr>
          <w:rFonts w:ascii="Titillium" w:hAnsi="Titillium" w:cs="Titillium"/>
          <w:b/>
          <w:bCs/>
          <w:spacing w:val="-1"/>
          <w:sz w:val="16"/>
          <w:szCs w:val="16"/>
        </w:rPr>
        <w:t>El análisis de documentos procedentes de más de 300 archivos internacionales, nacionales y regionales, colecciones privadas y archivos de empresas e institutos ha hecho posible una reevaluación diferenciada de la historia de la medicina, farmacia, pedagogía curativa y psiquiatría antroposóficas entre 1933 y 1945. La actitud de los profesionales de los campos de trabajo antroposóficos varía individualmente y abarca todo el espectro entre la adaptación, la colaboración y la resistencia, ya sea en forma activa o pasiva.</w:t>
      </w:r>
    </w:p>
    <w:p w14:paraId="172A0C6E" w14:textId="77777777" w:rsidR="001A72BB" w:rsidRDefault="001A72BB" w:rsidP="001A72BB">
      <w:pPr>
        <w:pStyle w:val="body"/>
        <w:rPr>
          <w:rFonts w:ascii="Titillium" w:hAnsi="Titillium" w:cs="Titillium"/>
          <w:spacing w:val="1"/>
          <w:sz w:val="16"/>
          <w:szCs w:val="16"/>
        </w:rPr>
      </w:pPr>
    </w:p>
    <w:p w14:paraId="432BA4B0" w14:textId="77777777" w:rsidR="001A72BB" w:rsidRDefault="001A72BB" w:rsidP="001A72BB">
      <w:pPr>
        <w:pStyle w:val="body"/>
        <w:rPr>
          <w:rFonts w:ascii="Titillium" w:hAnsi="Titillium" w:cs="Titillium"/>
          <w:spacing w:val="1"/>
          <w:sz w:val="16"/>
          <w:szCs w:val="16"/>
        </w:rPr>
      </w:pPr>
      <w:r>
        <w:rPr>
          <w:rFonts w:ascii="Titillium" w:hAnsi="Titillium" w:cs="Titillium"/>
          <w:spacing w:val="1"/>
          <w:sz w:val="16"/>
          <w:szCs w:val="16"/>
        </w:rPr>
        <w:t>En el contexto de los médicos antroposóficos (más de 631), los profesores de pedagogía curativa (alrededor de 300) y las personas atendidas por ellos (más de 800), así como los pacientes del Sanatorio de Wiesneck (1500 historiales médicos), destacan los siguientes aspectos: el temprano reconocimiento de la amenaza del régimen totalitario por parte de Ita Wegman, la comunidad del Sanatorio de Wiesneck de Friedrich Husemann en sus esfuerzos contra las esterilizaciones forzadas y las posibles deportaciones, las actividades clandestinas de las instituciones de educación especial para proteger a niños y adolescentes en peligro y, en todos los ámbitos laborales, el apoyo constante brindado a los colegas judíos. Menos del 15 por ciento de los médicos antroposóficos pertenecían al Partido Nacionalsocialista (NSDAP), en contraste con los más del 40 por ciento de los demás médicos alemanes. Por otro lado, varias biografías de médicos antroposóficos y profesores de pedagogía curativa de origen judío documentan casos de escape de la persecución nazi y la existencia de redes de apoyo hasta ahora desconocidas.</w:t>
      </w:r>
    </w:p>
    <w:p w14:paraId="7C59CDC6" w14:textId="77777777" w:rsidR="001A72BB" w:rsidRDefault="001A72BB" w:rsidP="001A72BB">
      <w:pPr>
        <w:pStyle w:val="body"/>
        <w:spacing w:before="113"/>
        <w:rPr>
          <w:rFonts w:ascii="Titillium" w:hAnsi="Titillium" w:cs="Titillium"/>
          <w:spacing w:val="1"/>
          <w:sz w:val="16"/>
          <w:szCs w:val="16"/>
        </w:rPr>
      </w:pPr>
      <w:r>
        <w:rPr>
          <w:rFonts w:ascii="Titillium" w:hAnsi="Titillium" w:cs="Titillium"/>
          <w:spacing w:val="1"/>
          <w:sz w:val="16"/>
          <w:szCs w:val="16"/>
        </w:rPr>
        <w:t>A pesar de su rechazo categórico a la Antroposofía, destacados nacionalsocialistas como Otto Ohlendorf, Rudolf Hess, Alfred Baeumler y Wilhelm Canaris, por diversas razones, actuaron en protección de instituciones antroposóficas activas en diversos ámbitos de la vida. Les querían dar continuidad porque deseaban aprovechar sus logros para los objetivos del Estado nacionalsocialista, manteniendo al mismo tiempo una actitud de distanciamiento frente a la Antroposofía. Otro motivo de protección interesada fue, por ejemplo, el hecho de que tenían la certeza de que sus propios hijos o familiares estarían bien atendidos en las instituciones existentes de orientación antroposófica. Sin esta ‹protección›, las instituciones antroposóficas como el sanatorio psiquiátrico de Wiesneck, cerca de Friburgo de Brisgovia, Alemania, y los tres centros de pedagogía curativa basados en la antroposofía que aún funcionaban al final de la guerra (originalmente hubo tres de este tipo de centros) no habrían sobrevivido al nacionalsocialismo.</w:t>
      </w:r>
    </w:p>
    <w:p w14:paraId="1C381CF8" w14:textId="77777777" w:rsidR="001A72BB" w:rsidRDefault="001A72BB" w:rsidP="001A72BB">
      <w:pPr>
        <w:pStyle w:val="body"/>
        <w:spacing w:before="113"/>
        <w:rPr>
          <w:rFonts w:ascii="Titillium" w:hAnsi="Titillium" w:cs="Titillium"/>
          <w:spacing w:val="1"/>
          <w:sz w:val="16"/>
          <w:szCs w:val="16"/>
        </w:rPr>
      </w:pPr>
      <w:r>
        <w:rPr>
          <w:rFonts w:ascii="Titillium" w:hAnsi="Titillium" w:cs="Titillium"/>
          <w:spacing w:val="1"/>
          <w:sz w:val="16"/>
          <w:szCs w:val="16"/>
        </w:rPr>
        <w:t>A pesar de las numerosas restricciones e intervenciones en sus negocios, la empresa farmacéutica antroposófica Weleda y el farmacéutico antroposófico Rudolf Hauschka (Wala) pudieron seguir trabajando hasta el final de la guerra; ellos se vieron forzados a hacer numerosas concesiones y ajustes, pero mantuvieron la identidad antroposófica y la calidad de su trabajo.</w:t>
      </w:r>
    </w:p>
    <w:p w14:paraId="2FBC091F" w14:textId="77777777" w:rsidR="001A72BB" w:rsidRDefault="001A72BB" w:rsidP="001A72BB">
      <w:pPr>
        <w:pStyle w:val="body"/>
        <w:spacing w:before="113"/>
        <w:rPr>
          <w:rFonts w:ascii="Titillium" w:hAnsi="Titillium" w:cs="Titillium"/>
          <w:spacing w:val="1"/>
          <w:sz w:val="16"/>
          <w:szCs w:val="16"/>
        </w:rPr>
      </w:pPr>
      <w:r>
        <w:rPr>
          <w:rFonts w:ascii="Titillium" w:hAnsi="Titillium" w:cs="Titillium"/>
          <w:spacing w:val="1"/>
          <w:sz w:val="16"/>
          <w:szCs w:val="16"/>
        </w:rPr>
        <w:t>El estudio ‹Medicina antroposófica en el nacionalsocialismo› fue encargado en 2014 por la Academia de la Sociedad de Médicos Antroposóficos (Akademie der Gesellschaft Anthroposophischer Ärzte) en Alemania. El estudio fue supervisado por un comité asesor académico compuesto por dos historiadores que han investigado las atrocidades médicas de la época nazi, Thomas Beddies y Heinz-Peter Schmiedebach, del Instituto de Historia de la Medicina y Ética Médica (Institut für Geschichte der Medizin und Ethik in der Medizin) de la Charité de Berlín, Alemania. La financiación provino de la Fundación Mahle, la Fundación Software AG, la Fundación Christophorus, la Fundación Hauschka y el Fondo Rudolf Steiner para la Investigación Científica (Rudolf-Steiner-Fonds für wissenschaftliche Forschung), todas con sede en Alemania, así como del Círculo Internacional de Amigos del Instituto Ita Wegman (Internationaler Freundeskreis des Ita-Wegman-Instituts), en Arlesheim, Suiza.</w:t>
      </w:r>
    </w:p>
    <w:p w14:paraId="5BB6B87C" w14:textId="77777777" w:rsidR="001A72BB" w:rsidRDefault="001A72BB" w:rsidP="001A72BB">
      <w:pPr>
        <w:pStyle w:val="body"/>
        <w:spacing w:before="113"/>
        <w:rPr>
          <w:rFonts w:ascii="Titillium" w:hAnsi="Titillium" w:cs="Titillium"/>
          <w:spacing w:val="1"/>
          <w:sz w:val="16"/>
          <w:szCs w:val="16"/>
        </w:rPr>
      </w:pPr>
      <w:r>
        <w:rPr>
          <w:rFonts w:ascii="Titillium" w:hAnsi="Titillium" w:cs="Titillium"/>
          <w:spacing w:val="1"/>
          <w:sz w:val="16"/>
          <w:szCs w:val="16"/>
        </w:rPr>
        <w:t>Los autores del estudio son Peter Selg, especialista en psiquiatría infantil y adolescente, profesor de antropología médica y ética, director del Instituto Ita Wegman y codirector de la Sección Antroposófica General del Goetheanum; la historiadora Susanne H. Gross, investigadora de la persecución y el exterminio de judíos en el nacionalsocialismo; y el historiador y periodista independiente Matthias Mochner.</w:t>
      </w:r>
    </w:p>
    <w:p w14:paraId="0BD05F2B" w14:textId="77777777" w:rsidR="001A72BB" w:rsidRDefault="001A72BB" w:rsidP="001A72BB">
      <w:pPr>
        <w:pStyle w:val="body"/>
        <w:jc w:val="right"/>
        <w:rPr>
          <w:rFonts w:ascii="Titillium" w:hAnsi="Titillium" w:cs="Titillium"/>
          <w:sz w:val="16"/>
          <w:szCs w:val="16"/>
        </w:rPr>
      </w:pPr>
      <w:r>
        <w:rPr>
          <w:rFonts w:ascii="Titillium" w:hAnsi="Titillium" w:cs="Titillium"/>
          <w:sz w:val="16"/>
          <w:szCs w:val="16"/>
        </w:rPr>
        <w:t>(4411 caracteres/</w:t>
      </w:r>
      <w:r>
        <w:rPr>
          <w:rFonts w:ascii="Titillium" w:hAnsi="Titillium" w:cs="Titillium"/>
          <w:spacing w:val="1"/>
          <w:sz w:val="16"/>
          <w:szCs w:val="16"/>
        </w:rPr>
        <w:t>Matthias Mochner</w:t>
      </w:r>
      <w:r>
        <w:rPr>
          <w:rFonts w:ascii="Titillium" w:hAnsi="Titillium" w:cs="Titillium"/>
          <w:sz w:val="16"/>
          <w:szCs w:val="16"/>
        </w:rPr>
        <w:t>; traducido por Michael Kranawetvogl)</w:t>
      </w:r>
    </w:p>
    <w:p w14:paraId="53DF9A3C" w14:textId="77777777" w:rsidR="001A72BB" w:rsidRDefault="001A72BB" w:rsidP="001A72BB">
      <w:pPr>
        <w:pStyle w:val="body"/>
        <w:spacing w:before="113"/>
        <w:rPr>
          <w:rFonts w:ascii="Titillium" w:hAnsi="Titillium" w:cs="Titillium"/>
          <w:spacing w:val="1"/>
          <w:sz w:val="16"/>
          <w:szCs w:val="16"/>
        </w:rPr>
      </w:pPr>
      <w:r>
        <w:rPr>
          <w:rFonts w:ascii="Titillium Bd" w:hAnsi="Titillium Bd" w:cs="Titillium Bd"/>
          <w:b/>
          <w:bCs/>
          <w:spacing w:val="1"/>
          <w:sz w:val="16"/>
          <w:szCs w:val="16"/>
        </w:rPr>
        <w:t xml:space="preserve">Estudio Peter Selg, Susanne H. Gross y Matthias Mochner: Anthroposophische Medizin, Pharmazie und Heilpädagogik im Nationalsozialismus 1933–1945 </w:t>
      </w:r>
      <w:r>
        <w:rPr>
          <w:rFonts w:ascii="Titillium" w:hAnsi="Titillium" w:cs="Titillium"/>
          <w:spacing w:val="1"/>
          <w:sz w:val="16"/>
          <w:szCs w:val="16"/>
        </w:rPr>
        <w:t xml:space="preserve">(Medicina antroposófica, farmacia y educación curativa en el nacionalsocialismo 1933–1945), </w:t>
      </w:r>
      <w:r>
        <w:rPr>
          <w:rFonts w:ascii="Titillium Bd" w:hAnsi="Titillium Bd" w:cs="Titillium Bd"/>
          <w:b/>
          <w:bCs/>
          <w:spacing w:val="1"/>
          <w:sz w:val="16"/>
          <w:szCs w:val="16"/>
        </w:rPr>
        <w:t>editorial Schwabe-Verlag, Basilea. Volumen 1</w:t>
      </w:r>
      <w:r>
        <w:rPr>
          <w:rFonts w:ascii="Titillium" w:hAnsi="Titillium" w:cs="Titillium"/>
          <w:spacing w:val="1"/>
          <w:sz w:val="16"/>
          <w:szCs w:val="16"/>
        </w:rPr>
        <w:t xml:space="preserve"> Die anthroposophische Ärzteschaft (La comunidad de médicos antroposóficos), 2024</w:t>
      </w:r>
      <w:r>
        <w:rPr>
          <w:rFonts w:ascii="Titillium Bd" w:hAnsi="Titillium Bd" w:cs="Titillium Bd"/>
          <w:b/>
          <w:bCs/>
          <w:spacing w:val="1"/>
          <w:sz w:val="16"/>
          <w:szCs w:val="16"/>
        </w:rPr>
        <w:t xml:space="preserve"> Volumen 2 </w:t>
      </w:r>
      <w:r>
        <w:rPr>
          <w:rFonts w:ascii="Titillium" w:hAnsi="Titillium" w:cs="Titillium"/>
          <w:spacing w:val="1"/>
          <w:sz w:val="16"/>
          <w:szCs w:val="16"/>
        </w:rPr>
        <w:t xml:space="preserve">Weleda und Wala – die anthroposophischen Arzneimittelfirmen 1933–1945 (Weleda y Wala: las compañías farmacéuticas antroposóficas 1933–1945), 2025 </w:t>
      </w:r>
      <w:r>
        <w:rPr>
          <w:rFonts w:ascii="Titillium Bd" w:hAnsi="Titillium Bd" w:cs="Titillium Bd"/>
          <w:b/>
          <w:bCs/>
          <w:spacing w:val="1"/>
          <w:sz w:val="16"/>
          <w:szCs w:val="16"/>
        </w:rPr>
        <w:t>Volumen 3</w:t>
      </w:r>
      <w:r>
        <w:rPr>
          <w:rFonts w:ascii="Titillium" w:hAnsi="Titillium" w:cs="Titillium"/>
          <w:spacing w:val="1"/>
          <w:sz w:val="16"/>
          <w:szCs w:val="16"/>
        </w:rPr>
        <w:t xml:space="preserve"> Anthroposophische Psychiatrie und Heilpädagogik 1933–1945 (Psiquiatría antroposófica y pedagogía curativa 1933–1945), 2026</w:t>
      </w:r>
    </w:p>
    <w:p w14:paraId="7DBB424B" w14:textId="442CD0AE" w:rsidR="006E7E7B" w:rsidRDefault="001A72BB" w:rsidP="001A72BB">
      <w:r>
        <w:rPr>
          <w:rFonts w:ascii="Titillium Bd" w:hAnsi="Titillium Bd" w:cs="Titillium Bd"/>
          <w:b/>
          <w:bCs/>
          <w:spacing w:val="1"/>
          <w:sz w:val="16"/>
          <w:szCs w:val="16"/>
        </w:rPr>
        <w:t>Contacto</w:t>
      </w:r>
      <w:r>
        <w:rPr>
          <w:rFonts w:ascii="Titillium" w:hAnsi="Titillium" w:cs="Titillium"/>
          <w:spacing w:val="1"/>
          <w:sz w:val="16"/>
          <w:szCs w:val="16"/>
        </w:rPr>
        <w:t xml:space="preserve"> Peter Selg, peter.selg@goetheanum.ch</w:t>
      </w:r>
    </w:p>
    <w:sectPr w:rsidR="006E7E7B" w:rsidSect="001A72BB">
      <w:pgSz w:w="11906" w:h="16838"/>
      <w:pgMar w:top="851" w:right="1985" w:bottom="851" w:left="1985"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tillium">
    <w:panose1 w:val="00000500000000000000"/>
    <w:charset w:val="4D"/>
    <w:family w:val="auto"/>
    <w:notTrueType/>
    <w:pitch w:val="variable"/>
    <w:sig w:usb0="00000007" w:usb1="00000001" w:usb2="00000000" w:usb3="00000000" w:csb0="00000093" w:csb1="00000000"/>
  </w:font>
  <w:font w:name="Titillium Lt">
    <w:panose1 w:val="00000400000000000000"/>
    <w:charset w:val="4D"/>
    <w:family w:val="auto"/>
    <w:notTrueType/>
    <w:pitch w:val="variable"/>
    <w:sig w:usb0="00000007" w:usb1="00000001" w:usb2="00000000" w:usb3="00000000" w:csb0="00000093" w:csb1="00000000"/>
  </w:font>
  <w:font w:name="Titillium Bd">
    <w:panose1 w:val="00000800000000000000"/>
    <w:charset w:val="4D"/>
    <w:family w:val="auto"/>
    <w:notTrueType/>
    <w:pitch w:val="variable"/>
    <w:sig w:usb0="00000007" w:usb1="00000001"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A2F"/>
    <w:rsid w:val="001A72BB"/>
    <w:rsid w:val="006E7E7B"/>
    <w:rsid w:val="006F57DB"/>
    <w:rsid w:val="007A3A2F"/>
    <w:rsid w:val="007E3CA2"/>
    <w:rsid w:val="0081275A"/>
    <w:rsid w:val="00B90BB3"/>
    <w:rsid w:val="00EC40E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4036F9E9"/>
  <w15:chartTrackingRefBased/>
  <w15:docId w15:val="{249D7A72-AC79-2941-BAC1-C279283FE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
    <w:name w:val="titel"/>
    <w:basedOn w:val="Standard"/>
    <w:next w:val="body"/>
    <w:uiPriority w:val="99"/>
    <w:rsid w:val="007A3A2F"/>
    <w:pPr>
      <w:autoSpaceDE w:val="0"/>
      <w:autoSpaceDN w:val="0"/>
      <w:adjustRightInd w:val="0"/>
      <w:spacing w:line="300" w:lineRule="atLeast"/>
      <w:textAlignment w:val="center"/>
    </w:pPr>
    <w:rPr>
      <w:rFonts w:ascii="Titillium" w:hAnsi="Titillium" w:cs="Titillium"/>
      <w:color w:val="000000"/>
      <w:sz w:val="26"/>
      <w:szCs w:val="26"/>
      <w:lang w:val="de-DE"/>
    </w:rPr>
  </w:style>
  <w:style w:type="paragraph" w:customStyle="1" w:styleId="body">
    <w:name w:val="body"/>
    <w:basedOn w:val="Standard"/>
    <w:uiPriority w:val="99"/>
    <w:rsid w:val="007A3A2F"/>
    <w:pPr>
      <w:autoSpaceDE w:val="0"/>
      <w:autoSpaceDN w:val="0"/>
      <w:adjustRightInd w:val="0"/>
      <w:spacing w:line="288" w:lineRule="auto"/>
      <w:textAlignment w:val="center"/>
    </w:pPr>
    <w:rPr>
      <w:rFonts w:ascii="Titillium Lt" w:hAnsi="Titillium Lt" w:cs="Titillium Lt"/>
      <w:color w:val="000000"/>
      <w:sz w:val="22"/>
      <w:szCs w:val="22"/>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748</Words>
  <Characters>4715</Characters>
  <Application>Microsoft Office Word</Application>
  <DocSecurity>0</DocSecurity>
  <Lines>39</Lines>
  <Paragraphs>10</Paragraphs>
  <ScaleCrop>false</ScaleCrop>
  <Company/>
  <LinksUpToDate>false</LinksUpToDate>
  <CharactersWithSpaces>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Jüngel</dc:creator>
  <cp:keywords/>
  <dc:description/>
  <cp:lastModifiedBy>Sebastian Jüngel</cp:lastModifiedBy>
  <cp:revision>5</cp:revision>
  <dcterms:created xsi:type="dcterms:W3CDTF">2020-10-31T17:28:00Z</dcterms:created>
  <dcterms:modified xsi:type="dcterms:W3CDTF">2026-10-23T07:47:00Z</dcterms:modified>
</cp:coreProperties>
</file>