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BB8" w:rsidRPr="00E41606" w:rsidRDefault="00911BB8" w:rsidP="00911BB8">
      <w:pPr>
        <w:pStyle w:val="NormalWeb"/>
        <w:shd w:val="clear" w:color="auto" w:fill="FFFFFF"/>
        <w:spacing w:before="0" w:beforeAutospacing="0" w:after="0" w:afterAutospacing="0" w:line="276" w:lineRule="auto"/>
        <w:jc w:val="both"/>
        <w:textAlignment w:val="baseline"/>
        <w:rPr>
          <w:rFonts w:ascii="Georgia" w:hAnsi="Georgia" w:cs="Helvetica"/>
          <w:sz w:val="20"/>
          <w:szCs w:val="20"/>
          <w:lang w:val="da-DK"/>
        </w:rPr>
      </w:pPr>
      <w:r w:rsidRPr="00E41606">
        <w:rPr>
          <w:rFonts w:ascii="Georgia" w:hAnsi="Georgia"/>
          <w:b/>
          <w:sz w:val="20"/>
          <w:szCs w:val="20"/>
          <w:lang w:val="da-DK"/>
        </w:rPr>
        <w:t xml:space="preserve">Investeringsmarkeder i toppen af listen for </w:t>
      </w:r>
      <w:r w:rsidRPr="00E41606">
        <w:rPr>
          <w:rStyle w:val="Strong"/>
          <w:rFonts w:ascii="Georgia" w:hAnsi="Georgia" w:cs="Helvetica"/>
          <w:sz w:val="20"/>
          <w:szCs w:val="20"/>
          <w:bdr w:val="none" w:sz="0" w:space="0" w:color="auto" w:frame="1"/>
          <w:lang w:val="da-DK"/>
        </w:rPr>
        <w:t>2016</w:t>
      </w:r>
    </w:p>
    <w:p w:rsidR="00911BB8" w:rsidRPr="00E41606" w:rsidRDefault="00911BB8" w:rsidP="00911BB8">
      <w:pPr>
        <w:pStyle w:val="NormalWeb"/>
        <w:shd w:val="clear" w:color="auto" w:fill="FFFFFF"/>
        <w:spacing w:before="0" w:beforeAutospacing="0" w:after="0" w:afterAutospacing="0" w:line="276" w:lineRule="auto"/>
        <w:jc w:val="both"/>
        <w:textAlignment w:val="baseline"/>
        <w:rPr>
          <w:rFonts w:ascii="Georgia" w:hAnsi="Georgia" w:cs="Helvetica"/>
          <w:sz w:val="20"/>
          <w:szCs w:val="20"/>
          <w:lang w:val="da-DK"/>
        </w:rPr>
      </w:pPr>
    </w:p>
    <w:p w:rsidR="00911BB8" w:rsidRPr="00E41606" w:rsidRDefault="009D463A" w:rsidP="00911BB8">
      <w:pPr>
        <w:pStyle w:val="NormalWeb"/>
        <w:shd w:val="clear" w:color="auto" w:fill="FFFFFF"/>
        <w:spacing w:before="0" w:beforeAutospacing="0" w:after="0" w:afterAutospacing="0" w:line="276" w:lineRule="auto"/>
        <w:jc w:val="both"/>
        <w:textAlignment w:val="baseline"/>
        <w:rPr>
          <w:rFonts w:ascii="Georgia" w:hAnsi="Georgia" w:cs="Helvetica"/>
          <w:sz w:val="20"/>
          <w:szCs w:val="20"/>
          <w:lang w:val="da-DK"/>
        </w:rPr>
      </w:pPr>
      <w:r>
        <w:rPr>
          <w:rFonts w:ascii="Georgia" w:hAnsi="Georgia"/>
          <w:sz w:val="20"/>
          <w:szCs w:val="20"/>
          <w:lang w:val="da-DK"/>
        </w:rPr>
        <w:t>De fem</w:t>
      </w:r>
      <w:r w:rsidR="00911BB8" w:rsidRPr="00E41606">
        <w:rPr>
          <w:rFonts w:ascii="Georgia" w:hAnsi="Georgia"/>
          <w:sz w:val="20"/>
          <w:szCs w:val="20"/>
          <w:lang w:val="da-DK"/>
        </w:rPr>
        <w:t xml:space="preserve"> investeringsmarkeder, som forventes at toppe listen over europæiske ejendomsinvesteringer i 2016, er</w:t>
      </w:r>
      <w:r w:rsidR="00911BB8" w:rsidRPr="00E41606">
        <w:rPr>
          <w:rFonts w:ascii="Georgia" w:hAnsi="Georgia" w:cs="Helvetica"/>
          <w:sz w:val="20"/>
          <w:szCs w:val="20"/>
          <w:lang w:val="da-DK"/>
        </w:rPr>
        <w:t>:</w:t>
      </w:r>
    </w:p>
    <w:p w:rsidR="00911BB8" w:rsidRPr="00E41606" w:rsidRDefault="00911BB8" w:rsidP="00911BB8">
      <w:pPr>
        <w:pStyle w:val="NormalWeb"/>
        <w:shd w:val="clear" w:color="auto" w:fill="FFFFFF"/>
        <w:spacing w:before="0" w:beforeAutospacing="0" w:after="0" w:afterAutospacing="0" w:line="276" w:lineRule="auto"/>
        <w:jc w:val="both"/>
        <w:textAlignment w:val="baseline"/>
        <w:rPr>
          <w:rFonts w:ascii="Georgia" w:hAnsi="Georgia" w:cs="Helvetica"/>
          <w:sz w:val="20"/>
          <w:szCs w:val="20"/>
          <w:lang w:val="da-DK"/>
        </w:rPr>
      </w:pPr>
    </w:p>
    <w:p w:rsidR="00911BB8" w:rsidRPr="00E41606" w:rsidRDefault="00911BB8" w:rsidP="003D48F6">
      <w:pPr>
        <w:pStyle w:val="NormalWeb"/>
        <w:shd w:val="clear" w:color="auto" w:fill="FFFFFF"/>
        <w:spacing w:before="0" w:beforeAutospacing="0" w:after="0" w:afterAutospacing="0" w:line="276" w:lineRule="auto"/>
        <w:textAlignment w:val="baseline"/>
        <w:rPr>
          <w:rFonts w:ascii="Georgia" w:hAnsi="Georgia" w:cs="HelveticaNeueLTStd-Roman"/>
          <w:sz w:val="20"/>
          <w:szCs w:val="20"/>
          <w:lang w:val="da-DK"/>
        </w:rPr>
      </w:pPr>
      <w:r w:rsidRPr="00E41606">
        <w:rPr>
          <w:rStyle w:val="Strong"/>
          <w:rFonts w:ascii="Georgia" w:hAnsi="Georgia" w:cs="Helvetica"/>
          <w:sz w:val="20"/>
          <w:szCs w:val="20"/>
          <w:bdr w:val="none" w:sz="0" w:space="0" w:color="auto" w:frame="1"/>
          <w:lang w:val="da-DK"/>
        </w:rPr>
        <w:t>1. Berlin</w:t>
      </w:r>
      <w:r w:rsidRPr="00E41606">
        <w:rPr>
          <w:rStyle w:val="apple-converted-space"/>
          <w:rFonts w:ascii="Georgia" w:hAnsi="Georgia" w:cs="Helvetica"/>
          <w:sz w:val="20"/>
          <w:szCs w:val="20"/>
          <w:lang w:val="da-DK"/>
        </w:rPr>
        <w:t> </w:t>
      </w:r>
      <w:r w:rsidR="003D48F6">
        <w:rPr>
          <w:rStyle w:val="apple-converted-space"/>
          <w:rFonts w:ascii="Georgia" w:hAnsi="Georgia" w:cs="Helvetica"/>
          <w:sz w:val="20"/>
          <w:szCs w:val="20"/>
          <w:lang w:val="da-DK"/>
        </w:rPr>
        <w:br/>
      </w:r>
      <w:proofErr w:type="spellStart"/>
      <w:r w:rsidR="00424E3B">
        <w:rPr>
          <w:rFonts w:ascii="Georgia" w:hAnsi="Georgia" w:cs="Helvetica"/>
          <w:sz w:val="20"/>
          <w:szCs w:val="20"/>
          <w:lang w:val="da-DK"/>
        </w:rPr>
        <w:t>Berlin</w:t>
      </w:r>
      <w:proofErr w:type="spellEnd"/>
      <w:r w:rsidR="00424E3B">
        <w:rPr>
          <w:rFonts w:ascii="Georgia" w:hAnsi="Georgia" w:cs="Helvetica"/>
          <w:sz w:val="20"/>
          <w:szCs w:val="20"/>
          <w:lang w:val="da-DK"/>
        </w:rPr>
        <w:t xml:space="preserve"> f</w:t>
      </w:r>
      <w:r w:rsidRPr="00E41606">
        <w:rPr>
          <w:rFonts w:ascii="Georgia" w:hAnsi="Georgia" w:cs="Helvetica"/>
          <w:sz w:val="20"/>
          <w:szCs w:val="20"/>
          <w:lang w:val="da-DK"/>
        </w:rPr>
        <w:t>astholder sidste års førsteplads. Den tyske hovedstad ligger øverst, både hvad angår investerings- og udviklingsudsigter</w:t>
      </w:r>
      <w:r w:rsidRPr="00E41606">
        <w:rPr>
          <w:rFonts w:ascii="Georgia" w:hAnsi="Georgia" w:cs="HelveticaNeueLTStd-Roman"/>
          <w:sz w:val="20"/>
          <w:szCs w:val="20"/>
          <w:lang w:val="da-DK"/>
        </w:rPr>
        <w:t xml:space="preserve"> i 2016. En tilstrømning fra den kreative industri og teknologibranchen har ført til den største tilgang af kontorer i byen nogensinde. En ung, international og forskelligartet arbejdsstyrke og lavere leveomkostninger har også været medvirkende til byens fremgang, ligesom Berlins status som et kulturelt center og et trendy sted har sat gang i forventningerne til boligmarkedet og detailhandlen. </w:t>
      </w:r>
    </w:p>
    <w:p w:rsidR="00911BB8" w:rsidRPr="00E41606" w:rsidRDefault="00911BB8" w:rsidP="00911BB8">
      <w:pPr>
        <w:pStyle w:val="NormalWeb"/>
        <w:shd w:val="clear" w:color="auto" w:fill="FFFFFF"/>
        <w:spacing w:before="0" w:beforeAutospacing="0" w:after="0" w:afterAutospacing="0" w:line="276" w:lineRule="auto"/>
        <w:jc w:val="both"/>
        <w:textAlignment w:val="baseline"/>
        <w:rPr>
          <w:rFonts w:ascii="Georgia" w:hAnsi="Georgia" w:cs="Helvetica"/>
          <w:sz w:val="20"/>
          <w:szCs w:val="20"/>
          <w:lang w:val="da-DK"/>
        </w:rPr>
      </w:pPr>
    </w:p>
    <w:p w:rsidR="00911BB8" w:rsidRPr="00E41606" w:rsidRDefault="00911BB8" w:rsidP="003D48F6">
      <w:pPr>
        <w:pStyle w:val="NormalWeb"/>
        <w:shd w:val="clear" w:color="auto" w:fill="FFFFFF"/>
        <w:spacing w:before="0" w:beforeAutospacing="0" w:after="0" w:afterAutospacing="0" w:line="276" w:lineRule="auto"/>
        <w:textAlignment w:val="baseline"/>
        <w:rPr>
          <w:rFonts w:ascii="Georgia" w:hAnsi="Georgia" w:cs="HelveticaNeueLTStd-Roman"/>
          <w:sz w:val="20"/>
          <w:szCs w:val="20"/>
          <w:lang w:val="da-DK"/>
        </w:rPr>
      </w:pPr>
      <w:r w:rsidRPr="00E41606">
        <w:rPr>
          <w:rStyle w:val="Strong"/>
          <w:rFonts w:ascii="Georgia" w:hAnsi="Georgia" w:cs="Helvetica"/>
          <w:sz w:val="20"/>
          <w:szCs w:val="20"/>
          <w:bdr w:val="none" w:sz="0" w:space="0" w:color="auto" w:frame="1"/>
          <w:lang w:val="da-DK"/>
        </w:rPr>
        <w:t>2. Hamborg</w:t>
      </w:r>
      <w:r w:rsidRPr="00E41606">
        <w:rPr>
          <w:rStyle w:val="apple-converted-space"/>
          <w:rFonts w:ascii="Georgia" w:hAnsi="Georgia" w:cs="Helvetica"/>
          <w:sz w:val="20"/>
          <w:szCs w:val="20"/>
          <w:lang w:val="da-DK"/>
        </w:rPr>
        <w:t> </w:t>
      </w:r>
      <w:r w:rsidR="003D48F6">
        <w:rPr>
          <w:rStyle w:val="apple-converted-space"/>
          <w:rFonts w:ascii="Georgia" w:hAnsi="Georgia" w:cs="Helvetica"/>
          <w:sz w:val="20"/>
          <w:szCs w:val="20"/>
          <w:lang w:val="da-DK"/>
        </w:rPr>
        <w:br/>
      </w:r>
      <w:proofErr w:type="spellStart"/>
      <w:r w:rsidRPr="00E41606">
        <w:rPr>
          <w:rFonts w:ascii="Georgia" w:hAnsi="Georgia" w:cs="Helvetica"/>
          <w:sz w:val="20"/>
          <w:szCs w:val="20"/>
          <w:lang w:val="da-DK"/>
        </w:rPr>
        <w:t>Hamborg</w:t>
      </w:r>
      <w:proofErr w:type="spellEnd"/>
      <w:r w:rsidRPr="00E41606">
        <w:rPr>
          <w:rFonts w:ascii="Georgia" w:hAnsi="Georgia" w:cs="Helvetica"/>
          <w:sz w:val="20"/>
          <w:szCs w:val="20"/>
          <w:lang w:val="da-DK"/>
        </w:rPr>
        <w:t xml:space="preserve">, der har overtaget andenpladsen fra Dublin, har udviklet sig til en dynamisk storby, der kan opfylde behovene hos fremtidige </w:t>
      </w:r>
      <w:r w:rsidR="00EB2CE0">
        <w:rPr>
          <w:rFonts w:ascii="Georgia" w:hAnsi="Georgia" w:cs="Helvetica"/>
          <w:sz w:val="20"/>
          <w:szCs w:val="20"/>
          <w:lang w:val="da-DK"/>
        </w:rPr>
        <w:t>brugere</w:t>
      </w:r>
      <w:r w:rsidRPr="00E41606">
        <w:rPr>
          <w:rFonts w:ascii="Georgia" w:hAnsi="Georgia" w:cs="Helvetica"/>
          <w:sz w:val="20"/>
          <w:szCs w:val="20"/>
          <w:lang w:val="da-DK"/>
        </w:rPr>
        <w:t xml:space="preserve">. Med investeringer på over </w:t>
      </w:r>
      <w:r w:rsidRPr="00E41606">
        <w:rPr>
          <w:rFonts w:ascii="Georgia" w:hAnsi="Georgia" w:cs="HelveticaNeueLTStd-Roman"/>
          <w:sz w:val="20"/>
          <w:szCs w:val="20"/>
          <w:lang w:val="da-DK"/>
        </w:rPr>
        <w:t>fem mia. euro i perioden 4. kvartal 2014 til 3. kvartal 2015 — hvoraf halvdelen kom fra udenlandske købere — er Hamborg det sjette mest aktive marked i Europa. Byen har et forskelligartet grundlag</w:t>
      </w:r>
      <w:r w:rsidR="00EB2CE0">
        <w:rPr>
          <w:rFonts w:ascii="Georgia" w:hAnsi="Georgia" w:cs="HelveticaNeueLTStd-Roman"/>
          <w:sz w:val="20"/>
          <w:szCs w:val="20"/>
          <w:lang w:val="da-DK"/>
        </w:rPr>
        <w:t xml:space="preserve"> af brugere</w:t>
      </w:r>
      <w:r w:rsidRPr="00E41606">
        <w:rPr>
          <w:rFonts w:ascii="Georgia" w:hAnsi="Georgia" w:cs="HelveticaNeueLTStd-Roman"/>
          <w:sz w:val="20"/>
          <w:szCs w:val="20"/>
          <w:lang w:val="da-DK"/>
        </w:rPr>
        <w:t>, idet efterspørgslen efter kontorer kommer fra både mediebranchen, servicesektoren og handelssektoren, herunder mange små og mellemstore virksomheder. Tomgangsraten for kontorer er på et historisk lavpunkt og øget byggeri i 2016 forventes at give nye kontorarealer på 127.000 m</w:t>
      </w:r>
      <w:r w:rsidRPr="00E41606">
        <w:rPr>
          <w:rFonts w:ascii="Georgia" w:hAnsi="Georgia" w:cs="HelveticaNeueLTStd-Roman"/>
          <w:sz w:val="20"/>
          <w:szCs w:val="20"/>
          <w:vertAlign w:val="superscript"/>
          <w:lang w:val="da-DK"/>
        </w:rPr>
        <w:t>2</w:t>
      </w:r>
      <w:r w:rsidRPr="00E41606">
        <w:rPr>
          <w:rFonts w:ascii="Georgia" w:hAnsi="Georgia" w:cs="HelveticaNeueLTStd-Roman"/>
          <w:sz w:val="20"/>
          <w:szCs w:val="20"/>
          <w:lang w:val="da-DK"/>
        </w:rPr>
        <w:t xml:space="preserve">, der kan afhjælpe det aktuelle begrænsede udbud. </w:t>
      </w:r>
    </w:p>
    <w:p w:rsidR="00911BB8" w:rsidRPr="00E41606" w:rsidRDefault="00911BB8" w:rsidP="00911BB8">
      <w:pPr>
        <w:pStyle w:val="NormalWeb"/>
        <w:shd w:val="clear" w:color="auto" w:fill="FFFFFF"/>
        <w:spacing w:before="0" w:beforeAutospacing="0" w:after="0" w:afterAutospacing="0" w:line="276" w:lineRule="auto"/>
        <w:jc w:val="both"/>
        <w:textAlignment w:val="baseline"/>
        <w:rPr>
          <w:rFonts w:ascii="Georgia" w:hAnsi="Georgia" w:cs="Helvetica"/>
          <w:sz w:val="20"/>
          <w:szCs w:val="20"/>
          <w:lang w:val="da-DK"/>
        </w:rPr>
      </w:pPr>
    </w:p>
    <w:p w:rsidR="00911BB8" w:rsidRPr="00E41606" w:rsidRDefault="00911BB8" w:rsidP="003D48F6">
      <w:pPr>
        <w:pStyle w:val="NormalWeb"/>
        <w:shd w:val="clear" w:color="auto" w:fill="FFFFFF"/>
        <w:spacing w:before="0" w:beforeAutospacing="0" w:after="0" w:afterAutospacing="0" w:line="276" w:lineRule="auto"/>
        <w:textAlignment w:val="baseline"/>
        <w:rPr>
          <w:rFonts w:ascii="Georgia" w:hAnsi="Georgia" w:cs="Helvetica"/>
          <w:sz w:val="20"/>
          <w:szCs w:val="20"/>
          <w:lang w:val="da-DK"/>
        </w:rPr>
      </w:pPr>
      <w:r w:rsidRPr="00E41606">
        <w:rPr>
          <w:rStyle w:val="Strong"/>
          <w:rFonts w:ascii="Georgia" w:hAnsi="Georgia" w:cs="Helvetica"/>
          <w:sz w:val="20"/>
          <w:szCs w:val="20"/>
          <w:bdr w:val="none" w:sz="0" w:space="0" w:color="auto" w:frame="1"/>
          <w:lang w:val="da-DK"/>
        </w:rPr>
        <w:t>3. Dublin</w:t>
      </w:r>
      <w:r w:rsidRPr="00E41606">
        <w:rPr>
          <w:rStyle w:val="apple-converted-space"/>
          <w:rFonts w:ascii="Georgia" w:hAnsi="Georgia" w:cs="Helvetica"/>
          <w:b/>
          <w:bCs/>
          <w:sz w:val="20"/>
          <w:szCs w:val="20"/>
          <w:bdr w:val="none" w:sz="0" w:space="0" w:color="auto" w:frame="1"/>
          <w:lang w:val="da-DK"/>
        </w:rPr>
        <w:t> </w:t>
      </w:r>
      <w:r w:rsidR="003D48F6">
        <w:rPr>
          <w:rFonts w:ascii="Georgia" w:hAnsi="Georgia" w:cs="Helvetica"/>
          <w:sz w:val="20"/>
          <w:szCs w:val="20"/>
          <w:lang w:val="da-DK"/>
        </w:rPr>
        <w:br/>
      </w:r>
      <w:r w:rsidRPr="00E41606">
        <w:rPr>
          <w:rFonts w:ascii="Georgia" w:hAnsi="Georgia" w:cs="Helvetica"/>
          <w:sz w:val="20"/>
          <w:szCs w:val="20"/>
          <w:lang w:val="da-DK"/>
        </w:rPr>
        <w:t xml:space="preserve">Selv om Dublin stadig tiltrækker sig en masse kapital, er </w:t>
      </w:r>
      <w:r w:rsidR="00424E3B">
        <w:rPr>
          <w:rFonts w:ascii="Georgia" w:hAnsi="Georgia" w:cs="Helvetica"/>
          <w:sz w:val="20"/>
          <w:szCs w:val="20"/>
          <w:lang w:val="da-DK"/>
        </w:rPr>
        <w:t>respondenterne i undersøgelsen</w:t>
      </w:r>
      <w:r w:rsidRPr="00E41606">
        <w:rPr>
          <w:rFonts w:ascii="Georgia" w:hAnsi="Georgia" w:cs="Helvetica"/>
          <w:sz w:val="20"/>
          <w:szCs w:val="20"/>
          <w:lang w:val="da-DK"/>
        </w:rPr>
        <w:t xml:space="preserve"> </w:t>
      </w:r>
      <w:r w:rsidR="00424E3B">
        <w:rPr>
          <w:rFonts w:ascii="Georgia" w:hAnsi="Georgia" w:cs="Helvetica"/>
          <w:sz w:val="20"/>
          <w:szCs w:val="20"/>
          <w:lang w:val="da-DK"/>
        </w:rPr>
        <w:t xml:space="preserve">enige </w:t>
      </w:r>
      <w:r w:rsidRPr="00E41606">
        <w:rPr>
          <w:rFonts w:ascii="Georgia" w:hAnsi="Georgia" w:cs="Helvetica"/>
          <w:sz w:val="20"/>
          <w:szCs w:val="20"/>
          <w:lang w:val="da-DK"/>
        </w:rPr>
        <w:t>om, at den irske hovedstad allerede har toppet, hvad angår opportunistiske afkast. Dem, der allerede har investeret i byen, eller som vælger at investere i den allernærmeste fremtid, vil formentlig opnå det største samlede afkast. Der forventes vækst i udlejningen af kontorer i Dublin, men det er ikke sandsynligt, at efterspørgslen efter flere kontorarealer kan opfyldes i mange år frem. Manglen på aktiver, der appellerer til dem, der er på jagt efter en billig investering, har banet vej for en større tiltrækning af kerneinvestorer, som nu er nødt til at løbe en højere risiko, hvis de vil have et højere afkast. Der er et begyndende opsving i Dublins detailhandel, og byen har oplevet en stor indstrømning af kapital med henblik på erhvervelse af aktiver inden for detailhandlen.</w:t>
      </w:r>
    </w:p>
    <w:p w:rsidR="00911BB8" w:rsidRPr="00E41606" w:rsidRDefault="00911BB8" w:rsidP="00911BB8">
      <w:pPr>
        <w:pStyle w:val="NormalWeb"/>
        <w:shd w:val="clear" w:color="auto" w:fill="FFFFFF"/>
        <w:spacing w:before="0" w:beforeAutospacing="0" w:after="0" w:afterAutospacing="0" w:line="276" w:lineRule="auto"/>
        <w:jc w:val="both"/>
        <w:textAlignment w:val="baseline"/>
        <w:rPr>
          <w:rFonts w:ascii="Georgia" w:hAnsi="Georgia" w:cs="Helvetica"/>
          <w:sz w:val="20"/>
          <w:szCs w:val="20"/>
          <w:lang w:val="da-DK"/>
        </w:rPr>
      </w:pPr>
    </w:p>
    <w:p w:rsidR="00911BB8" w:rsidRPr="00E41606" w:rsidRDefault="00911BB8" w:rsidP="003D48F6">
      <w:pPr>
        <w:pStyle w:val="NormalWeb"/>
        <w:shd w:val="clear" w:color="auto" w:fill="FFFFFF"/>
        <w:spacing w:before="0" w:beforeAutospacing="0" w:after="0" w:afterAutospacing="0" w:line="276" w:lineRule="auto"/>
        <w:textAlignment w:val="baseline"/>
        <w:rPr>
          <w:rFonts w:ascii="Georgia" w:hAnsi="Georgia" w:cs="Helvetica"/>
          <w:sz w:val="20"/>
          <w:szCs w:val="20"/>
          <w:lang w:val="da-DK"/>
        </w:rPr>
      </w:pPr>
      <w:r w:rsidRPr="00E41606">
        <w:rPr>
          <w:rStyle w:val="Strong"/>
          <w:rFonts w:ascii="Georgia" w:hAnsi="Georgia" w:cs="Helvetica"/>
          <w:sz w:val="20"/>
          <w:szCs w:val="20"/>
          <w:bdr w:val="none" w:sz="0" w:space="0" w:color="auto" w:frame="1"/>
          <w:lang w:val="da-DK"/>
        </w:rPr>
        <w:t>4. Madrid</w:t>
      </w:r>
      <w:r w:rsidRPr="00E41606">
        <w:rPr>
          <w:rStyle w:val="apple-converted-space"/>
          <w:rFonts w:ascii="Georgia" w:hAnsi="Georgia" w:cs="Helvetica"/>
          <w:sz w:val="20"/>
          <w:szCs w:val="20"/>
          <w:lang w:val="da-DK"/>
        </w:rPr>
        <w:t> </w:t>
      </w:r>
      <w:r w:rsidR="003D48F6">
        <w:rPr>
          <w:rStyle w:val="apple-converted-space"/>
          <w:rFonts w:ascii="Georgia" w:hAnsi="Georgia" w:cs="Helvetica"/>
          <w:sz w:val="20"/>
          <w:szCs w:val="20"/>
          <w:lang w:val="da-DK"/>
        </w:rPr>
        <w:br/>
      </w:r>
      <w:r w:rsidRPr="00E41606">
        <w:rPr>
          <w:rFonts w:ascii="Georgia" w:hAnsi="Georgia" w:cs="Helvetica"/>
          <w:sz w:val="20"/>
          <w:szCs w:val="20"/>
          <w:lang w:val="da-DK"/>
        </w:rPr>
        <w:t xml:space="preserve">Efterhånden som der </w:t>
      </w:r>
      <w:r w:rsidR="00FA449B">
        <w:rPr>
          <w:rFonts w:ascii="Georgia" w:hAnsi="Georgia" w:cs="Helvetica"/>
          <w:sz w:val="20"/>
          <w:szCs w:val="20"/>
          <w:lang w:val="da-DK"/>
        </w:rPr>
        <w:t>er</w:t>
      </w:r>
      <w:r w:rsidRPr="00E41606">
        <w:rPr>
          <w:rFonts w:ascii="Georgia" w:hAnsi="Georgia" w:cs="Helvetica"/>
          <w:sz w:val="20"/>
          <w:szCs w:val="20"/>
          <w:lang w:val="da-DK"/>
        </w:rPr>
        <w:t xml:space="preserve"> sket en forbedring af den spanske økonomi, er både institutionelle og opportunistiske investorer strømmet til Madrid. Byen er Europas </w:t>
      </w:r>
      <w:r w:rsidR="007F053F">
        <w:rPr>
          <w:rFonts w:ascii="Georgia" w:hAnsi="Georgia" w:cs="Helvetica"/>
          <w:sz w:val="20"/>
          <w:szCs w:val="20"/>
          <w:lang w:val="da-DK"/>
        </w:rPr>
        <w:t>femte</w:t>
      </w:r>
      <w:r w:rsidRPr="00E41606">
        <w:rPr>
          <w:rFonts w:ascii="Georgia" w:hAnsi="Georgia" w:cs="Helvetica"/>
          <w:sz w:val="20"/>
          <w:szCs w:val="20"/>
          <w:lang w:val="da-DK"/>
        </w:rPr>
        <w:t xml:space="preserve"> mest aktive ejendomsmarked i perioden 4. kvartal 2014 </w:t>
      </w:r>
      <w:r w:rsidR="007F053F">
        <w:rPr>
          <w:rFonts w:ascii="Georgia" w:hAnsi="Georgia" w:cs="Helvetica"/>
          <w:sz w:val="20"/>
          <w:szCs w:val="20"/>
          <w:lang w:val="da-DK"/>
        </w:rPr>
        <w:t>til</w:t>
      </w:r>
      <w:r w:rsidRPr="00E41606">
        <w:rPr>
          <w:rFonts w:ascii="Georgia" w:hAnsi="Georgia" w:cs="Helvetica"/>
          <w:sz w:val="20"/>
          <w:szCs w:val="20"/>
          <w:lang w:val="da-DK"/>
        </w:rPr>
        <w:t xml:space="preserve"> 3. kvartal 2015 med en omsætning på over </w:t>
      </w:r>
      <w:r w:rsidR="0005767F">
        <w:rPr>
          <w:rFonts w:ascii="Georgia" w:hAnsi="Georgia" w:cs="HelveticaNeueLTStd-Roman"/>
          <w:sz w:val="20"/>
          <w:szCs w:val="20"/>
          <w:lang w:val="da-DK"/>
        </w:rPr>
        <w:t>fem</w:t>
      </w:r>
      <w:r w:rsidRPr="00E41606">
        <w:rPr>
          <w:rFonts w:ascii="Georgia" w:hAnsi="Georgia" w:cs="HelveticaNeueLTStd-Roman"/>
          <w:sz w:val="20"/>
          <w:szCs w:val="20"/>
          <w:lang w:val="da-DK"/>
        </w:rPr>
        <w:t xml:space="preserve"> mia.</w:t>
      </w:r>
      <w:r w:rsidR="007F053F">
        <w:rPr>
          <w:rFonts w:ascii="Georgia" w:hAnsi="Georgia" w:cs="HelveticaNeueLTStd-Roman"/>
          <w:sz w:val="20"/>
          <w:szCs w:val="20"/>
          <w:lang w:val="da-DK"/>
        </w:rPr>
        <w:t xml:space="preserve"> euro.</w:t>
      </w:r>
      <w:r w:rsidRPr="00E41606">
        <w:rPr>
          <w:rFonts w:ascii="Georgia" w:hAnsi="Georgia" w:cs="HelveticaNeueLTStd-Roman"/>
          <w:sz w:val="20"/>
          <w:szCs w:val="20"/>
          <w:lang w:val="da-DK"/>
        </w:rPr>
        <w:t xml:space="preserve"> Desuden kan en tomgangsrate på</w:t>
      </w:r>
      <w:r w:rsidRPr="00E41606">
        <w:rPr>
          <w:rFonts w:ascii="Georgia" w:hAnsi="Georgia" w:cs="Helvetica"/>
          <w:sz w:val="20"/>
          <w:szCs w:val="20"/>
          <w:lang w:val="da-DK"/>
        </w:rPr>
        <w:t xml:space="preserve"> 2,5 % for bygninger i klasse A sætte gang i udlejningsvæksten. Byens stigende priser og en forrentning på under 4 % for førsteklasses kontorlokaler kan dog skræmme investorerne væk i 2016. </w:t>
      </w:r>
    </w:p>
    <w:p w:rsidR="00911BB8" w:rsidRPr="00E41606" w:rsidRDefault="00911BB8" w:rsidP="00911BB8">
      <w:pPr>
        <w:pStyle w:val="NormalWeb"/>
        <w:shd w:val="clear" w:color="auto" w:fill="FFFFFF"/>
        <w:spacing w:before="0" w:beforeAutospacing="0" w:after="0" w:afterAutospacing="0" w:line="276" w:lineRule="auto"/>
        <w:jc w:val="both"/>
        <w:textAlignment w:val="baseline"/>
        <w:rPr>
          <w:rFonts w:ascii="Georgia" w:hAnsi="Georgia" w:cs="Helvetica"/>
          <w:sz w:val="20"/>
          <w:szCs w:val="20"/>
          <w:lang w:val="da-DK"/>
        </w:rPr>
      </w:pPr>
    </w:p>
    <w:p w:rsidR="00911BB8" w:rsidRPr="00E41606" w:rsidRDefault="00911BB8" w:rsidP="003D48F6">
      <w:pPr>
        <w:pStyle w:val="NormalWeb"/>
        <w:shd w:val="clear" w:color="auto" w:fill="FFFFFF"/>
        <w:spacing w:before="0" w:beforeAutospacing="0" w:after="0" w:afterAutospacing="0" w:line="276" w:lineRule="auto"/>
        <w:textAlignment w:val="baseline"/>
        <w:rPr>
          <w:rFonts w:ascii="Georgia" w:hAnsi="Georgia" w:cs="Helvetica"/>
          <w:sz w:val="20"/>
          <w:szCs w:val="20"/>
          <w:lang w:val="da-DK"/>
        </w:rPr>
      </w:pPr>
      <w:r w:rsidRPr="00E41606">
        <w:rPr>
          <w:rStyle w:val="Strong"/>
          <w:rFonts w:ascii="Georgia" w:hAnsi="Georgia" w:cs="Helvetica"/>
          <w:sz w:val="20"/>
          <w:szCs w:val="20"/>
          <w:bdr w:val="none" w:sz="0" w:space="0" w:color="auto" w:frame="1"/>
          <w:lang w:val="da-DK"/>
        </w:rPr>
        <w:t xml:space="preserve">5. København </w:t>
      </w:r>
      <w:r w:rsidR="003D48F6">
        <w:rPr>
          <w:rStyle w:val="Strong"/>
          <w:rFonts w:ascii="Georgia" w:hAnsi="Georgia" w:cs="Helvetica"/>
          <w:sz w:val="20"/>
          <w:szCs w:val="20"/>
          <w:bdr w:val="none" w:sz="0" w:space="0" w:color="auto" w:frame="1"/>
          <w:lang w:val="da-DK"/>
        </w:rPr>
        <w:br/>
      </w:r>
      <w:proofErr w:type="spellStart"/>
      <w:r w:rsidRPr="00E41606">
        <w:rPr>
          <w:rStyle w:val="apple-converted-space"/>
          <w:rFonts w:ascii="Georgia" w:hAnsi="Georgia" w:cs="Helvetica"/>
          <w:bCs/>
          <w:sz w:val="20"/>
          <w:szCs w:val="20"/>
          <w:bdr w:val="none" w:sz="0" w:space="0" w:color="auto" w:frame="1"/>
          <w:lang w:val="da-DK"/>
        </w:rPr>
        <w:t>København</w:t>
      </w:r>
      <w:proofErr w:type="spellEnd"/>
      <w:r w:rsidRPr="00E41606">
        <w:rPr>
          <w:rStyle w:val="apple-converted-space"/>
          <w:rFonts w:ascii="Georgia" w:hAnsi="Georgia" w:cs="Helvetica"/>
          <w:bCs/>
          <w:sz w:val="20"/>
          <w:szCs w:val="20"/>
          <w:bdr w:val="none" w:sz="0" w:space="0" w:color="auto" w:frame="1"/>
          <w:lang w:val="da-DK"/>
        </w:rPr>
        <w:t xml:space="preserve"> blev engang anset for at være et kriseramt marked, men nu er byens investeringsmuligheder værd at bemærke. Den danske hovedstad har oplevet en udvikling inden for biotekbranchen, der har skabt et stærkt </w:t>
      </w:r>
      <w:proofErr w:type="spellStart"/>
      <w:r w:rsidRPr="00E41606">
        <w:rPr>
          <w:rStyle w:val="apple-converted-space"/>
          <w:rFonts w:ascii="Georgia" w:hAnsi="Georgia" w:cs="Helvetica"/>
          <w:bCs/>
          <w:sz w:val="20"/>
          <w:szCs w:val="20"/>
          <w:bdr w:val="none" w:sz="0" w:space="0" w:color="auto" w:frame="1"/>
          <w:lang w:val="da-DK"/>
        </w:rPr>
        <w:t>vidensmiljø</w:t>
      </w:r>
      <w:proofErr w:type="spellEnd"/>
      <w:r w:rsidRPr="00E41606">
        <w:rPr>
          <w:rStyle w:val="apple-converted-space"/>
          <w:rFonts w:ascii="Georgia" w:hAnsi="Georgia" w:cs="Helvetica"/>
          <w:bCs/>
          <w:sz w:val="20"/>
          <w:szCs w:val="20"/>
          <w:bdr w:val="none" w:sz="0" w:space="0" w:color="auto" w:frame="1"/>
          <w:lang w:val="da-DK"/>
        </w:rPr>
        <w:t xml:space="preserve">. Tomgangsraten for kontorer er blevet holdt nede, delvist som følge af en stor aktivitet i omdannelsen af kontorer til beboelse. Forrentningen er for nedadgående (forrentningen for førsteklasses kontorlokaler faldt fra 4,5 % til 4,25 % i sidste kvartal af 2015), men mange af svarpersonerne i undersøgelsen betragter stadig Danmark som et attraktivt marked for investeringer i ejendomme til brug for kontorer, detailhandel og boliger. Der vil sandsynligvis vise sig yderligere muligheder på langt sigt med udbygningen af byens metrosystem. </w:t>
      </w:r>
    </w:p>
    <w:p w:rsidR="00911BB8" w:rsidRPr="00E41606" w:rsidRDefault="00911BB8" w:rsidP="00911BB8">
      <w:pPr>
        <w:pStyle w:val="NormalWeb"/>
        <w:shd w:val="clear" w:color="auto" w:fill="FFFFFF"/>
        <w:spacing w:before="0" w:beforeAutospacing="0" w:after="0" w:afterAutospacing="0" w:line="276" w:lineRule="auto"/>
        <w:jc w:val="both"/>
        <w:textAlignment w:val="baseline"/>
        <w:rPr>
          <w:rFonts w:ascii="Georgia" w:hAnsi="Georgia" w:cs="Helvetica"/>
          <w:sz w:val="20"/>
          <w:szCs w:val="20"/>
          <w:lang w:val="da-DK"/>
        </w:rPr>
      </w:pPr>
    </w:p>
    <w:p w:rsidR="00911BB8" w:rsidRPr="00E41606" w:rsidRDefault="00911BB8" w:rsidP="00911BB8">
      <w:pPr>
        <w:pStyle w:val="NormalWeb"/>
        <w:shd w:val="clear" w:color="auto" w:fill="FFFFFF"/>
        <w:spacing w:before="0" w:beforeAutospacing="0" w:after="0" w:afterAutospacing="0" w:line="276" w:lineRule="auto"/>
        <w:jc w:val="both"/>
        <w:textAlignment w:val="baseline"/>
        <w:rPr>
          <w:rStyle w:val="Strong"/>
          <w:rFonts w:ascii="Georgia" w:hAnsi="Georgia" w:cs="Helvetica"/>
          <w:sz w:val="20"/>
          <w:szCs w:val="20"/>
          <w:bdr w:val="none" w:sz="0" w:space="0" w:color="auto" w:frame="1"/>
          <w:lang w:val="da-DK"/>
        </w:rPr>
      </w:pPr>
    </w:p>
    <w:p w:rsidR="00911BB8" w:rsidRPr="00E41606" w:rsidRDefault="00911BB8" w:rsidP="00911BB8">
      <w:pPr>
        <w:pStyle w:val="Body1"/>
        <w:rPr>
          <w:rFonts w:ascii="Georgia" w:hAnsi="Georgia"/>
          <w:b/>
          <w:sz w:val="20"/>
          <w:lang w:val="da-DK"/>
        </w:rPr>
      </w:pPr>
      <w:r w:rsidRPr="00E41606">
        <w:rPr>
          <w:rFonts w:ascii="Georgia" w:hAnsi="Georgia"/>
          <w:b/>
          <w:sz w:val="20"/>
          <w:lang w:val="da-DK"/>
        </w:rPr>
        <w:lastRenderedPageBreak/>
        <w:t>Top 10 over europæiske byer med højeste ejendomsinvesteringer i øjeblikket</w:t>
      </w:r>
    </w:p>
    <w:p w:rsidR="00911BB8" w:rsidRPr="00E41606" w:rsidRDefault="00911BB8" w:rsidP="00911BB8">
      <w:pPr>
        <w:pStyle w:val="NormalWeb"/>
        <w:shd w:val="clear" w:color="auto" w:fill="FFFFFF"/>
        <w:spacing w:before="0" w:beforeAutospacing="0" w:after="0" w:afterAutospacing="0" w:line="276" w:lineRule="auto"/>
        <w:textAlignment w:val="baseline"/>
        <w:rPr>
          <w:rFonts w:ascii="Georgia" w:hAnsi="Georgia" w:cs="Helvetica"/>
          <w:sz w:val="20"/>
          <w:szCs w:val="20"/>
          <w:lang w:val="da-DK"/>
        </w:rPr>
      </w:pPr>
    </w:p>
    <w:tbl>
      <w:tblPr>
        <w:tblW w:w="8661" w:type="dxa"/>
        <w:tblCellSpacing w:w="15" w:type="dxa"/>
        <w:shd w:val="clear" w:color="auto" w:fill="FFFFFF"/>
        <w:tblCellMar>
          <w:left w:w="0" w:type="dxa"/>
          <w:right w:w="0" w:type="dxa"/>
        </w:tblCellMar>
        <w:tblLook w:val="04A0" w:firstRow="1" w:lastRow="0" w:firstColumn="1" w:lastColumn="0" w:noHBand="0" w:noVBand="1"/>
      </w:tblPr>
      <w:tblGrid>
        <w:gridCol w:w="2784"/>
        <w:gridCol w:w="2661"/>
        <w:gridCol w:w="3122"/>
        <w:gridCol w:w="94"/>
      </w:tblGrid>
      <w:tr w:rsidR="00911BB8" w:rsidRPr="0073005F" w:rsidTr="00B85397">
        <w:trPr>
          <w:tblCellSpacing w:w="15" w:type="dxa"/>
        </w:trPr>
        <w:tc>
          <w:tcPr>
            <w:tcW w:w="2739" w:type="dxa"/>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Georgia" w:eastAsia="Times New Roman" w:hAnsi="Georgia" w:cs="Helvetica"/>
                <w:b/>
                <w:bCs/>
                <w:sz w:val="20"/>
                <w:szCs w:val="20"/>
                <w:bdr w:val="none" w:sz="0" w:space="0" w:color="auto" w:frame="1"/>
                <w:lang w:val="da-DK" w:eastAsia="en-GB"/>
              </w:rPr>
              <w:t>2016 placering</w:t>
            </w:r>
          </w:p>
        </w:tc>
        <w:tc>
          <w:tcPr>
            <w:tcW w:w="2631" w:type="dxa"/>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Georgia" w:eastAsia="Times New Roman" w:hAnsi="Georgia" w:cs="Helvetica"/>
                <w:b/>
                <w:bCs/>
                <w:sz w:val="20"/>
                <w:szCs w:val="20"/>
                <w:bdr w:val="none" w:sz="0" w:space="0" w:color="auto" w:frame="1"/>
                <w:lang w:val="da-DK" w:eastAsia="en-GB"/>
              </w:rPr>
              <w:t>2015 placering</w:t>
            </w:r>
          </w:p>
        </w:tc>
        <w:tc>
          <w:tcPr>
            <w:tcW w:w="3171" w:type="dxa"/>
            <w:gridSpan w:val="2"/>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Georgia" w:eastAsia="Times New Roman" w:hAnsi="Georgia" w:cs="Helvetica"/>
                <w:b/>
                <w:bCs/>
                <w:sz w:val="20"/>
                <w:szCs w:val="20"/>
                <w:bdr w:val="none" w:sz="0" w:space="0" w:color="auto" w:frame="1"/>
                <w:lang w:val="da-DK" w:eastAsia="en-GB"/>
              </w:rPr>
              <w:t>Ændring</w:t>
            </w:r>
          </w:p>
        </w:tc>
      </w:tr>
      <w:tr w:rsidR="00911BB8" w:rsidRPr="0073005F" w:rsidTr="00B85397">
        <w:trPr>
          <w:gridAfter w:val="1"/>
          <w:wAfter w:w="49" w:type="dxa"/>
          <w:tblCellSpacing w:w="15" w:type="dxa"/>
        </w:trPr>
        <w:tc>
          <w:tcPr>
            <w:tcW w:w="2739" w:type="dxa"/>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Georgia" w:eastAsia="Times New Roman" w:hAnsi="Georgia" w:cs="Helvetica"/>
                <w:b/>
                <w:bCs/>
                <w:sz w:val="20"/>
                <w:szCs w:val="20"/>
                <w:bdr w:val="none" w:sz="0" w:space="0" w:color="auto" w:frame="1"/>
                <w:lang w:val="da-DK" w:eastAsia="en-GB"/>
              </w:rPr>
              <w:t>1    Berlin</w:t>
            </w:r>
          </w:p>
        </w:tc>
        <w:tc>
          <w:tcPr>
            <w:tcW w:w="2631" w:type="dxa"/>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Georgia" w:eastAsia="Times New Roman" w:hAnsi="Georgia" w:cs="Helvetica"/>
                <w:sz w:val="20"/>
                <w:szCs w:val="20"/>
                <w:lang w:val="da-DK" w:eastAsia="en-GB"/>
              </w:rPr>
              <w:t>1</w:t>
            </w:r>
          </w:p>
        </w:tc>
        <w:tc>
          <w:tcPr>
            <w:tcW w:w="3092" w:type="dxa"/>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Times New Roman" w:eastAsia="Times New Roman" w:hAnsi="Times New Roman" w:cs="Times New Roman"/>
                <w:sz w:val="20"/>
                <w:szCs w:val="20"/>
                <w:lang w:val="da-DK" w:eastAsia="en-GB"/>
              </w:rPr>
              <w:t>↔</w:t>
            </w:r>
            <w:r w:rsidRPr="00E41606">
              <w:rPr>
                <w:rFonts w:ascii="Georgia" w:eastAsia="Times New Roman" w:hAnsi="Georgia" w:cs="Helvetica"/>
                <w:sz w:val="20"/>
                <w:szCs w:val="20"/>
                <w:lang w:val="da-DK" w:eastAsia="en-GB"/>
              </w:rPr>
              <w:t>0</w:t>
            </w:r>
          </w:p>
        </w:tc>
      </w:tr>
      <w:tr w:rsidR="00911BB8" w:rsidRPr="0073005F" w:rsidTr="00B85397">
        <w:trPr>
          <w:gridAfter w:val="1"/>
          <w:wAfter w:w="49" w:type="dxa"/>
          <w:tblCellSpacing w:w="15" w:type="dxa"/>
        </w:trPr>
        <w:tc>
          <w:tcPr>
            <w:tcW w:w="2739" w:type="dxa"/>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Georgia" w:eastAsia="Times New Roman" w:hAnsi="Georgia" w:cs="Helvetica"/>
                <w:b/>
                <w:bCs/>
                <w:sz w:val="20"/>
                <w:szCs w:val="20"/>
                <w:bdr w:val="none" w:sz="0" w:space="0" w:color="auto" w:frame="1"/>
                <w:lang w:val="da-DK" w:eastAsia="en-GB"/>
              </w:rPr>
              <w:t>2    Hamborg</w:t>
            </w:r>
          </w:p>
        </w:tc>
        <w:tc>
          <w:tcPr>
            <w:tcW w:w="2631" w:type="dxa"/>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Georgia" w:eastAsia="Times New Roman" w:hAnsi="Georgia" w:cs="Helvetica"/>
                <w:sz w:val="20"/>
                <w:szCs w:val="20"/>
                <w:lang w:val="da-DK" w:eastAsia="en-GB"/>
              </w:rPr>
              <w:t>4</w:t>
            </w:r>
          </w:p>
        </w:tc>
        <w:tc>
          <w:tcPr>
            <w:tcW w:w="3092" w:type="dxa"/>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Times New Roman" w:eastAsia="Times New Roman" w:hAnsi="Times New Roman" w:cs="Times New Roman"/>
                <w:sz w:val="20"/>
                <w:szCs w:val="20"/>
                <w:lang w:val="da-DK" w:eastAsia="en-GB"/>
              </w:rPr>
              <w:t>↑</w:t>
            </w:r>
            <w:r w:rsidRPr="00E41606">
              <w:rPr>
                <w:rFonts w:ascii="Georgia" w:eastAsia="Times New Roman" w:hAnsi="Georgia" w:cs="Helvetica"/>
                <w:sz w:val="20"/>
                <w:szCs w:val="20"/>
                <w:lang w:val="da-DK" w:eastAsia="en-GB"/>
              </w:rPr>
              <w:t>2</w:t>
            </w:r>
          </w:p>
        </w:tc>
      </w:tr>
      <w:tr w:rsidR="00911BB8" w:rsidRPr="0073005F" w:rsidTr="00B85397">
        <w:trPr>
          <w:gridAfter w:val="1"/>
          <w:wAfter w:w="49" w:type="dxa"/>
          <w:tblCellSpacing w:w="15" w:type="dxa"/>
        </w:trPr>
        <w:tc>
          <w:tcPr>
            <w:tcW w:w="2739" w:type="dxa"/>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Georgia" w:eastAsia="Times New Roman" w:hAnsi="Georgia" w:cs="Helvetica"/>
                <w:b/>
                <w:bCs/>
                <w:sz w:val="20"/>
                <w:szCs w:val="20"/>
                <w:bdr w:val="none" w:sz="0" w:space="0" w:color="auto" w:frame="1"/>
                <w:lang w:val="da-DK" w:eastAsia="en-GB"/>
              </w:rPr>
              <w:t>3    Dublin</w:t>
            </w:r>
          </w:p>
        </w:tc>
        <w:tc>
          <w:tcPr>
            <w:tcW w:w="2631" w:type="dxa"/>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Georgia" w:eastAsia="Times New Roman" w:hAnsi="Georgia" w:cs="Helvetica"/>
                <w:sz w:val="20"/>
                <w:szCs w:val="20"/>
                <w:lang w:val="da-DK" w:eastAsia="en-GB"/>
              </w:rPr>
              <w:t>2</w:t>
            </w:r>
          </w:p>
        </w:tc>
        <w:tc>
          <w:tcPr>
            <w:tcW w:w="3092" w:type="dxa"/>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Times New Roman" w:eastAsia="Times New Roman" w:hAnsi="Times New Roman" w:cs="Times New Roman"/>
                <w:sz w:val="20"/>
                <w:szCs w:val="20"/>
                <w:lang w:val="da-DK" w:eastAsia="en-GB"/>
              </w:rPr>
              <w:t>↓</w:t>
            </w:r>
            <w:r w:rsidRPr="00E41606">
              <w:rPr>
                <w:rFonts w:ascii="Georgia" w:eastAsia="Times New Roman" w:hAnsi="Georgia" w:cs="Helvetica"/>
                <w:sz w:val="20"/>
                <w:szCs w:val="20"/>
                <w:lang w:val="da-DK" w:eastAsia="en-GB"/>
              </w:rPr>
              <w:t>1</w:t>
            </w:r>
          </w:p>
        </w:tc>
      </w:tr>
      <w:tr w:rsidR="00911BB8" w:rsidRPr="0073005F" w:rsidTr="00B85397">
        <w:trPr>
          <w:gridAfter w:val="1"/>
          <w:wAfter w:w="49" w:type="dxa"/>
          <w:tblCellSpacing w:w="15" w:type="dxa"/>
        </w:trPr>
        <w:tc>
          <w:tcPr>
            <w:tcW w:w="2739" w:type="dxa"/>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Georgia" w:eastAsia="Times New Roman" w:hAnsi="Georgia" w:cs="Helvetica"/>
                <w:b/>
                <w:bCs/>
                <w:sz w:val="20"/>
                <w:szCs w:val="20"/>
                <w:bdr w:val="none" w:sz="0" w:space="0" w:color="auto" w:frame="1"/>
                <w:lang w:val="da-DK" w:eastAsia="en-GB"/>
              </w:rPr>
              <w:t>4    Madrid</w:t>
            </w:r>
          </w:p>
        </w:tc>
        <w:tc>
          <w:tcPr>
            <w:tcW w:w="2631" w:type="dxa"/>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Georgia" w:eastAsia="Times New Roman" w:hAnsi="Georgia" w:cs="Helvetica"/>
                <w:sz w:val="20"/>
                <w:szCs w:val="20"/>
                <w:lang w:val="da-DK" w:eastAsia="en-GB"/>
              </w:rPr>
              <w:t>3</w:t>
            </w:r>
          </w:p>
        </w:tc>
        <w:tc>
          <w:tcPr>
            <w:tcW w:w="3092" w:type="dxa"/>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Times New Roman" w:eastAsia="Times New Roman" w:hAnsi="Times New Roman" w:cs="Times New Roman"/>
                <w:sz w:val="20"/>
                <w:szCs w:val="20"/>
                <w:lang w:val="da-DK" w:eastAsia="en-GB"/>
              </w:rPr>
              <w:t>↓</w:t>
            </w:r>
            <w:r w:rsidRPr="00E41606">
              <w:rPr>
                <w:rFonts w:ascii="Georgia" w:eastAsia="Times New Roman" w:hAnsi="Georgia" w:cs="Helvetica"/>
                <w:sz w:val="20"/>
                <w:szCs w:val="20"/>
                <w:lang w:val="da-DK" w:eastAsia="en-GB"/>
              </w:rPr>
              <w:t>1</w:t>
            </w:r>
          </w:p>
        </w:tc>
      </w:tr>
      <w:tr w:rsidR="00911BB8" w:rsidRPr="00E41606" w:rsidTr="00B85397">
        <w:trPr>
          <w:gridAfter w:val="1"/>
          <w:wAfter w:w="49" w:type="dxa"/>
          <w:tblCellSpacing w:w="15" w:type="dxa"/>
        </w:trPr>
        <w:tc>
          <w:tcPr>
            <w:tcW w:w="2739" w:type="dxa"/>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Georgia" w:eastAsia="Times New Roman" w:hAnsi="Georgia" w:cs="Helvetica"/>
                <w:b/>
                <w:bCs/>
                <w:sz w:val="20"/>
                <w:szCs w:val="20"/>
                <w:bdr w:val="none" w:sz="0" w:space="0" w:color="auto" w:frame="1"/>
                <w:lang w:val="da-DK" w:eastAsia="en-GB"/>
              </w:rPr>
              <w:t>5    København</w:t>
            </w:r>
          </w:p>
        </w:tc>
        <w:tc>
          <w:tcPr>
            <w:tcW w:w="2631" w:type="dxa"/>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Georgia" w:eastAsia="Times New Roman" w:hAnsi="Georgia" w:cs="Helvetica"/>
                <w:sz w:val="20"/>
                <w:szCs w:val="20"/>
                <w:lang w:val="da-DK" w:eastAsia="en-GB"/>
              </w:rPr>
              <w:t>7</w:t>
            </w:r>
          </w:p>
        </w:tc>
        <w:tc>
          <w:tcPr>
            <w:tcW w:w="3092" w:type="dxa"/>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Times New Roman" w:eastAsia="Times New Roman" w:hAnsi="Times New Roman" w:cs="Times New Roman"/>
                <w:sz w:val="20"/>
                <w:szCs w:val="20"/>
                <w:lang w:val="da-DK" w:eastAsia="en-GB"/>
              </w:rPr>
              <w:t>↑</w:t>
            </w:r>
            <w:r w:rsidRPr="00E41606">
              <w:rPr>
                <w:rFonts w:ascii="Georgia" w:eastAsia="Times New Roman" w:hAnsi="Georgia" w:cs="Helvetica"/>
                <w:sz w:val="20"/>
                <w:szCs w:val="20"/>
                <w:lang w:val="da-DK" w:eastAsia="en-GB"/>
              </w:rPr>
              <w:t>2</w:t>
            </w:r>
          </w:p>
        </w:tc>
      </w:tr>
      <w:tr w:rsidR="00911BB8" w:rsidRPr="00E41606" w:rsidTr="00B85397">
        <w:trPr>
          <w:gridAfter w:val="1"/>
          <w:wAfter w:w="49" w:type="dxa"/>
          <w:tblCellSpacing w:w="15" w:type="dxa"/>
        </w:trPr>
        <w:tc>
          <w:tcPr>
            <w:tcW w:w="2739" w:type="dxa"/>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Georgia" w:eastAsia="Times New Roman" w:hAnsi="Georgia" w:cs="Helvetica"/>
                <w:b/>
                <w:bCs/>
                <w:sz w:val="20"/>
                <w:szCs w:val="20"/>
                <w:bdr w:val="none" w:sz="0" w:space="0" w:color="auto" w:frame="1"/>
                <w:lang w:val="da-DK" w:eastAsia="en-GB"/>
              </w:rPr>
              <w:t>6    Birmingham</w:t>
            </w:r>
          </w:p>
        </w:tc>
        <w:tc>
          <w:tcPr>
            <w:tcW w:w="2631" w:type="dxa"/>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Georgia" w:eastAsia="Times New Roman" w:hAnsi="Georgia" w:cs="Helvetica"/>
                <w:sz w:val="20"/>
                <w:szCs w:val="20"/>
                <w:lang w:val="da-DK" w:eastAsia="en-GB"/>
              </w:rPr>
              <w:t>6</w:t>
            </w:r>
          </w:p>
        </w:tc>
        <w:tc>
          <w:tcPr>
            <w:tcW w:w="3092" w:type="dxa"/>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Times New Roman" w:eastAsia="Times New Roman" w:hAnsi="Times New Roman" w:cs="Times New Roman"/>
                <w:sz w:val="20"/>
                <w:szCs w:val="20"/>
                <w:lang w:val="da-DK" w:eastAsia="en-GB"/>
              </w:rPr>
              <w:t>↔</w:t>
            </w:r>
            <w:r w:rsidRPr="00E41606">
              <w:rPr>
                <w:rFonts w:ascii="Georgia" w:eastAsia="Times New Roman" w:hAnsi="Georgia" w:cs="Helvetica"/>
                <w:sz w:val="20"/>
                <w:szCs w:val="20"/>
                <w:lang w:val="da-DK" w:eastAsia="en-GB"/>
              </w:rPr>
              <w:t>0</w:t>
            </w:r>
          </w:p>
        </w:tc>
      </w:tr>
      <w:tr w:rsidR="00911BB8" w:rsidRPr="00E41606" w:rsidTr="00B85397">
        <w:trPr>
          <w:gridAfter w:val="1"/>
          <w:wAfter w:w="49" w:type="dxa"/>
          <w:tblCellSpacing w:w="15" w:type="dxa"/>
        </w:trPr>
        <w:tc>
          <w:tcPr>
            <w:tcW w:w="2739" w:type="dxa"/>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Georgia" w:eastAsia="Times New Roman" w:hAnsi="Georgia" w:cs="Helvetica"/>
                <w:b/>
                <w:bCs/>
                <w:sz w:val="20"/>
                <w:szCs w:val="20"/>
                <w:bdr w:val="none" w:sz="0" w:space="0" w:color="auto" w:frame="1"/>
                <w:lang w:val="da-DK" w:eastAsia="en-GB"/>
              </w:rPr>
              <w:t>7    Lissabon</w:t>
            </w:r>
          </w:p>
        </w:tc>
        <w:tc>
          <w:tcPr>
            <w:tcW w:w="2631" w:type="dxa"/>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Georgia" w:eastAsia="Times New Roman" w:hAnsi="Georgia" w:cs="Helvetica"/>
                <w:sz w:val="20"/>
                <w:szCs w:val="20"/>
                <w:lang w:val="da-DK" w:eastAsia="en-GB"/>
              </w:rPr>
              <w:t>9</w:t>
            </w:r>
          </w:p>
        </w:tc>
        <w:tc>
          <w:tcPr>
            <w:tcW w:w="3092" w:type="dxa"/>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Times New Roman" w:eastAsia="Times New Roman" w:hAnsi="Times New Roman" w:cs="Times New Roman"/>
                <w:sz w:val="20"/>
                <w:szCs w:val="20"/>
                <w:lang w:val="da-DK" w:eastAsia="en-GB"/>
              </w:rPr>
              <w:t>↑</w:t>
            </w:r>
            <w:r w:rsidRPr="00E41606">
              <w:rPr>
                <w:rFonts w:ascii="Georgia" w:eastAsia="Times New Roman" w:hAnsi="Georgia" w:cs="Helvetica"/>
                <w:sz w:val="20"/>
                <w:szCs w:val="20"/>
                <w:lang w:val="da-DK" w:eastAsia="en-GB"/>
              </w:rPr>
              <w:t>2</w:t>
            </w:r>
          </w:p>
        </w:tc>
      </w:tr>
      <w:tr w:rsidR="00911BB8" w:rsidRPr="00E41606" w:rsidTr="00B85397">
        <w:trPr>
          <w:gridAfter w:val="1"/>
          <w:wAfter w:w="49" w:type="dxa"/>
          <w:tblCellSpacing w:w="15" w:type="dxa"/>
        </w:trPr>
        <w:tc>
          <w:tcPr>
            <w:tcW w:w="2739" w:type="dxa"/>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Georgia" w:eastAsia="Times New Roman" w:hAnsi="Georgia" w:cs="Helvetica"/>
                <w:b/>
                <w:bCs/>
                <w:sz w:val="20"/>
                <w:szCs w:val="20"/>
                <w:bdr w:val="none" w:sz="0" w:space="0" w:color="auto" w:frame="1"/>
                <w:lang w:val="da-DK" w:eastAsia="en-GB"/>
              </w:rPr>
              <w:t>8    Milano</w:t>
            </w:r>
          </w:p>
        </w:tc>
        <w:tc>
          <w:tcPr>
            <w:tcW w:w="2631" w:type="dxa"/>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Georgia" w:eastAsia="Times New Roman" w:hAnsi="Georgia" w:cs="Helvetica"/>
                <w:sz w:val="20"/>
                <w:szCs w:val="20"/>
                <w:lang w:val="da-DK" w:eastAsia="en-GB"/>
              </w:rPr>
              <w:t>12</w:t>
            </w:r>
          </w:p>
        </w:tc>
        <w:tc>
          <w:tcPr>
            <w:tcW w:w="3092" w:type="dxa"/>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Times New Roman" w:eastAsia="Times New Roman" w:hAnsi="Times New Roman" w:cs="Times New Roman"/>
                <w:sz w:val="20"/>
                <w:szCs w:val="20"/>
                <w:lang w:val="da-DK" w:eastAsia="en-GB"/>
              </w:rPr>
              <w:t>↑</w:t>
            </w:r>
            <w:r w:rsidRPr="00E41606">
              <w:rPr>
                <w:rFonts w:ascii="Georgia" w:eastAsia="Times New Roman" w:hAnsi="Georgia" w:cs="Helvetica"/>
                <w:sz w:val="20"/>
                <w:szCs w:val="20"/>
                <w:lang w:val="da-DK" w:eastAsia="en-GB"/>
              </w:rPr>
              <w:t>4</w:t>
            </w:r>
          </w:p>
        </w:tc>
      </w:tr>
      <w:tr w:rsidR="00911BB8" w:rsidRPr="00E41606" w:rsidTr="00B85397">
        <w:trPr>
          <w:gridAfter w:val="1"/>
          <w:wAfter w:w="49" w:type="dxa"/>
          <w:tblCellSpacing w:w="15" w:type="dxa"/>
        </w:trPr>
        <w:tc>
          <w:tcPr>
            <w:tcW w:w="2739" w:type="dxa"/>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Georgia" w:eastAsia="Times New Roman" w:hAnsi="Georgia" w:cs="Helvetica"/>
                <w:b/>
                <w:bCs/>
                <w:sz w:val="20"/>
                <w:szCs w:val="20"/>
                <w:bdr w:val="none" w:sz="0" w:space="0" w:color="auto" w:frame="1"/>
                <w:lang w:val="da-DK" w:eastAsia="en-GB"/>
              </w:rPr>
              <w:t>9    Amsterdam</w:t>
            </w:r>
          </w:p>
        </w:tc>
        <w:tc>
          <w:tcPr>
            <w:tcW w:w="2631" w:type="dxa"/>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Georgia" w:eastAsia="Times New Roman" w:hAnsi="Georgia" w:cs="Helvetica"/>
                <w:sz w:val="20"/>
                <w:szCs w:val="20"/>
                <w:lang w:val="da-DK" w:eastAsia="en-GB"/>
              </w:rPr>
              <w:t>8</w:t>
            </w:r>
          </w:p>
        </w:tc>
        <w:tc>
          <w:tcPr>
            <w:tcW w:w="3092" w:type="dxa"/>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Times New Roman" w:eastAsia="Times New Roman" w:hAnsi="Times New Roman" w:cs="Times New Roman"/>
                <w:sz w:val="20"/>
                <w:szCs w:val="20"/>
                <w:lang w:val="da-DK" w:eastAsia="en-GB"/>
              </w:rPr>
              <w:t>↓</w:t>
            </w:r>
            <w:r w:rsidRPr="00E41606">
              <w:rPr>
                <w:rFonts w:ascii="Georgia" w:eastAsia="Times New Roman" w:hAnsi="Georgia" w:cs="Helvetica"/>
                <w:sz w:val="20"/>
                <w:szCs w:val="20"/>
                <w:lang w:val="da-DK" w:eastAsia="en-GB"/>
              </w:rPr>
              <w:t>1</w:t>
            </w:r>
          </w:p>
        </w:tc>
      </w:tr>
      <w:tr w:rsidR="00911BB8" w:rsidRPr="00E41606" w:rsidTr="00B85397">
        <w:trPr>
          <w:gridAfter w:val="1"/>
          <w:wAfter w:w="49" w:type="dxa"/>
          <w:tblCellSpacing w:w="15" w:type="dxa"/>
        </w:trPr>
        <w:tc>
          <w:tcPr>
            <w:tcW w:w="2739" w:type="dxa"/>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Georgia" w:eastAsia="Times New Roman" w:hAnsi="Georgia" w:cs="Helvetica"/>
                <w:b/>
                <w:bCs/>
                <w:sz w:val="20"/>
                <w:szCs w:val="20"/>
                <w:bdr w:val="none" w:sz="0" w:space="0" w:color="auto" w:frame="1"/>
                <w:lang w:val="da-DK" w:eastAsia="en-GB"/>
              </w:rPr>
              <w:t>10   München</w:t>
            </w:r>
          </w:p>
        </w:tc>
        <w:tc>
          <w:tcPr>
            <w:tcW w:w="2631" w:type="dxa"/>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Georgia" w:eastAsia="Times New Roman" w:hAnsi="Georgia" w:cs="Helvetica"/>
                <w:sz w:val="20"/>
                <w:szCs w:val="20"/>
                <w:lang w:val="da-DK" w:eastAsia="en-GB"/>
              </w:rPr>
              <w:t>11</w:t>
            </w:r>
          </w:p>
        </w:tc>
        <w:tc>
          <w:tcPr>
            <w:tcW w:w="3092" w:type="dxa"/>
            <w:tcBorders>
              <w:top w:val="nil"/>
              <w:left w:val="nil"/>
              <w:bottom w:val="nil"/>
              <w:right w:val="nil"/>
            </w:tcBorders>
            <w:shd w:val="clear" w:color="auto" w:fill="FFFFFF"/>
            <w:tcMar>
              <w:top w:w="90" w:type="dxa"/>
              <w:left w:w="0" w:type="dxa"/>
              <w:bottom w:w="90" w:type="dxa"/>
              <w:right w:w="150" w:type="dxa"/>
            </w:tcMar>
            <w:vAlign w:val="bottom"/>
            <w:hideMark/>
          </w:tcPr>
          <w:p w:rsidR="00911BB8" w:rsidRPr="00E41606" w:rsidRDefault="00911BB8" w:rsidP="00B85397">
            <w:pPr>
              <w:spacing w:after="0" w:line="276" w:lineRule="auto"/>
              <w:rPr>
                <w:rFonts w:ascii="Georgia" w:eastAsia="Times New Roman" w:hAnsi="Georgia" w:cs="Helvetica"/>
                <w:sz w:val="20"/>
                <w:szCs w:val="20"/>
                <w:lang w:val="da-DK" w:eastAsia="en-GB"/>
              </w:rPr>
            </w:pPr>
            <w:r w:rsidRPr="00E41606">
              <w:rPr>
                <w:rFonts w:ascii="Times New Roman" w:eastAsia="Times New Roman" w:hAnsi="Times New Roman" w:cs="Times New Roman"/>
                <w:sz w:val="20"/>
                <w:szCs w:val="20"/>
                <w:lang w:val="da-DK" w:eastAsia="en-GB"/>
              </w:rPr>
              <w:t>↑</w:t>
            </w:r>
            <w:r w:rsidRPr="00E41606">
              <w:rPr>
                <w:rFonts w:ascii="Georgia" w:eastAsia="Times New Roman" w:hAnsi="Georgia" w:cs="Helvetica"/>
                <w:sz w:val="20"/>
                <w:szCs w:val="20"/>
                <w:lang w:val="da-DK" w:eastAsia="en-GB"/>
              </w:rPr>
              <w:t>1</w:t>
            </w:r>
          </w:p>
        </w:tc>
      </w:tr>
    </w:tbl>
    <w:p w:rsidR="00911BB8" w:rsidRPr="00E41606" w:rsidRDefault="00911BB8" w:rsidP="00911BB8">
      <w:pPr>
        <w:pStyle w:val="NormalWeb"/>
        <w:shd w:val="clear" w:color="auto" w:fill="FFFFFF"/>
        <w:spacing w:before="0" w:beforeAutospacing="0" w:after="0" w:afterAutospacing="0" w:line="276" w:lineRule="auto"/>
        <w:jc w:val="both"/>
        <w:textAlignment w:val="baseline"/>
        <w:rPr>
          <w:rStyle w:val="Strong"/>
          <w:rFonts w:ascii="Georgia" w:hAnsi="Georgia" w:cs="Helvetica"/>
          <w:sz w:val="20"/>
          <w:szCs w:val="20"/>
          <w:bdr w:val="none" w:sz="0" w:space="0" w:color="auto" w:frame="1"/>
          <w:lang w:val="da-DK"/>
        </w:rPr>
      </w:pPr>
    </w:p>
    <w:p w:rsidR="00911BB8" w:rsidRPr="00E41606" w:rsidRDefault="00911BB8" w:rsidP="00911BB8">
      <w:pPr>
        <w:pStyle w:val="NormalWeb"/>
        <w:shd w:val="clear" w:color="auto" w:fill="FFFFFF"/>
        <w:spacing w:before="0" w:beforeAutospacing="0" w:after="0" w:afterAutospacing="0" w:line="276" w:lineRule="auto"/>
        <w:jc w:val="both"/>
        <w:textAlignment w:val="baseline"/>
        <w:rPr>
          <w:rFonts w:ascii="Georgia" w:hAnsi="Georgia" w:cs="Helvetica"/>
          <w:sz w:val="20"/>
          <w:szCs w:val="20"/>
          <w:lang w:val="en-US"/>
        </w:rPr>
      </w:pPr>
      <w:r w:rsidRPr="00E41606">
        <w:rPr>
          <w:rStyle w:val="Strong"/>
          <w:rFonts w:ascii="Georgia" w:hAnsi="Georgia" w:cs="Helvetica"/>
          <w:sz w:val="20"/>
          <w:szCs w:val="20"/>
          <w:bdr w:val="none" w:sz="0" w:space="0" w:color="auto" w:frame="1"/>
          <w:lang w:val="en-US"/>
        </w:rPr>
        <w:t>Emerging Trends in Real Estate® Europe</w:t>
      </w:r>
    </w:p>
    <w:p w:rsidR="00911BB8" w:rsidRPr="00E41606" w:rsidRDefault="00911BB8" w:rsidP="00911BB8">
      <w:pPr>
        <w:pStyle w:val="NormalWeb"/>
        <w:shd w:val="clear" w:color="auto" w:fill="FFFFFF"/>
        <w:spacing w:before="0" w:beforeAutospacing="0" w:after="0" w:afterAutospacing="0" w:line="276" w:lineRule="auto"/>
        <w:jc w:val="both"/>
        <w:textAlignment w:val="baseline"/>
        <w:rPr>
          <w:rFonts w:ascii="Georgia" w:hAnsi="Georgia" w:cs="Helvetica"/>
          <w:sz w:val="20"/>
          <w:szCs w:val="20"/>
          <w:lang w:val="da-DK"/>
        </w:rPr>
      </w:pPr>
      <w:r w:rsidRPr="00E41606">
        <w:rPr>
          <w:rFonts w:ascii="Georgia" w:hAnsi="Georgia"/>
          <w:i/>
          <w:sz w:val="20"/>
          <w:szCs w:val="20"/>
          <w:lang w:val="da-DK"/>
        </w:rPr>
        <w:t>”</w:t>
      </w:r>
      <w:proofErr w:type="spellStart"/>
      <w:r w:rsidRPr="00E41606">
        <w:rPr>
          <w:rFonts w:ascii="Georgia" w:hAnsi="Georgia"/>
          <w:i/>
          <w:sz w:val="20"/>
          <w:szCs w:val="20"/>
          <w:lang w:val="da-DK"/>
        </w:rPr>
        <w:t>Emerging</w:t>
      </w:r>
      <w:proofErr w:type="spellEnd"/>
      <w:r w:rsidRPr="00E41606">
        <w:rPr>
          <w:rFonts w:ascii="Georgia" w:hAnsi="Georgia"/>
          <w:i/>
          <w:sz w:val="20"/>
          <w:szCs w:val="20"/>
          <w:lang w:val="da-DK"/>
        </w:rPr>
        <w:t xml:space="preserve"> Trends in Real </w:t>
      </w:r>
      <w:proofErr w:type="spellStart"/>
      <w:r w:rsidRPr="00E41606">
        <w:rPr>
          <w:rFonts w:ascii="Georgia" w:hAnsi="Georgia"/>
          <w:i/>
          <w:sz w:val="20"/>
          <w:szCs w:val="20"/>
          <w:lang w:val="da-DK"/>
        </w:rPr>
        <w:t>Estate</w:t>
      </w:r>
      <w:proofErr w:type="spellEnd"/>
      <w:r w:rsidRPr="00E41606">
        <w:rPr>
          <w:rFonts w:ascii="Georgia" w:hAnsi="Georgia"/>
          <w:i/>
          <w:sz w:val="20"/>
          <w:szCs w:val="20"/>
          <w:lang w:val="da-DK"/>
        </w:rPr>
        <w:t xml:space="preserve">® Europe” </w:t>
      </w:r>
      <w:r w:rsidRPr="00E41606">
        <w:rPr>
          <w:rFonts w:ascii="Georgia" w:hAnsi="Georgia"/>
          <w:sz w:val="20"/>
          <w:szCs w:val="20"/>
          <w:lang w:val="da-DK"/>
        </w:rPr>
        <w:t>er en rapport</w:t>
      </w:r>
      <w:r w:rsidR="0073005F">
        <w:rPr>
          <w:rFonts w:ascii="Georgia" w:hAnsi="Georgia"/>
          <w:sz w:val="20"/>
          <w:szCs w:val="20"/>
          <w:lang w:val="da-DK"/>
        </w:rPr>
        <w:t>, der er blevet</w:t>
      </w:r>
      <w:r w:rsidRPr="00E41606">
        <w:rPr>
          <w:rFonts w:ascii="Georgia" w:hAnsi="Georgia"/>
          <w:sz w:val="20"/>
          <w:szCs w:val="20"/>
          <w:lang w:val="da-DK"/>
        </w:rPr>
        <w:t xml:space="preserve"> udgivet</w:t>
      </w:r>
      <w:r w:rsidR="0073005F">
        <w:rPr>
          <w:rFonts w:ascii="Georgia" w:hAnsi="Georgia"/>
          <w:sz w:val="20"/>
          <w:szCs w:val="20"/>
          <w:lang w:val="da-DK"/>
        </w:rPr>
        <w:t xml:space="preserve"> årligt</w:t>
      </w:r>
      <w:r w:rsidRPr="00E41606">
        <w:rPr>
          <w:rFonts w:ascii="Georgia" w:hAnsi="Georgia"/>
          <w:sz w:val="20"/>
          <w:szCs w:val="20"/>
          <w:lang w:val="da-DK"/>
        </w:rPr>
        <w:t xml:space="preserve"> af Urban Land </w:t>
      </w:r>
      <w:proofErr w:type="spellStart"/>
      <w:r w:rsidRPr="00E41606">
        <w:rPr>
          <w:rFonts w:ascii="Georgia" w:hAnsi="Georgia"/>
          <w:sz w:val="20"/>
          <w:szCs w:val="20"/>
          <w:lang w:val="da-DK"/>
        </w:rPr>
        <w:t>Institute</w:t>
      </w:r>
      <w:proofErr w:type="spellEnd"/>
      <w:r w:rsidRPr="00E41606">
        <w:rPr>
          <w:rFonts w:ascii="Georgia" w:hAnsi="Georgia"/>
          <w:sz w:val="20"/>
          <w:szCs w:val="20"/>
          <w:lang w:val="da-DK"/>
        </w:rPr>
        <w:t xml:space="preserve"> (ULI) og </w:t>
      </w:r>
      <w:proofErr w:type="spellStart"/>
      <w:r w:rsidRPr="00E41606">
        <w:rPr>
          <w:rFonts w:ascii="Georgia" w:hAnsi="Georgia"/>
          <w:sz w:val="20"/>
          <w:szCs w:val="20"/>
          <w:lang w:val="da-DK"/>
        </w:rPr>
        <w:t>PricewaterhouseCoopers</w:t>
      </w:r>
      <w:proofErr w:type="spellEnd"/>
      <w:r w:rsidRPr="00E41606">
        <w:rPr>
          <w:rFonts w:ascii="Georgia" w:hAnsi="Georgia"/>
          <w:sz w:val="20"/>
          <w:szCs w:val="20"/>
          <w:lang w:val="da-DK"/>
        </w:rPr>
        <w:t xml:space="preserve"> (</w:t>
      </w:r>
      <w:proofErr w:type="spellStart"/>
      <w:r w:rsidRPr="00E41606">
        <w:rPr>
          <w:rFonts w:ascii="Georgia" w:hAnsi="Georgia"/>
          <w:sz w:val="20"/>
          <w:szCs w:val="20"/>
          <w:lang w:val="da-DK"/>
        </w:rPr>
        <w:t>PwC</w:t>
      </w:r>
      <w:proofErr w:type="spellEnd"/>
      <w:r w:rsidRPr="00E41606">
        <w:rPr>
          <w:rFonts w:ascii="Georgia" w:hAnsi="Georgia"/>
          <w:sz w:val="20"/>
          <w:szCs w:val="20"/>
          <w:lang w:val="da-DK"/>
        </w:rPr>
        <w:t>) i fællesskab siden 2003. Rapporten ser på udsigterne for europæiske investeringer i fast ejendom og udviklingstendenserne på dette område, ejendomsfinansiering og kapitalmarkederne samt tendenserne opdelt på ejendomssektor og geografisk område. Rapporten er baseret på holdningerne blandt mere end 500 internationalt førende eksperter inden for fast ejendom, herunder investorer, entreprenører, långivere, ejendomsmæglere og konsulenter</w:t>
      </w:r>
      <w:r w:rsidRPr="00E41606">
        <w:rPr>
          <w:rFonts w:ascii="Georgia" w:hAnsi="Georgia" w:cs="Helvetica"/>
          <w:sz w:val="20"/>
          <w:szCs w:val="20"/>
          <w:lang w:val="da-DK"/>
        </w:rPr>
        <w:t>.</w:t>
      </w:r>
    </w:p>
    <w:p w:rsidR="00911BB8" w:rsidRPr="00E41606" w:rsidRDefault="00911BB8" w:rsidP="00911BB8">
      <w:pPr>
        <w:pStyle w:val="NormalWeb"/>
        <w:shd w:val="clear" w:color="auto" w:fill="FFFFFF"/>
        <w:spacing w:before="0" w:beforeAutospacing="0" w:after="0" w:afterAutospacing="0" w:line="276" w:lineRule="auto"/>
        <w:jc w:val="both"/>
        <w:textAlignment w:val="baseline"/>
        <w:rPr>
          <w:rStyle w:val="Strong"/>
          <w:rFonts w:ascii="Georgia" w:hAnsi="Georgia" w:cs="Helvetica"/>
          <w:sz w:val="20"/>
          <w:szCs w:val="20"/>
          <w:bdr w:val="none" w:sz="0" w:space="0" w:color="auto" w:frame="1"/>
          <w:lang w:val="da-DK"/>
        </w:rPr>
      </w:pPr>
    </w:p>
    <w:p w:rsidR="002E5F18" w:rsidRDefault="00911BB8" w:rsidP="002E5F18">
      <w:pPr>
        <w:pStyle w:val="BasicParagraph"/>
        <w:rPr>
          <w:rFonts w:ascii="ITC Charter Com" w:hAnsi="ITC Charter Com" w:cs="ITC Charter Com"/>
          <w:i/>
          <w:sz w:val="14"/>
          <w:szCs w:val="14"/>
          <w:lang w:val="da-DK"/>
        </w:rPr>
      </w:pPr>
      <w:r w:rsidRPr="00E41606">
        <w:rPr>
          <w:rFonts w:ascii="Georgia" w:hAnsi="Georgia"/>
          <w:sz w:val="20"/>
          <w:szCs w:val="20"/>
          <w:lang w:val="da-DK"/>
        </w:rPr>
        <w:br w:type="textWrapping" w:clear="all"/>
      </w:r>
    </w:p>
    <w:p w:rsidR="002E5F18" w:rsidRDefault="002E5F18" w:rsidP="002E5F18">
      <w:pPr>
        <w:pStyle w:val="BasicParagraph"/>
        <w:rPr>
          <w:rFonts w:ascii="ITC Charter Com" w:hAnsi="ITC Charter Com" w:cs="ITC Charter Com"/>
          <w:i/>
          <w:sz w:val="14"/>
          <w:szCs w:val="14"/>
          <w:lang w:val="da-DK"/>
        </w:rPr>
      </w:pPr>
    </w:p>
    <w:p w:rsidR="002E5F18" w:rsidRDefault="002E5F18" w:rsidP="002E5F18">
      <w:pPr>
        <w:pStyle w:val="BasicParagraph"/>
        <w:rPr>
          <w:rFonts w:ascii="ITC Charter Com" w:hAnsi="ITC Charter Com" w:cs="ITC Charter Com"/>
          <w:i/>
          <w:sz w:val="14"/>
          <w:szCs w:val="14"/>
          <w:lang w:val="da-DK"/>
        </w:rPr>
      </w:pPr>
    </w:p>
    <w:p w:rsidR="002E5F18" w:rsidRDefault="002E5F18" w:rsidP="002E5F18">
      <w:pPr>
        <w:pStyle w:val="BasicParagraph"/>
        <w:rPr>
          <w:rFonts w:ascii="ITC Charter Com" w:hAnsi="ITC Charter Com" w:cs="ITC Charter Com"/>
          <w:i/>
          <w:sz w:val="14"/>
          <w:szCs w:val="14"/>
          <w:lang w:val="da-DK"/>
        </w:rPr>
      </w:pPr>
    </w:p>
    <w:p w:rsidR="002E5F18" w:rsidRDefault="002E5F18" w:rsidP="002E5F18">
      <w:pPr>
        <w:pStyle w:val="BasicParagraph"/>
        <w:rPr>
          <w:rFonts w:ascii="ITC Charter Com" w:hAnsi="ITC Charter Com" w:cs="ITC Charter Com"/>
          <w:i/>
          <w:sz w:val="14"/>
          <w:szCs w:val="14"/>
          <w:lang w:val="da-DK"/>
        </w:rPr>
      </w:pPr>
    </w:p>
    <w:p w:rsidR="002E5F18" w:rsidRDefault="002E5F18" w:rsidP="002E5F18">
      <w:pPr>
        <w:pStyle w:val="BasicParagraph"/>
        <w:rPr>
          <w:rFonts w:ascii="ITC Charter Com" w:hAnsi="ITC Charter Com" w:cs="ITC Charter Com"/>
          <w:i/>
          <w:sz w:val="14"/>
          <w:szCs w:val="14"/>
          <w:lang w:val="da-DK"/>
        </w:rPr>
      </w:pPr>
    </w:p>
    <w:p w:rsidR="002E5F18" w:rsidRDefault="002E5F18" w:rsidP="002E5F18">
      <w:pPr>
        <w:pStyle w:val="BasicParagraph"/>
        <w:rPr>
          <w:rFonts w:ascii="ITC Charter Com" w:hAnsi="ITC Charter Com" w:cs="ITC Charter Com"/>
          <w:i/>
          <w:sz w:val="14"/>
          <w:szCs w:val="14"/>
          <w:lang w:val="da-DK"/>
        </w:rPr>
      </w:pPr>
    </w:p>
    <w:p w:rsidR="002E5F18" w:rsidRDefault="002E5F18" w:rsidP="002E5F18">
      <w:pPr>
        <w:pStyle w:val="BasicParagraph"/>
        <w:rPr>
          <w:rFonts w:ascii="ITC Charter Com" w:hAnsi="ITC Charter Com" w:cs="ITC Charter Com"/>
          <w:i/>
          <w:sz w:val="14"/>
          <w:szCs w:val="14"/>
          <w:lang w:val="da-DK"/>
        </w:rPr>
      </w:pPr>
    </w:p>
    <w:p w:rsidR="002E5F18" w:rsidRDefault="002E5F18" w:rsidP="002E5F18">
      <w:pPr>
        <w:pStyle w:val="BasicParagraph"/>
        <w:rPr>
          <w:rFonts w:ascii="ITC Charter Com" w:hAnsi="ITC Charter Com" w:cs="ITC Charter Com"/>
          <w:i/>
          <w:sz w:val="14"/>
          <w:szCs w:val="14"/>
          <w:lang w:val="da-DK"/>
        </w:rPr>
      </w:pPr>
    </w:p>
    <w:p w:rsidR="002E5F18" w:rsidRDefault="002E5F18" w:rsidP="002E5F18">
      <w:pPr>
        <w:pStyle w:val="BasicParagraph"/>
        <w:rPr>
          <w:rFonts w:ascii="ITC Charter Com" w:hAnsi="ITC Charter Com" w:cs="ITC Charter Com"/>
          <w:i/>
          <w:sz w:val="14"/>
          <w:szCs w:val="14"/>
          <w:lang w:val="da-DK"/>
        </w:rPr>
      </w:pPr>
    </w:p>
    <w:p w:rsidR="002E5F18" w:rsidRDefault="002E5F18" w:rsidP="002E5F18">
      <w:pPr>
        <w:pStyle w:val="BasicParagraph"/>
        <w:rPr>
          <w:rFonts w:ascii="ITC Charter Com" w:hAnsi="ITC Charter Com" w:cs="ITC Charter Com"/>
          <w:i/>
          <w:sz w:val="14"/>
          <w:szCs w:val="14"/>
          <w:lang w:val="da-DK"/>
        </w:rPr>
      </w:pPr>
    </w:p>
    <w:p w:rsidR="002E5F18" w:rsidRDefault="002E5F18" w:rsidP="002E5F18">
      <w:pPr>
        <w:pStyle w:val="BasicParagraph"/>
        <w:rPr>
          <w:rFonts w:ascii="ITC Charter Com" w:hAnsi="ITC Charter Com" w:cs="ITC Charter Com"/>
          <w:i/>
          <w:sz w:val="14"/>
          <w:szCs w:val="14"/>
          <w:lang w:val="da-DK"/>
        </w:rPr>
      </w:pPr>
    </w:p>
    <w:p w:rsidR="002E5F18" w:rsidRDefault="002E5F18" w:rsidP="002E5F18">
      <w:pPr>
        <w:pStyle w:val="BasicParagraph"/>
        <w:rPr>
          <w:rFonts w:ascii="ITC Charter Com" w:hAnsi="ITC Charter Com" w:cs="ITC Charter Com"/>
          <w:i/>
          <w:sz w:val="14"/>
          <w:szCs w:val="14"/>
          <w:lang w:val="da-DK"/>
        </w:rPr>
      </w:pPr>
    </w:p>
    <w:p w:rsidR="002E5F18" w:rsidRDefault="002E5F18" w:rsidP="002E5F18">
      <w:pPr>
        <w:pStyle w:val="BasicParagraph"/>
        <w:rPr>
          <w:rFonts w:ascii="ITC Charter Com" w:hAnsi="ITC Charter Com" w:cs="ITC Charter Com"/>
          <w:i/>
          <w:sz w:val="14"/>
          <w:szCs w:val="14"/>
          <w:lang w:val="da-DK"/>
        </w:rPr>
      </w:pPr>
    </w:p>
    <w:p w:rsidR="002E5F18" w:rsidRDefault="002E5F18" w:rsidP="002E5F18">
      <w:pPr>
        <w:pStyle w:val="BasicParagraph"/>
        <w:rPr>
          <w:rFonts w:ascii="ITC Charter Com" w:hAnsi="ITC Charter Com" w:cs="ITC Charter Com"/>
          <w:i/>
          <w:sz w:val="14"/>
          <w:szCs w:val="14"/>
          <w:lang w:val="da-DK"/>
        </w:rPr>
      </w:pPr>
      <w:r>
        <w:rPr>
          <w:rFonts w:ascii="ITC Charter Com" w:hAnsi="ITC Charter Com" w:cs="ITC Charter Com"/>
          <w:i/>
          <w:sz w:val="14"/>
          <w:szCs w:val="14"/>
          <w:lang w:val="da-DK"/>
        </w:rPr>
        <w:t xml:space="preserve">Denne publikation er udarbejdet alene som en generel orientering om forhold, som måtte være af interesse, og gør det ikke ud for professionel rådgivning. Du bør ikke disponere på baggrund af de oplysninger, der er indeholdt i denne publikation, uden at indhente specifik professionel rådgivning. Vi afgiver ingen erklæringer eller garantier (udtrykkeligt eller underforstået), hvad angår nøjagtigheden og fuldstændigheden af de oplysninger, der findes i publikationen, og, i det omfang loven tillader, accepterer eller påtager </w:t>
      </w:r>
      <w:proofErr w:type="spellStart"/>
      <w:r>
        <w:rPr>
          <w:rFonts w:ascii="ITC Charter Com" w:hAnsi="ITC Charter Com" w:cs="ITC Charter Com"/>
          <w:i/>
          <w:sz w:val="14"/>
          <w:szCs w:val="14"/>
          <w:lang w:val="da-DK"/>
        </w:rPr>
        <w:t>Pricewaterhouse</w:t>
      </w:r>
      <w:r>
        <w:rPr>
          <w:rFonts w:ascii="ITC Charter Com" w:hAnsi="ITC Charter Com" w:cs="ITC Charter Com"/>
          <w:i/>
          <w:sz w:val="14"/>
          <w:szCs w:val="14"/>
          <w:lang w:val="da-DK"/>
        </w:rPr>
        <w:softHyphen/>
        <w:t>Coopers</w:t>
      </w:r>
      <w:proofErr w:type="spellEnd"/>
      <w:r>
        <w:rPr>
          <w:rFonts w:ascii="ITC Charter Com" w:hAnsi="ITC Charter Com" w:cs="ITC Charter Com"/>
          <w:i/>
          <w:sz w:val="14"/>
          <w:szCs w:val="14"/>
          <w:lang w:val="da-DK"/>
        </w:rPr>
        <w:t xml:space="preserve"> Statsautoriseret Revisionspartnerselskab, dets aktionærer, medarbejdere og repræsentanter sig ikke nogen forpligtelse, ansvar eller agtpågivenhedspligt for eventuelle konsekvenser, som følger af, at du eller andre handler eller undlader at handle i tillid til de oplysninger, der findes i publikationen, eller for eventuelle beslutninger truffet på baggrund af publikationen.</w:t>
      </w:r>
    </w:p>
    <w:p w:rsidR="002E5F18" w:rsidRDefault="002E5F18" w:rsidP="002E5F18">
      <w:pPr>
        <w:pStyle w:val="BasicParagraph"/>
        <w:rPr>
          <w:rFonts w:ascii="ITC Charter Com" w:hAnsi="ITC Charter Com" w:cs="ITC Charter Com"/>
          <w:i/>
          <w:sz w:val="14"/>
          <w:szCs w:val="14"/>
          <w:lang w:val="da-DK"/>
        </w:rPr>
      </w:pPr>
    </w:p>
    <w:p w:rsidR="00AD3C11" w:rsidRPr="00911BB8" w:rsidRDefault="002E5F18" w:rsidP="00227D5B">
      <w:pPr>
        <w:pStyle w:val="BasicParagraph"/>
        <w:rPr>
          <w:rFonts w:ascii="Georgia" w:hAnsi="Georgia"/>
          <w:sz w:val="20"/>
          <w:szCs w:val="20"/>
          <w:lang w:val="da-DK"/>
        </w:rPr>
      </w:pPr>
      <w:r>
        <w:rPr>
          <w:rFonts w:ascii="ITC Charter Com" w:hAnsi="ITC Charter Com" w:cs="ITC Charter Com"/>
          <w:i/>
          <w:sz w:val="14"/>
          <w:szCs w:val="14"/>
          <w:lang w:val="da-DK"/>
        </w:rPr>
        <w:t xml:space="preserve">© 2016 </w:t>
      </w:r>
      <w:proofErr w:type="spellStart"/>
      <w:r>
        <w:rPr>
          <w:rFonts w:ascii="ITC Charter Com" w:hAnsi="ITC Charter Com" w:cs="ITC Charter Com"/>
          <w:i/>
          <w:sz w:val="14"/>
          <w:szCs w:val="14"/>
          <w:lang w:val="da-DK"/>
        </w:rPr>
        <w:t>PricewaterhouseCoopers</w:t>
      </w:r>
      <w:proofErr w:type="spellEnd"/>
      <w:r>
        <w:rPr>
          <w:rFonts w:ascii="ITC Charter Com" w:hAnsi="ITC Charter Com" w:cs="ITC Charter Com"/>
          <w:i/>
          <w:sz w:val="14"/>
          <w:szCs w:val="14"/>
          <w:lang w:val="da-DK"/>
        </w:rPr>
        <w:t xml:space="preserve"> Statsautoriseret Revisionspartnerselskab. Alle rettigheder forbeholdes. I dette dokument refererer “</w:t>
      </w:r>
      <w:proofErr w:type="spellStart"/>
      <w:r>
        <w:rPr>
          <w:rFonts w:ascii="ITC Charter Com" w:hAnsi="ITC Charter Com" w:cs="ITC Charter Com"/>
          <w:i/>
          <w:sz w:val="14"/>
          <w:szCs w:val="14"/>
          <w:lang w:val="da-DK"/>
        </w:rPr>
        <w:t>PwC</w:t>
      </w:r>
      <w:proofErr w:type="spellEnd"/>
      <w:r>
        <w:rPr>
          <w:rFonts w:ascii="ITC Charter Com" w:hAnsi="ITC Charter Com" w:cs="ITC Charter Com"/>
          <w:i/>
          <w:sz w:val="14"/>
          <w:szCs w:val="14"/>
          <w:lang w:val="da-DK"/>
        </w:rPr>
        <w:t xml:space="preserve">” til </w:t>
      </w:r>
      <w:proofErr w:type="spellStart"/>
      <w:r>
        <w:rPr>
          <w:rFonts w:ascii="ITC Charter Com" w:hAnsi="ITC Charter Com" w:cs="ITC Charter Com"/>
          <w:i/>
          <w:sz w:val="14"/>
          <w:szCs w:val="14"/>
          <w:lang w:val="da-DK"/>
        </w:rPr>
        <w:t>PricewaterhouseCoopers</w:t>
      </w:r>
      <w:proofErr w:type="spellEnd"/>
      <w:r>
        <w:rPr>
          <w:rFonts w:ascii="ITC Charter Com" w:hAnsi="ITC Charter Com" w:cs="ITC Charter Com"/>
          <w:i/>
          <w:sz w:val="14"/>
          <w:szCs w:val="14"/>
          <w:lang w:val="da-DK"/>
        </w:rPr>
        <w:t xml:space="preserve"> Statsautoriseret Revisionspartnerselskab, som er et medlemsfirma af </w:t>
      </w:r>
      <w:proofErr w:type="spellStart"/>
      <w:r>
        <w:rPr>
          <w:rFonts w:ascii="ITC Charter Com" w:hAnsi="ITC Charter Com" w:cs="ITC Charter Com"/>
          <w:i/>
          <w:sz w:val="14"/>
          <w:szCs w:val="14"/>
          <w:lang w:val="da-DK"/>
        </w:rPr>
        <w:t>Pricewaterhouse</w:t>
      </w:r>
      <w:r>
        <w:rPr>
          <w:rFonts w:ascii="ITC Charter Com" w:hAnsi="ITC Charter Com" w:cs="ITC Charter Com"/>
          <w:i/>
          <w:sz w:val="14"/>
          <w:szCs w:val="14"/>
          <w:lang w:val="da-DK"/>
        </w:rPr>
        <w:softHyphen/>
        <w:t>Coopers</w:t>
      </w:r>
      <w:proofErr w:type="spellEnd"/>
      <w:r>
        <w:rPr>
          <w:rFonts w:ascii="ITC Charter Com" w:hAnsi="ITC Charter Com" w:cs="ITC Charter Com"/>
          <w:i/>
          <w:sz w:val="14"/>
          <w:szCs w:val="14"/>
          <w:lang w:val="da-DK"/>
        </w:rPr>
        <w:t xml:space="preserve"> International Limited, hvor hver enkelt virksomhed er en særskilt juridisk enhed.</w:t>
      </w:r>
      <w:bookmarkStart w:id="0" w:name="_GoBack"/>
      <w:bookmarkEnd w:id="0"/>
    </w:p>
    <w:sectPr w:rsidR="00AD3C11" w:rsidRPr="00911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HelveticaNeueLTStd-Roman">
    <w:altName w:val="Arial"/>
    <w:panose1 w:val="00000000000000000000"/>
    <w:charset w:val="EE"/>
    <w:family w:val="swiss"/>
    <w:notTrueType/>
    <w:pitch w:val="default"/>
    <w:sig w:usb0="00000005" w:usb1="00000000" w:usb2="00000000" w:usb3="00000000" w:csb0="00000002" w:csb1="00000000"/>
  </w:font>
  <w:font w:name="ITC Charter Com">
    <w:panose1 w:val="02040503050906060B04"/>
    <w:charset w:val="00"/>
    <w:family w:val="roman"/>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B8"/>
    <w:rsid w:val="0005767F"/>
    <w:rsid w:val="00060C73"/>
    <w:rsid w:val="00227D5B"/>
    <w:rsid w:val="002E5F18"/>
    <w:rsid w:val="003D48F6"/>
    <w:rsid w:val="00424E3B"/>
    <w:rsid w:val="0073005F"/>
    <w:rsid w:val="007426B4"/>
    <w:rsid w:val="00761FF1"/>
    <w:rsid w:val="007F053F"/>
    <w:rsid w:val="00911BB8"/>
    <w:rsid w:val="009D463A"/>
    <w:rsid w:val="00AD3C11"/>
    <w:rsid w:val="00C56A61"/>
    <w:rsid w:val="00E54580"/>
    <w:rsid w:val="00EB2CE0"/>
    <w:rsid w:val="00FA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431CE-6C51-411E-A526-6E480503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1BB8"/>
    <w:rPr>
      <w:b/>
      <w:bCs/>
    </w:rPr>
  </w:style>
  <w:style w:type="paragraph" w:styleId="NormalWeb">
    <w:name w:val="Normal (Web)"/>
    <w:basedOn w:val="Normal"/>
    <w:uiPriority w:val="99"/>
    <w:unhideWhenUsed/>
    <w:rsid w:val="00911B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11BB8"/>
    <w:rPr>
      <w:i/>
      <w:iCs/>
    </w:rPr>
  </w:style>
  <w:style w:type="character" w:customStyle="1" w:styleId="apple-converted-space">
    <w:name w:val="apple-converted-space"/>
    <w:basedOn w:val="DefaultParagraphFont"/>
    <w:rsid w:val="00911BB8"/>
  </w:style>
  <w:style w:type="character" w:styleId="Hyperlink">
    <w:name w:val="Hyperlink"/>
    <w:basedOn w:val="DefaultParagraphFont"/>
    <w:uiPriority w:val="99"/>
    <w:unhideWhenUsed/>
    <w:rsid w:val="00911BB8"/>
    <w:rPr>
      <w:color w:val="0000FF"/>
      <w:u w:val="single"/>
    </w:rPr>
  </w:style>
  <w:style w:type="paragraph" w:customStyle="1" w:styleId="Body1">
    <w:name w:val="Body 1"/>
    <w:rsid w:val="00911BB8"/>
    <w:pPr>
      <w:spacing w:after="200" w:line="276" w:lineRule="auto"/>
      <w:outlineLvl w:val="0"/>
    </w:pPr>
    <w:rPr>
      <w:rFonts w:ascii="Helvetica" w:eastAsia="Arial Unicode MS" w:hAnsi="Helvetica" w:cs="Times New Roman"/>
      <w:color w:val="000000"/>
      <w:szCs w:val="20"/>
      <w:u w:color="000000"/>
    </w:rPr>
  </w:style>
  <w:style w:type="paragraph" w:customStyle="1" w:styleId="BasicParagraph">
    <w:name w:val="[Basic Paragraph]"/>
    <w:basedOn w:val="Normal"/>
    <w:uiPriority w:val="99"/>
    <w:rsid w:val="002E5F18"/>
    <w:pPr>
      <w:autoSpaceDE w:val="0"/>
      <w:autoSpaceDN w:val="0"/>
      <w:adjustRightInd w:val="0"/>
      <w:spacing w:after="0" w:line="288"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54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DKMIU</dc:creator>
  <cp:keywords/>
  <dc:description/>
  <cp:lastModifiedBy>DKHKZ</cp:lastModifiedBy>
  <cp:revision>3</cp:revision>
  <dcterms:created xsi:type="dcterms:W3CDTF">2016-02-01T08:32:00Z</dcterms:created>
  <dcterms:modified xsi:type="dcterms:W3CDTF">2016-02-01T08:33:00Z</dcterms:modified>
</cp:coreProperties>
</file>