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18935B28" w14:textId="77777777" w:rsidR="000B29EC" w:rsidRDefault="000B29EC" w:rsidP="000B29EC">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10 de febrero de</w:t>
      </w:r>
      <w:r>
        <w:rPr>
          <w:sz w:val="22"/>
          <w:szCs w:val="22"/>
        </w:rPr>
        <w:t xml:space="preserve"> 2026</w:t>
      </w:r>
    </w:p>
    <w:p w14:paraId="681CBDDC" w14:textId="77777777" w:rsidR="000B29EC" w:rsidRDefault="000B29EC" w:rsidP="000B29EC">
      <w:pPr>
        <w:pStyle w:val="titel"/>
        <w:rPr>
          <w:sz w:val="28"/>
          <w:szCs w:val="28"/>
        </w:rPr>
      </w:pPr>
    </w:p>
    <w:p w14:paraId="31AC80D5" w14:textId="77777777" w:rsidR="000B29EC" w:rsidRPr="000B29EC" w:rsidRDefault="000B29EC" w:rsidP="000B29EC">
      <w:pPr>
        <w:pStyle w:val="titel"/>
        <w:spacing w:before="57"/>
        <w:rPr>
          <w:b/>
          <w:bCs/>
          <w:sz w:val="28"/>
          <w:szCs w:val="28"/>
        </w:rPr>
      </w:pPr>
      <w:r w:rsidRPr="000B29EC">
        <w:rPr>
          <w:b/>
          <w:bCs/>
          <w:sz w:val="28"/>
          <w:szCs w:val="28"/>
        </w:rPr>
        <w:t>«Desesperanza, esta palabra no existía para ella»</w:t>
      </w:r>
    </w:p>
    <w:p w14:paraId="41D73209" w14:textId="77777777" w:rsidR="000B29EC" w:rsidRPr="000B29EC" w:rsidRDefault="000B29EC" w:rsidP="000B29EC">
      <w:pPr>
        <w:pStyle w:val="titel"/>
        <w:spacing w:before="57"/>
        <w:rPr>
          <w:b/>
          <w:bCs/>
          <w:sz w:val="24"/>
          <w:szCs w:val="24"/>
        </w:rPr>
      </w:pPr>
      <w:r w:rsidRPr="000B29EC">
        <w:rPr>
          <w:b/>
          <w:bCs/>
          <w:sz w:val="24"/>
          <w:szCs w:val="24"/>
        </w:rPr>
        <w:t>El 150 cumpleaños de Ita Wegman</w:t>
      </w:r>
    </w:p>
    <w:p w14:paraId="77A7681F" w14:textId="77777777" w:rsidR="000B29EC" w:rsidRPr="000B29EC" w:rsidRDefault="000B29EC" w:rsidP="000B29EC">
      <w:pPr>
        <w:pStyle w:val="body"/>
        <w:rPr>
          <w:b/>
          <w:bCs/>
        </w:rPr>
      </w:pPr>
    </w:p>
    <w:p w14:paraId="6C5259D5" w14:textId="77777777" w:rsidR="000B29EC" w:rsidRPr="000B29EC" w:rsidRDefault="000B29EC" w:rsidP="000B29EC">
      <w:pPr>
        <w:pStyle w:val="body"/>
        <w:rPr>
          <w:rFonts w:ascii="Titillium" w:hAnsi="Titillium" w:cs="Titillium"/>
          <w:b/>
          <w:bCs/>
          <w:sz w:val="20"/>
          <w:szCs w:val="20"/>
        </w:rPr>
      </w:pPr>
      <w:r w:rsidRPr="000B29EC">
        <w:rPr>
          <w:rFonts w:ascii="Titillium" w:hAnsi="Titillium" w:cs="Titillium"/>
          <w:b/>
          <w:bCs/>
          <w:spacing w:val="-1"/>
          <w:sz w:val="20"/>
          <w:szCs w:val="20"/>
        </w:rPr>
        <w:t>La doctora Ita Wegman asumió plena responsabilidad por las personas enfermas, atendiendo necesidades tanto terapéuticas como sociales y espirituales. Con motivo de su 150 cumpleaños, el 22 de febrero de 2026, una conferencia y una serie de ponencias rendirán homenaje al trabajo de la cofundadora central de la Medicina Antroposófica en el Goetheanum.</w:t>
      </w:r>
    </w:p>
    <w:p w14:paraId="2E4D21DD" w14:textId="77777777" w:rsidR="000B29EC" w:rsidRDefault="000B29EC" w:rsidP="000B29EC">
      <w:pPr>
        <w:pStyle w:val="body"/>
        <w:rPr>
          <w:rFonts w:ascii="Titillium" w:hAnsi="Titillium" w:cs="Titillium"/>
          <w:spacing w:val="1"/>
          <w:sz w:val="20"/>
          <w:szCs w:val="20"/>
        </w:rPr>
      </w:pPr>
    </w:p>
    <w:p w14:paraId="6018DAE6" w14:textId="77777777" w:rsidR="000B29EC" w:rsidRDefault="000B29EC" w:rsidP="000B29EC">
      <w:pPr>
        <w:pStyle w:val="body"/>
        <w:rPr>
          <w:rFonts w:ascii="Titillium" w:hAnsi="Titillium" w:cs="Titillium"/>
          <w:spacing w:val="1"/>
          <w:sz w:val="20"/>
          <w:szCs w:val="20"/>
        </w:rPr>
      </w:pPr>
      <w:r>
        <w:rPr>
          <w:rFonts w:ascii="Titillium" w:hAnsi="Titillium" w:cs="Titillium"/>
          <w:spacing w:val="1"/>
          <w:sz w:val="20"/>
          <w:szCs w:val="20"/>
        </w:rPr>
        <w:t>«Ita Wegman no conocía la resignación.» Así fue como Madeleine van Deventer describió a su contemporánea Ita Wegman. Y añadió: «Desesperanza, esta palabra no existía para ella.» Su lema y credo era «Siempre me inclino a progresar».</w:t>
      </w:r>
    </w:p>
    <w:p w14:paraId="34928B90" w14:textId="77777777" w:rsidR="000B29EC" w:rsidRDefault="000B29EC" w:rsidP="000B29EC">
      <w:pPr>
        <w:pStyle w:val="body"/>
        <w:spacing w:before="113"/>
        <w:rPr>
          <w:rFonts w:ascii="Titillium" w:hAnsi="Titillium" w:cs="Titillium"/>
          <w:spacing w:val="1"/>
          <w:sz w:val="20"/>
          <w:szCs w:val="20"/>
        </w:rPr>
      </w:pPr>
      <w:r>
        <w:rPr>
          <w:rFonts w:ascii="Titillium" w:hAnsi="Titillium" w:cs="Titillium"/>
          <w:spacing w:val="1"/>
          <w:sz w:val="20"/>
          <w:szCs w:val="20"/>
        </w:rPr>
        <w:t xml:space="preserve">Hasta hoy, sigue siendo un modelo a seguir para quienes trabajan en la medicina como médicos, terapeutas o enfermeros. Especialmente porque actualmente la actividad médica profesional está bajo la presión de tener que cumplir con estándares y directrices, mientras que por el contrario los pacientes solicitan conversaciones transparentes y empáticas para poder tomar decisiones basadas en la información recibida. La medicina antroposófica, la pedagogía curativa y terapia social buscan ofrecer una atención integral y promover el desarrollo individual de la persona.  </w:t>
      </w:r>
    </w:p>
    <w:p w14:paraId="7500DD44" w14:textId="77777777" w:rsidR="000B29EC" w:rsidRDefault="000B29EC" w:rsidP="000B29EC">
      <w:pPr>
        <w:pStyle w:val="body"/>
        <w:spacing w:before="113"/>
        <w:rPr>
          <w:rFonts w:ascii="Titillium" w:hAnsi="Titillium" w:cs="Titillium"/>
          <w:spacing w:val="1"/>
          <w:sz w:val="20"/>
          <w:szCs w:val="20"/>
        </w:rPr>
      </w:pPr>
      <w:r>
        <w:rPr>
          <w:rFonts w:ascii="Titillium" w:hAnsi="Titillium" w:cs="Titillium"/>
          <w:spacing w:val="1"/>
          <w:sz w:val="20"/>
          <w:szCs w:val="20"/>
        </w:rPr>
        <w:t>Para la aproximación a este ideal vocacional, la contribución de Ita Wegman (1876–1943) fue decisiva. Estudió medicina en Zúrich, donde también obtuvo su doctorado. Como especialista en medicina general y ginecología dotó a la medicina antroposófica de una base sustantiva e institucional: a través de su trabajo práctico como médico y en 1921 como fundadora del Klinisch-Therapeutisches Institut de Arlesheim (hoy: Klinik Arlesheim), Suiza, y como cofundadora de Weleda AG. En 1924 fundó el centro de pedagogía curativa Sonnenhof en Arlesheim. Más allá de ello, desarrolló formaciones adicionales de medicina antroposófica y desarrollo de fármacos para médicos y enfermeras y estableció nuevas formas de atención terapéutica como la pintura y la musicoterapia para la práctica clínica cotidiana. Ita Wegman fue la primera mujer en dirigir la Sección Médica de la Escuela Superior Libre para la Ciencia del Espíritu en el Goetheanum, de 1924 a 1935. En el libro ‹Fundamentos para una Ampliación del Arte de Curar›, que escribió en cooperación con Rudolf Steiner, mostró los principios para reconocer, aplicar (y desarrollar en su caso) los pasos terapéuticos individuales para cada paciente, basándose en el conocimiento antroposófico del ser humano y la enfermedad.</w:t>
      </w:r>
    </w:p>
    <w:p w14:paraId="3D355E42" w14:textId="77777777" w:rsidR="000B29EC" w:rsidRDefault="000B29EC" w:rsidP="000B29EC">
      <w:pPr>
        <w:pStyle w:val="body"/>
        <w:spacing w:before="113"/>
        <w:rPr>
          <w:rFonts w:ascii="Titillium" w:hAnsi="Titillium" w:cs="Titillium"/>
          <w:spacing w:val="1"/>
          <w:sz w:val="20"/>
          <w:szCs w:val="20"/>
        </w:rPr>
      </w:pPr>
      <w:r>
        <w:rPr>
          <w:rFonts w:ascii="Titillium" w:hAnsi="Titillium" w:cs="Titillium"/>
          <w:spacing w:val="1"/>
          <w:sz w:val="20"/>
          <w:szCs w:val="20"/>
        </w:rPr>
        <w:t>Ita Wegman quería que cada persona fuera consciente de su potencial inagotable de autoeficacia, coraje civil y coraje de conocimiento. Fue una mujer valiente y cosmopolita, una individualidad autónoma con alto sentido de comunidad. Desde temprano percibió los peligros del nacionalsocialismo en Alemania y contribuyó al rescate de muchos niños con discapacidad.</w:t>
      </w:r>
    </w:p>
    <w:p w14:paraId="436DDAAD" w14:textId="77777777" w:rsidR="000B29EC" w:rsidRDefault="000B29EC" w:rsidP="000B29EC">
      <w:pPr>
        <w:pStyle w:val="body"/>
        <w:jc w:val="right"/>
        <w:rPr>
          <w:rFonts w:ascii="Titillium" w:hAnsi="Titillium" w:cs="Titillium"/>
          <w:sz w:val="20"/>
          <w:szCs w:val="20"/>
        </w:rPr>
      </w:pPr>
      <w:r>
        <w:rPr>
          <w:rFonts w:ascii="Titillium" w:hAnsi="Titillium" w:cs="Titillium"/>
          <w:sz w:val="20"/>
          <w:szCs w:val="20"/>
        </w:rPr>
        <w:t>(2779 caracteres/Dagmar Brauer; traducido por Michael Kranawetvogl)</w:t>
      </w:r>
    </w:p>
    <w:p w14:paraId="686AEA60" w14:textId="77777777" w:rsidR="000B29EC" w:rsidRDefault="000B29EC" w:rsidP="000B29EC">
      <w:pPr>
        <w:pStyle w:val="body"/>
        <w:spacing w:before="57"/>
        <w:rPr>
          <w:rFonts w:ascii="Titillium" w:hAnsi="Titillium" w:cs="Titillium"/>
          <w:spacing w:val="1"/>
          <w:sz w:val="20"/>
          <w:szCs w:val="20"/>
        </w:rPr>
      </w:pPr>
      <w:r>
        <w:rPr>
          <w:rFonts w:ascii="Titillium Bd" w:hAnsi="Titillium Bd" w:cs="Titillium Bd"/>
          <w:b/>
          <w:bCs/>
          <w:spacing w:val="1"/>
          <w:sz w:val="20"/>
          <w:szCs w:val="20"/>
        </w:rPr>
        <w:t>Conferencia El coraje de curar (en alemán e inglés: Mut des Heilens)</w:t>
      </w:r>
      <w:r>
        <w:rPr>
          <w:rFonts w:ascii="Titillium" w:hAnsi="Titillium" w:cs="Titillium"/>
          <w:spacing w:val="1"/>
          <w:sz w:val="20"/>
          <w:szCs w:val="20"/>
        </w:rPr>
        <w:t xml:space="preserve"> del 20 al 22 de febrero de 2026, Goetheanum </w:t>
      </w: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goetheanum.ch/de/veranstaltungen/150iw</w:t>
      </w:r>
    </w:p>
    <w:p w14:paraId="68AE424F" w14:textId="77777777" w:rsidR="000B29EC" w:rsidRDefault="000B29EC" w:rsidP="000B29EC">
      <w:pPr>
        <w:pStyle w:val="body"/>
        <w:spacing w:before="57"/>
        <w:rPr>
          <w:rFonts w:ascii="Titillium" w:hAnsi="Titillium" w:cs="Titillium"/>
          <w:spacing w:val="1"/>
          <w:sz w:val="20"/>
          <w:szCs w:val="20"/>
        </w:rPr>
      </w:pPr>
      <w:r>
        <w:rPr>
          <w:rFonts w:ascii="Titillium Bd" w:hAnsi="Titillium Bd" w:cs="Titillium Bd"/>
          <w:b/>
          <w:bCs/>
          <w:spacing w:val="1"/>
          <w:sz w:val="20"/>
          <w:szCs w:val="20"/>
        </w:rPr>
        <w:t xml:space="preserve">Serie de ponencias sobre Ita Wegman (inglés, con traducción simultánea al español) </w:t>
      </w:r>
      <w:r>
        <w:rPr>
          <w:rFonts w:ascii="Titillium" w:hAnsi="Titillium" w:cs="Titillium"/>
          <w:spacing w:val="1"/>
          <w:sz w:val="20"/>
          <w:szCs w:val="20"/>
        </w:rPr>
        <w:t xml:space="preserve">En directo vía Zoom </w:t>
      </w:r>
      <w:r>
        <w:rPr>
          <w:rFonts w:ascii="Titillium Bd" w:hAnsi="Titillium Bd" w:cs="Titillium Bd"/>
          <w:b/>
          <w:bCs/>
          <w:spacing w:val="1"/>
          <w:sz w:val="20"/>
          <w:szCs w:val="20"/>
        </w:rPr>
        <w:t>Web</w:t>
      </w:r>
      <w:r>
        <w:rPr>
          <w:rFonts w:ascii="Titillium" w:hAnsi="Titillium" w:cs="Titillium"/>
          <w:spacing w:val="1"/>
          <w:sz w:val="20"/>
          <w:szCs w:val="20"/>
        </w:rPr>
        <w:t xml:space="preserve"> allgemeine-sektion.goetheanum.ch/en/six-lectures-iw</w:t>
      </w:r>
    </w:p>
    <w:p w14:paraId="7DBB424B" w14:textId="0032BDF3" w:rsidR="006E7E7B" w:rsidRDefault="000B29EC" w:rsidP="000B29EC">
      <w:r>
        <w:rPr>
          <w:rFonts w:ascii="Titillium Bd" w:hAnsi="Titillium Bd" w:cs="Titillium Bd"/>
          <w:b/>
          <w:bCs/>
          <w:spacing w:val="1"/>
          <w:sz w:val="20"/>
          <w:szCs w:val="20"/>
        </w:rPr>
        <w:t>Contacto</w:t>
      </w:r>
      <w:r>
        <w:rPr>
          <w:rFonts w:ascii="Titillium" w:hAnsi="Titillium" w:cs="Titillium"/>
          <w:spacing w:val="1"/>
          <w:sz w:val="20"/>
          <w:szCs w:val="20"/>
        </w:rPr>
        <w:t xml:space="preserve"> Dagmar Brauer, dagmar.brauer@medsektion-goetheanum.ch</w:t>
      </w:r>
    </w:p>
    <w:sectPr w:rsidR="006E7E7B" w:rsidSect="003E0219">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B29EC"/>
    <w:rsid w:val="003E0219"/>
    <w:rsid w:val="00496ACE"/>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2928</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2026-02-10T14:43:00Z</dcterms:modified>
</cp:coreProperties>
</file>