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969" w:rsidRPr="00BB5001" w:rsidRDefault="000A7969" w:rsidP="000061D9">
      <w:pPr>
        <w:pStyle w:val="PressInformation"/>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51.5pt;height:30.75pt;visibility:visible">
            <v:imagedata r:id="rId7" o:title=""/>
          </v:shape>
        </w:pict>
      </w:r>
    </w:p>
    <w:p w:rsidR="000A7969" w:rsidRPr="00BB5001" w:rsidRDefault="000A7969" w:rsidP="000061D9">
      <w:pPr>
        <w:pStyle w:val="PressInformation"/>
        <w:rPr>
          <w:lang w:val="en-US"/>
        </w:rPr>
      </w:pPr>
    </w:p>
    <w:p w:rsidR="000A7969" w:rsidRPr="00BB5001" w:rsidRDefault="000A7969" w:rsidP="00956590">
      <w:pPr>
        <w:ind w:left="5760" w:right="-540"/>
        <w:rPr>
          <w:rFonts w:ascii="Arial" w:hAnsi="Arial" w:cs="Arial"/>
          <w:sz w:val="22"/>
          <w:szCs w:val="22"/>
          <w:u w:val="single"/>
          <w:lang w:val="fi-FI"/>
        </w:rPr>
      </w:pPr>
      <w:r w:rsidRPr="00BB5001">
        <w:rPr>
          <w:rFonts w:ascii="Arial" w:hAnsi="Arial" w:cs="Arial"/>
          <w:sz w:val="20"/>
          <w:szCs w:val="20"/>
          <w:u w:val="single"/>
          <w:lang w:val="fi-FI"/>
        </w:rPr>
        <w:t>Yhteystiedot:</w:t>
      </w:r>
    </w:p>
    <w:p w:rsidR="000A7969" w:rsidRDefault="000A7969" w:rsidP="00956590">
      <w:pPr>
        <w:ind w:left="5760" w:right="-540"/>
        <w:rPr>
          <w:rFonts w:ascii="Arial" w:hAnsi="Arial" w:cs="Arial"/>
          <w:sz w:val="20"/>
          <w:szCs w:val="20"/>
          <w:lang w:val="fi-FI"/>
        </w:rPr>
      </w:pPr>
      <w:r>
        <w:rPr>
          <w:rFonts w:ascii="Arial" w:hAnsi="Arial" w:cs="Arial"/>
          <w:sz w:val="20"/>
          <w:szCs w:val="20"/>
          <w:lang w:val="fi-FI"/>
        </w:rPr>
        <w:t>Linda Brandelius</w:t>
      </w:r>
    </w:p>
    <w:p w:rsidR="000A7969" w:rsidRPr="00BB5001" w:rsidRDefault="000A7969" w:rsidP="00956590">
      <w:pPr>
        <w:ind w:left="5760" w:right="-540"/>
        <w:rPr>
          <w:rFonts w:ascii="Arial" w:hAnsi="Arial" w:cs="Arial"/>
          <w:sz w:val="20"/>
          <w:szCs w:val="20"/>
          <w:lang w:val="fi-FI" w:eastAsia="en-GB"/>
        </w:rPr>
      </w:pPr>
      <w:r>
        <w:rPr>
          <w:rFonts w:ascii="Arial" w:hAnsi="Arial" w:cs="Arial"/>
          <w:sz w:val="20"/>
          <w:szCs w:val="20"/>
          <w:lang w:val="fi-FI"/>
        </w:rPr>
        <w:t>Linda_brandelius@goodyear.com</w:t>
      </w:r>
    </w:p>
    <w:p w:rsidR="000A7969" w:rsidRPr="00BB5001" w:rsidRDefault="000A7969" w:rsidP="007C1023">
      <w:pPr>
        <w:pStyle w:val="PressRelease"/>
        <w:rPr>
          <w:lang w:val="fi-FI"/>
        </w:rPr>
      </w:pPr>
      <w:r w:rsidRPr="00BB5001">
        <w:rPr>
          <w:lang w:val="fi-FI"/>
        </w:rPr>
        <w:t>LEHDISTÖTIEDOTE</w:t>
      </w:r>
    </w:p>
    <w:p w:rsidR="000A7969" w:rsidRPr="00BB5001" w:rsidRDefault="000A7969" w:rsidP="00840B3F">
      <w:pPr>
        <w:pStyle w:val="Title"/>
        <w:spacing w:line="360" w:lineRule="auto"/>
        <w:rPr>
          <w:sz w:val="10"/>
          <w:szCs w:val="10"/>
          <w:lang w:val="fi-FI"/>
        </w:rPr>
      </w:pPr>
    </w:p>
    <w:p w:rsidR="000A7969" w:rsidRDefault="000A7969" w:rsidP="008B5A6B">
      <w:pPr>
        <w:pStyle w:val="Title"/>
        <w:spacing w:line="360" w:lineRule="auto"/>
        <w:rPr>
          <w:sz w:val="36"/>
          <w:szCs w:val="36"/>
          <w:lang w:val="fi-FI"/>
        </w:rPr>
      </w:pPr>
      <w:bookmarkStart w:id="0" w:name="OLE_LINK39"/>
      <w:r w:rsidRPr="00BB5001">
        <w:rPr>
          <w:sz w:val="36"/>
          <w:szCs w:val="36"/>
          <w:lang w:val="fi-FI"/>
        </w:rPr>
        <w:t>Goodyear esittelee Marathon</w:t>
      </w:r>
      <w:r>
        <w:rPr>
          <w:sz w:val="36"/>
          <w:szCs w:val="36"/>
          <w:lang w:val="fi-FI"/>
        </w:rPr>
        <w:t xml:space="preserve"> II +</w:t>
      </w:r>
    </w:p>
    <w:p w:rsidR="000A7969" w:rsidRPr="00BB5001" w:rsidRDefault="000A7969" w:rsidP="008B5A6B">
      <w:pPr>
        <w:pStyle w:val="Title"/>
        <w:spacing w:line="360" w:lineRule="auto"/>
        <w:rPr>
          <w:sz w:val="36"/>
          <w:szCs w:val="36"/>
          <w:lang w:val="fi-FI"/>
        </w:rPr>
      </w:pPr>
      <w:r>
        <w:rPr>
          <w:sz w:val="36"/>
          <w:szCs w:val="36"/>
          <w:lang w:val="fi-FI"/>
        </w:rPr>
        <w:t>kuorma-</w:t>
      </w:r>
      <w:r w:rsidRPr="00BB5001">
        <w:rPr>
          <w:sz w:val="36"/>
          <w:szCs w:val="36"/>
          <w:lang w:val="fi-FI"/>
        </w:rPr>
        <w:t>autonrengasmalliston</w:t>
      </w:r>
    </w:p>
    <w:p w:rsidR="000A7969" w:rsidRPr="00BB5001" w:rsidRDefault="000A7969" w:rsidP="008B5A6B">
      <w:pPr>
        <w:pStyle w:val="Title"/>
        <w:spacing w:line="360" w:lineRule="auto"/>
        <w:rPr>
          <w:i/>
          <w:sz w:val="28"/>
          <w:szCs w:val="28"/>
          <w:lang w:val="fi-FI"/>
        </w:rPr>
      </w:pPr>
      <w:r w:rsidRPr="00BB5001">
        <w:rPr>
          <w:i/>
          <w:sz w:val="28"/>
          <w:szCs w:val="28"/>
          <w:lang w:val="fi-FI"/>
        </w:rPr>
        <w:t>Pienemmät käyttökustannukset ja parempi märkäpito</w:t>
      </w:r>
    </w:p>
    <w:p w:rsidR="000A7969" w:rsidRPr="00BB5001" w:rsidRDefault="000A7969" w:rsidP="00673873">
      <w:pPr>
        <w:tabs>
          <w:tab w:val="left" w:pos="540"/>
          <w:tab w:val="left" w:pos="1620"/>
          <w:tab w:val="left" w:pos="1800"/>
        </w:tabs>
        <w:spacing w:after="120" w:line="360" w:lineRule="auto"/>
        <w:jc w:val="both"/>
        <w:rPr>
          <w:rFonts w:ascii="Arial" w:hAnsi="Arial" w:cs="Arial"/>
          <w:sz w:val="22"/>
          <w:szCs w:val="22"/>
          <w:lang w:val="fi-FI"/>
        </w:rPr>
      </w:pPr>
      <w:r>
        <w:rPr>
          <w:noProof/>
          <w:lang w:val="en-US"/>
        </w:rPr>
        <w:pict>
          <v:shape id="Picture 2" o:spid="_x0000_s1026" type="#_x0000_t75" alt="Marathon LHS II __315-80 R22" style="position:absolute;left:0;text-align:left;margin-left:208.5pt;margin-top:4.75pt;width:232.85pt;height:174.2pt;z-index:251658240;visibility:visible">
            <v:imagedata r:id="rId8" o:title=""/>
            <w10:wrap type="square"/>
          </v:shape>
        </w:pict>
      </w:r>
      <w:r w:rsidRPr="00BB5001">
        <w:rPr>
          <w:rFonts w:ascii="Arial" w:hAnsi="Arial" w:cs="Arial"/>
          <w:sz w:val="22"/>
          <w:szCs w:val="22"/>
          <w:lang w:val="fi-FI"/>
        </w:rPr>
        <w:t xml:space="preserve">Aivan uuden Goodyear </w:t>
      </w:r>
      <w:bookmarkEnd w:id="0"/>
      <w:r>
        <w:rPr>
          <w:rFonts w:ascii="Arial" w:hAnsi="Arial" w:cs="Arial"/>
          <w:sz w:val="22"/>
          <w:szCs w:val="22"/>
          <w:lang w:val="fi-FI"/>
        </w:rPr>
        <w:t xml:space="preserve">Marathon II + </w:t>
      </w:r>
      <w:r w:rsidRPr="00BB5001">
        <w:rPr>
          <w:rFonts w:ascii="Arial" w:hAnsi="Arial" w:cs="Arial"/>
          <w:sz w:val="22"/>
          <w:szCs w:val="22"/>
          <w:lang w:val="fi-FI"/>
        </w:rPr>
        <w:t>malliston myötä esitell</w:t>
      </w:r>
      <w:r>
        <w:rPr>
          <w:rFonts w:ascii="Arial" w:hAnsi="Arial" w:cs="Arial"/>
          <w:sz w:val="22"/>
          <w:szCs w:val="22"/>
          <w:lang w:val="fi-FI"/>
        </w:rPr>
        <w:t>ään kuorma-auton renkaat, jotka vähentävät        ajoneuvon</w:t>
      </w:r>
      <w:r w:rsidRPr="00BB5001">
        <w:rPr>
          <w:rFonts w:ascii="Arial" w:hAnsi="Arial" w:cs="Arial"/>
          <w:sz w:val="22"/>
          <w:szCs w:val="22"/>
          <w:lang w:val="fi-FI"/>
        </w:rPr>
        <w:t xml:space="preserve"> </w:t>
      </w:r>
      <w:r>
        <w:rPr>
          <w:rFonts w:ascii="Arial" w:hAnsi="Arial" w:cs="Arial"/>
          <w:sz w:val="22"/>
          <w:szCs w:val="22"/>
          <w:lang w:val="fi-FI"/>
        </w:rPr>
        <w:t xml:space="preserve">  </w:t>
      </w:r>
      <w:r w:rsidRPr="00BB5001">
        <w:rPr>
          <w:rFonts w:ascii="Arial" w:hAnsi="Arial" w:cs="Arial"/>
          <w:sz w:val="22"/>
          <w:szCs w:val="22"/>
          <w:lang w:val="fi-FI"/>
        </w:rPr>
        <w:t>käyttökustannuksia vielä edeltäjiäänkin</w:t>
      </w:r>
      <w:r w:rsidRPr="00BB5001">
        <w:rPr>
          <w:rStyle w:val="FootnoteReference"/>
          <w:rFonts w:ascii="Arial" w:hAnsi="Arial" w:cs="Arial"/>
          <w:sz w:val="22"/>
          <w:szCs w:val="22"/>
          <w:lang w:val="en-US"/>
        </w:rPr>
        <w:footnoteReference w:id="1"/>
      </w:r>
      <w:r w:rsidRPr="00BB5001">
        <w:rPr>
          <w:rFonts w:ascii="Arial" w:hAnsi="Arial" w:cs="Arial"/>
          <w:sz w:val="22"/>
          <w:szCs w:val="22"/>
          <w:lang w:val="fi-FI"/>
        </w:rPr>
        <w:t xml:space="preserve"> ja kilpailijoitaan</w:t>
      </w:r>
      <w:r w:rsidRPr="00BB5001">
        <w:rPr>
          <w:rStyle w:val="FootnoteReference"/>
          <w:rFonts w:ascii="Arial" w:hAnsi="Arial" w:cs="Arial"/>
          <w:sz w:val="22"/>
          <w:szCs w:val="22"/>
          <w:lang w:val="en-US"/>
        </w:rPr>
        <w:footnoteReference w:id="2"/>
      </w:r>
      <w:r w:rsidRPr="00BB5001">
        <w:rPr>
          <w:rFonts w:ascii="Arial" w:hAnsi="Arial" w:cs="Arial"/>
          <w:sz w:val="22"/>
          <w:szCs w:val="22"/>
          <w:lang w:val="fi-FI"/>
        </w:rPr>
        <w:t xml:space="preserve"> enemmän. </w:t>
      </w:r>
      <w:bookmarkStart w:id="1" w:name="_GoBack"/>
      <w:bookmarkEnd w:id="1"/>
      <w:r w:rsidRPr="00BB5001">
        <w:rPr>
          <w:rFonts w:ascii="Arial" w:hAnsi="Arial" w:cs="Arial"/>
          <w:sz w:val="22"/>
          <w:szCs w:val="22"/>
          <w:lang w:val="fi-FI"/>
        </w:rPr>
        <w:t xml:space="preserve">Goodyearin Marathon LHS II </w:t>
      </w:r>
      <w:r>
        <w:rPr>
          <w:rFonts w:ascii="Arial" w:hAnsi="Arial" w:cs="Arial"/>
          <w:sz w:val="22"/>
          <w:szCs w:val="22"/>
          <w:lang w:val="fi-FI"/>
        </w:rPr>
        <w:t xml:space="preserve">+ ja LHD II + kaukoliikenteen </w:t>
      </w:r>
      <w:r w:rsidRPr="00BB5001">
        <w:rPr>
          <w:rFonts w:ascii="Arial" w:hAnsi="Arial" w:cs="Arial"/>
          <w:sz w:val="22"/>
          <w:szCs w:val="22"/>
          <w:lang w:val="fi-FI"/>
        </w:rPr>
        <w:t>ohjaavan ja vetävän akselin renkaiden vierintävastus on Goodyearin kuorma-auton renkaiden kaikkien aikojen pienin, ja niiden märkäpito on parempi kuin niiden kilpailijoiden renkaissa</w:t>
      </w:r>
      <w:r w:rsidRPr="00BB5001">
        <w:rPr>
          <w:rFonts w:ascii="Arial" w:hAnsi="Arial" w:cs="Arial"/>
          <w:sz w:val="22"/>
          <w:szCs w:val="22"/>
          <w:vertAlign w:val="superscript"/>
          <w:lang w:val="fi-FI"/>
        </w:rPr>
        <w:t>2</w:t>
      </w:r>
      <w:r>
        <w:rPr>
          <w:rFonts w:ascii="Arial" w:hAnsi="Arial" w:cs="Arial"/>
          <w:sz w:val="22"/>
          <w:szCs w:val="22"/>
          <w:lang w:val="fi-FI"/>
        </w:rPr>
        <w:t xml:space="preserve">, eivätkä nämä </w:t>
      </w:r>
      <w:r w:rsidRPr="00BB5001">
        <w:rPr>
          <w:rFonts w:ascii="Arial" w:hAnsi="Arial" w:cs="Arial"/>
          <w:sz w:val="22"/>
          <w:szCs w:val="22"/>
          <w:lang w:val="fi-FI"/>
        </w:rPr>
        <w:t>ominaisuudet heikennä ajokestävyyttä. Uusien renkaiden vierintävastus on 7 prosentti</w:t>
      </w:r>
      <w:r>
        <w:rPr>
          <w:rFonts w:ascii="Arial" w:hAnsi="Arial" w:cs="Arial"/>
          <w:sz w:val="22"/>
          <w:szCs w:val="22"/>
          <w:lang w:val="fi-FI"/>
        </w:rPr>
        <w:t xml:space="preserve">a pienempi kuin Marathon LHS II ja LHD II </w:t>
      </w:r>
      <w:r w:rsidRPr="00BB5001">
        <w:rPr>
          <w:rFonts w:ascii="Arial" w:hAnsi="Arial" w:cs="Arial"/>
          <w:sz w:val="22"/>
          <w:szCs w:val="22"/>
          <w:lang w:val="fi-FI"/>
        </w:rPr>
        <w:t>renkaissa, mikä tarkoittaa entistä pienempää polttoaineen kulutusta ja pienempiä päästöjä</w:t>
      </w:r>
      <w:r w:rsidRPr="00BB5001">
        <w:rPr>
          <w:rStyle w:val="FootnoteReference"/>
          <w:rFonts w:ascii="Arial" w:hAnsi="Arial" w:cs="Arial"/>
          <w:sz w:val="22"/>
          <w:szCs w:val="22"/>
          <w:lang w:val="fi-FI"/>
        </w:rPr>
        <w:t>1</w:t>
      </w:r>
      <w:r w:rsidRPr="00BB5001">
        <w:rPr>
          <w:rFonts w:ascii="Arial" w:hAnsi="Arial" w:cs="Arial"/>
          <w:sz w:val="22"/>
          <w:szCs w:val="22"/>
          <w:lang w:val="fi-FI"/>
        </w:rPr>
        <w:t>. TÜV Süd Automotiven</w:t>
      </w:r>
      <w:r w:rsidRPr="00BB5001">
        <w:rPr>
          <w:rFonts w:ascii="Arial" w:hAnsi="Arial" w:cs="Arial"/>
          <w:sz w:val="22"/>
          <w:szCs w:val="22"/>
          <w:vertAlign w:val="superscript"/>
          <w:lang w:val="fi-FI"/>
        </w:rPr>
        <w:t>2</w:t>
      </w:r>
      <w:r w:rsidRPr="00BB5001">
        <w:rPr>
          <w:rFonts w:ascii="Arial" w:hAnsi="Arial" w:cs="Arial"/>
          <w:sz w:val="22"/>
          <w:szCs w:val="22"/>
          <w:lang w:val="fi-FI"/>
        </w:rPr>
        <w:t xml:space="preserve"> tekemät testit, joiss</w:t>
      </w:r>
      <w:r>
        <w:rPr>
          <w:rFonts w:ascii="Arial" w:hAnsi="Arial" w:cs="Arial"/>
          <w:sz w:val="22"/>
          <w:szCs w:val="22"/>
          <w:lang w:val="fi-FI"/>
        </w:rPr>
        <w:t xml:space="preserve">a verrattiin uusien Marathon + </w:t>
      </w:r>
      <w:r w:rsidRPr="00BB5001">
        <w:rPr>
          <w:rFonts w:ascii="Arial" w:hAnsi="Arial" w:cs="Arial"/>
          <w:sz w:val="22"/>
          <w:szCs w:val="22"/>
          <w:lang w:val="fi-FI"/>
        </w:rPr>
        <w:t>renkaiden suorituskykyä kolmen vahvimman kilpailijan renkaisiin, osoittivat uusien renkaiden vierintävastuksen ja märkäjarrutuskyvyn olevan erinomainen. Erittäin tärkeä tekijä niissä teknologisissa ratkaisuissa, jotka ovat tehneet tämän mahdolliseksi, on uusi, innovatiivinen, parannettu pintaseos nimeltä Silefex.</w:t>
      </w:r>
    </w:p>
    <w:p w:rsidR="000A7969" w:rsidRDefault="000A7969" w:rsidP="00427D6C">
      <w:pPr>
        <w:spacing w:after="40"/>
        <w:jc w:val="both"/>
        <w:rPr>
          <w:rFonts w:ascii="Arial" w:hAnsi="Arial" w:cs="Arial"/>
          <w:b/>
          <w:sz w:val="22"/>
          <w:szCs w:val="22"/>
          <w:lang w:val="fi-FI"/>
        </w:rPr>
      </w:pPr>
    </w:p>
    <w:p w:rsidR="000A7969" w:rsidRDefault="000A7969" w:rsidP="00427D6C">
      <w:pPr>
        <w:spacing w:after="40"/>
        <w:jc w:val="both"/>
        <w:rPr>
          <w:rFonts w:ascii="Arial" w:hAnsi="Arial" w:cs="Arial"/>
          <w:b/>
          <w:sz w:val="22"/>
          <w:szCs w:val="22"/>
          <w:lang w:val="fi-FI"/>
        </w:rPr>
      </w:pPr>
    </w:p>
    <w:p w:rsidR="000A7969" w:rsidRDefault="000A7969" w:rsidP="00427D6C">
      <w:pPr>
        <w:spacing w:after="40"/>
        <w:jc w:val="both"/>
        <w:rPr>
          <w:rFonts w:ascii="Arial" w:hAnsi="Arial" w:cs="Arial"/>
          <w:b/>
          <w:sz w:val="22"/>
          <w:szCs w:val="22"/>
          <w:lang w:val="fi-FI"/>
        </w:rPr>
      </w:pPr>
    </w:p>
    <w:p w:rsidR="000A7969" w:rsidRDefault="000A7969" w:rsidP="00427D6C">
      <w:pPr>
        <w:spacing w:after="40"/>
        <w:jc w:val="both"/>
        <w:rPr>
          <w:rFonts w:ascii="Arial" w:hAnsi="Arial" w:cs="Arial"/>
          <w:b/>
          <w:sz w:val="22"/>
          <w:szCs w:val="22"/>
          <w:lang w:val="fi-FI"/>
        </w:rPr>
      </w:pPr>
    </w:p>
    <w:p w:rsidR="000A7969" w:rsidRPr="00BB5001" w:rsidRDefault="000A7969" w:rsidP="00427D6C">
      <w:pPr>
        <w:spacing w:after="40"/>
        <w:jc w:val="both"/>
        <w:rPr>
          <w:rFonts w:ascii="Arial" w:hAnsi="Arial" w:cs="Arial"/>
          <w:b/>
          <w:sz w:val="22"/>
          <w:szCs w:val="22"/>
          <w:lang w:val="fi-FI"/>
        </w:rPr>
      </w:pPr>
      <w:r w:rsidRPr="00BB5001">
        <w:rPr>
          <w:rFonts w:ascii="Arial" w:hAnsi="Arial" w:cs="Arial"/>
          <w:b/>
          <w:sz w:val="22"/>
          <w:szCs w:val="22"/>
          <w:lang w:val="fi-FI"/>
        </w:rPr>
        <w:t>MARKKINALUKEMAT</w:t>
      </w:r>
    </w:p>
    <w:p w:rsidR="000A7969" w:rsidRPr="00BB5001" w:rsidRDefault="000A7969" w:rsidP="00777E35">
      <w:pPr>
        <w:spacing w:after="120" w:line="360" w:lineRule="auto"/>
        <w:jc w:val="both"/>
        <w:rPr>
          <w:rFonts w:ascii="Arial" w:hAnsi="Arial" w:cs="Arial"/>
          <w:sz w:val="22"/>
          <w:szCs w:val="22"/>
          <w:lang w:val="fi-FI"/>
        </w:rPr>
      </w:pPr>
      <w:r w:rsidRPr="00BB5001">
        <w:rPr>
          <w:rFonts w:ascii="Arial" w:hAnsi="Arial" w:cs="Arial"/>
          <w:sz w:val="22"/>
          <w:szCs w:val="22"/>
          <w:lang w:val="fi-FI"/>
        </w:rPr>
        <w:t xml:space="preserve">Joissakin tapauksissa polttoainekustannukset muodostavat 34,9 % ajoneuvon kokonaiskustannuksista, </w:t>
      </w:r>
      <w:r w:rsidRPr="00ED7BF3">
        <w:rPr>
          <w:rFonts w:ascii="Arial" w:hAnsi="Arial" w:cs="Arial"/>
          <w:sz w:val="22"/>
          <w:szCs w:val="22"/>
          <w:lang w:val="fi-FI"/>
        </w:rPr>
        <w:t>ja kuljettajan osuus kustannuksista on 27,1 %, kun</w:t>
      </w:r>
      <w:r w:rsidRPr="00BB5001">
        <w:rPr>
          <w:rFonts w:ascii="Arial" w:hAnsi="Arial" w:cs="Arial"/>
          <w:sz w:val="22"/>
          <w:szCs w:val="22"/>
          <w:lang w:val="fi-FI"/>
        </w:rPr>
        <w:t xml:space="preserve"> taas renkaiden osuus kustannuksista on vain 2,4 %</w:t>
      </w:r>
      <w:r w:rsidRPr="00BB5001">
        <w:rPr>
          <w:rStyle w:val="FootnoteReference"/>
          <w:rFonts w:ascii="Arial" w:hAnsi="Arial" w:cs="Arial"/>
          <w:sz w:val="22"/>
          <w:szCs w:val="22"/>
          <w:lang w:val="en-US"/>
        </w:rPr>
        <w:footnoteReference w:id="3"/>
      </w:r>
      <w:r w:rsidRPr="00BB5001">
        <w:rPr>
          <w:rFonts w:ascii="Arial" w:hAnsi="Arial" w:cs="Arial"/>
          <w:sz w:val="22"/>
          <w:szCs w:val="22"/>
          <w:lang w:val="fi-FI"/>
        </w:rPr>
        <w:t>. Tämän vuoksi Goodyear keskittyy teknologiaan, joka vähentää polttoaineen kulutusta entisestään. Tutkimuksesta ja kehitystyöstä ei kuitenkaan voi tinkiä tällä osa-alueella, ja tässä työssä olennaisen tärkeää on myös ajokestävyyden ja märkäpidon säilyttäminen, tai jopa parantaminen.</w:t>
      </w:r>
    </w:p>
    <w:p w:rsidR="000A7969" w:rsidRPr="00BB5001" w:rsidRDefault="000A7969" w:rsidP="00427D6C">
      <w:pPr>
        <w:spacing w:after="40"/>
        <w:jc w:val="both"/>
        <w:rPr>
          <w:rFonts w:ascii="Arial" w:hAnsi="Arial" w:cs="Arial"/>
          <w:b/>
          <w:sz w:val="22"/>
          <w:szCs w:val="22"/>
          <w:lang w:val="fi-FI"/>
        </w:rPr>
      </w:pPr>
      <w:r w:rsidRPr="00BB5001">
        <w:rPr>
          <w:rFonts w:ascii="Arial" w:hAnsi="Arial" w:cs="Arial"/>
          <w:b/>
          <w:sz w:val="22"/>
          <w:szCs w:val="22"/>
          <w:lang w:val="fi-FI"/>
        </w:rPr>
        <w:t>SILEFEX-TEKNOLOGIA</w:t>
      </w:r>
    </w:p>
    <w:p w:rsidR="000A7969" w:rsidRPr="00BB5001" w:rsidRDefault="000A7969" w:rsidP="00117D96">
      <w:pPr>
        <w:spacing w:after="120" w:line="360" w:lineRule="auto"/>
        <w:jc w:val="both"/>
        <w:rPr>
          <w:rFonts w:ascii="Arial" w:hAnsi="Arial" w:cs="Arial"/>
          <w:sz w:val="22"/>
          <w:szCs w:val="22"/>
          <w:vertAlign w:val="superscript"/>
          <w:lang w:val="fi-FI"/>
        </w:rPr>
      </w:pPr>
      <w:r w:rsidRPr="00BB5001">
        <w:rPr>
          <w:rFonts w:ascii="Arial" w:hAnsi="Arial" w:cs="Arial"/>
          <w:sz w:val="22"/>
          <w:szCs w:val="22"/>
          <w:lang w:val="fi-FI"/>
        </w:rPr>
        <w:t xml:space="preserve">Erinomainen vierintävastus – 7 % edeltäjiä parempi – on saavutettu uuden, parannetun pintaseoksen ansiosta, josta käytetään nimeä Silefex. Myös märkäpito on erinomainen. Silefex kehitettiin Goodyearin innovaatiokeskuksessa Luxemburgissa. Siinä on optimoitu silica-täyteaineiden ja ensiluokkaisen luonnonkumin seos.  </w:t>
      </w:r>
    </w:p>
    <w:p w:rsidR="000A7969" w:rsidRPr="00BB5001" w:rsidRDefault="000A7969" w:rsidP="00427D6C">
      <w:pPr>
        <w:spacing w:after="40"/>
        <w:jc w:val="both"/>
        <w:rPr>
          <w:rFonts w:ascii="Arial" w:hAnsi="Arial" w:cs="Arial"/>
          <w:b/>
          <w:sz w:val="22"/>
          <w:szCs w:val="22"/>
          <w:lang w:val="fi-FI"/>
        </w:rPr>
      </w:pPr>
      <w:r w:rsidRPr="00BB5001">
        <w:rPr>
          <w:rFonts w:ascii="Arial" w:hAnsi="Arial" w:cs="Arial"/>
          <w:b/>
          <w:sz w:val="22"/>
          <w:szCs w:val="22"/>
          <w:lang w:val="fi-FI"/>
        </w:rPr>
        <w:t>LISÄEDUT</w:t>
      </w:r>
    </w:p>
    <w:p w:rsidR="000A7969" w:rsidRPr="00BB5001" w:rsidRDefault="000A7969" w:rsidP="00117D96">
      <w:pPr>
        <w:spacing w:after="120" w:line="360" w:lineRule="auto"/>
        <w:jc w:val="both"/>
        <w:rPr>
          <w:rFonts w:ascii="Arial" w:hAnsi="Arial" w:cs="Arial"/>
          <w:sz w:val="22"/>
          <w:szCs w:val="22"/>
          <w:lang w:val="fi-FI"/>
        </w:rPr>
      </w:pPr>
      <w:r>
        <w:rPr>
          <w:noProof/>
          <w:lang w:val="en-US"/>
        </w:rPr>
        <w:pict>
          <v:shape id="Picture 3" o:spid="_x0000_s1027" type="#_x0000_t75" alt="Marathon LHD II __315-80 R22" style="position:absolute;left:0;text-align:left;margin-left:-.75pt;margin-top:6.45pt;width:200.25pt;height:149.75pt;z-index:251659264;visibility:visible">
            <v:imagedata r:id="rId9" o:title=""/>
            <w10:wrap type="square"/>
          </v:shape>
        </w:pict>
      </w:r>
      <w:r w:rsidRPr="00BB5001">
        <w:rPr>
          <w:rFonts w:ascii="Arial" w:hAnsi="Arial" w:cs="Arial"/>
          <w:sz w:val="22"/>
          <w:szCs w:val="22"/>
          <w:lang w:val="fi-FI"/>
        </w:rPr>
        <w:t>Vierintävastuksen paranemisen lisäksi joissakin uuden ohjaavi</w:t>
      </w:r>
      <w:r>
        <w:rPr>
          <w:rFonts w:ascii="Arial" w:hAnsi="Arial" w:cs="Arial"/>
          <w:sz w:val="22"/>
          <w:szCs w:val="22"/>
          <w:lang w:val="fi-FI"/>
        </w:rPr>
        <w:t xml:space="preserve">en renkaiden Marathon LHS II + </w:t>
      </w:r>
      <w:r w:rsidRPr="00BB5001">
        <w:rPr>
          <w:rFonts w:ascii="Arial" w:hAnsi="Arial" w:cs="Arial"/>
          <w:sz w:val="22"/>
          <w:szCs w:val="22"/>
          <w:lang w:val="fi-FI"/>
        </w:rPr>
        <w:t xml:space="preserve">malliston etuna on joidenkin kokojen kuormitusluokan paraneminen, jolloin voidaan saavuttaa suurempi ajoneuvon kantavuus. </w:t>
      </w:r>
    </w:p>
    <w:p w:rsidR="000A7969" w:rsidRPr="00BB5001" w:rsidRDefault="000A7969" w:rsidP="00117D96">
      <w:pPr>
        <w:spacing w:after="120" w:line="360" w:lineRule="auto"/>
        <w:jc w:val="both"/>
        <w:rPr>
          <w:rFonts w:ascii="Arial" w:hAnsi="Arial" w:cs="Arial"/>
          <w:sz w:val="22"/>
          <w:szCs w:val="22"/>
          <w:lang w:val="fi-FI"/>
        </w:rPr>
      </w:pPr>
      <w:r>
        <w:rPr>
          <w:rFonts w:ascii="Arial" w:hAnsi="Arial" w:cs="Arial"/>
          <w:sz w:val="22"/>
          <w:szCs w:val="22"/>
          <w:lang w:val="fi-FI"/>
        </w:rPr>
        <w:t>Goodyear Marathon LHS II +</w:t>
      </w:r>
      <w:r w:rsidRPr="00BB5001">
        <w:rPr>
          <w:rFonts w:ascii="Arial" w:hAnsi="Arial" w:cs="Arial"/>
          <w:sz w:val="22"/>
          <w:szCs w:val="22"/>
          <w:lang w:val="fi-FI"/>
        </w:rPr>
        <w:t xml:space="preserve"> ja LHD II + renkaat kor</w:t>
      </w:r>
      <w:r>
        <w:rPr>
          <w:rFonts w:ascii="Arial" w:hAnsi="Arial" w:cs="Arial"/>
          <w:sz w:val="22"/>
          <w:szCs w:val="22"/>
          <w:lang w:val="fi-FI"/>
        </w:rPr>
        <w:t xml:space="preserve">vaavat Goodyear Marathon LHS II ja LHD II </w:t>
      </w:r>
      <w:r w:rsidRPr="00BB5001">
        <w:rPr>
          <w:rFonts w:ascii="Arial" w:hAnsi="Arial" w:cs="Arial"/>
          <w:sz w:val="22"/>
          <w:szCs w:val="22"/>
          <w:lang w:val="fi-FI"/>
        </w:rPr>
        <w:t>rengasmallistot, ja määrittävät uudet renkaiden suorituskyvyn standardit, erityisesti vierintävastuksen osalta, mikä vähentää polttoaineen kulutusta ja päästöjä.</w:t>
      </w:r>
    </w:p>
    <w:p w:rsidR="000A7969" w:rsidRPr="00BB5001" w:rsidRDefault="000A7969" w:rsidP="00117D96">
      <w:pPr>
        <w:spacing w:after="120" w:line="360" w:lineRule="auto"/>
        <w:jc w:val="both"/>
        <w:rPr>
          <w:rFonts w:ascii="Arial" w:hAnsi="Arial" w:cs="Arial"/>
          <w:sz w:val="22"/>
          <w:szCs w:val="22"/>
          <w:lang w:val="fi-FI"/>
        </w:rPr>
      </w:pPr>
      <w:r>
        <w:rPr>
          <w:rFonts w:ascii="Arial" w:hAnsi="Arial" w:cs="Arial"/>
          <w:sz w:val="22"/>
          <w:szCs w:val="22"/>
          <w:lang w:val="fi-FI"/>
        </w:rPr>
        <w:t>Korvaamalla Marathon LHS II, LHD II</w:t>
      </w:r>
      <w:r w:rsidRPr="00BB5001">
        <w:rPr>
          <w:rFonts w:ascii="Arial" w:hAnsi="Arial" w:cs="Arial"/>
          <w:sz w:val="22"/>
          <w:szCs w:val="22"/>
          <w:lang w:val="fi-FI"/>
        </w:rPr>
        <w:t xml:space="preserve"> </w:t>
      </w:r>
      <w:r>
        <w:rPr>
          <w:rFonts w:ascii="Arial" w:hAnsi="Arial" w:cs="Arial"/>
          <w:sz w:val="22"/>
          <w:szCs w:val="22"/>
          <w:lang w:val="fi-FI"/>
        </w:rPr>
        <w:t xml:space="preserve">ja LHT II renkaiden yhdistelmän LHS II +, LHD II + ja LHT II </w:t>
      </w:r>
      <w:r w:rsidRPr="00BB5001">
        <w:rPr>
          <w:rFonts w:ascii="Arial" w:hAnsi="Arial" w:cs="Arial"/>
          <w:sz w:val="22"/>
          <w:szCs w:val="22"/>
          <w:lang w:val="fi-FI"/>
        </w:rPr>
        <w:t xml:space="preserve">renkaiden yhdistelmällä voidaan saavuttaa yhden prosentin vähennys polttoaineen kulutuksessa. Tällöin ajoneuvoyhdistelmällä, jonka kulutus on 32 l/100km, polttoaineen hinnan ollessa 1,20 euroa/litra ja vuosittaisen ajomatkan ollessa </w:t>
      </w:r>
      <w:smartTag w:uri="urn:schemas-microsoft-com:office:smarttags" w:element="metricconverter">
        <w:smartTagPr>
          <w:attr w:name="ProductID" w:val="120 000 km"/>
        </w:smartTagPr>
        <w:r w:rsidRPr="00BB5001">
          <w:rPr>
            <w:rFonts w:ascii="Arial" w:hAnsi="Arial" w:cs="Arial"/>
            <w:sz w:val="22"/>
            <w:szCs w:val="22"/>
            <w:lang w:val="fi-FI"/>
          </w:rPr>
          <w:t>120 000 km</w:t>
        </w:r>
      </w:smartTag>
      <w:r w:rsidRPr="00BB5001">
        <w:rPr>
          <w:rFonts w:ascii="Arial" w:hAnsi="Arial" w:cs="Arial"/>
          <w:sz w:val="22"/>
          <w:szCs w:val="22"/>
          <w:lang w:val="fi-FI"/>
        </w:rPr>
        <w:t>, säästö olisi 500 euroa ajoneuvolta vuodessa, ja CO</w:t>
      </w:r>
      <w:r w:rsidRPr="00BB5001">
        <w:rPr>
          <w:rFonts w:ascii="Arial" w:hAnsi="Arial" w:cs="Arial"/>
          <w:sz w:val="22"/>
          <w:szCs w:val="22"/>
          <w:vertAlign w:val="subscript"/>
          <w:lang w:val="fi-FI"/>
        </w:rPr>
        <w:t>2</w:t>
      </w:r>
      <w:r w:rsidRPr="00BB5001">
        <w:rPr>
          <w:rFonts w:ascii="Arial" w:hAnsi="Arial" w:cs="Arial"/>
          <w:sz w:val="22"/>
          <w:szCs w:val="22"/>
          <w:lang w:val="fi-FI"/>
        </w:rPr>
        <w:t xml:space="preserve">-päästöjen vähennys olisi </w:t>
      </w:r>
      <w:smartTag w:uri="urn:schemas-microsoft-com:office:smarttags" w:element="metricconverter">
        <w:smartTagPr>
          <w:attr w:name="ProductID" w:val="1 000 kg"/>
        </w:smartTagPr>
        <w:r w:rsidRPr="00BB5001">
          <w:rPr>
            <w:rFonts w:ascii="Arial" w:hAnsi="Arial" w:cs="Arial"/>
            <w:sz w:val="22"/>
            <w:szCs w:val="22"/>
            <w:lang w:val="fi-FI"/>
          </w:rPr>
          <w:t>1 000 kg</w:t>
        </w:r>
      </w:smartTag>
      <w:r w:rsidRPr="00BB5001">
        <w:rPr>
          <w:rFonts w:ascii="Arial" w:hAnsi="Arial" w:cs="Arial"/>
          <w:sz w:val="22"/>
          <w:szCs w:val="22"/>
          <w:lang w:val="fi-FI"/>
        </w:rPr>
        <w:t>.</w:t>
      </w:r>
    </w:p>
    <w:p w:rsidR="000A7969" w:rsidRPr="00BB5001" w:rsidRDefault="000A7969" w:rsidP="00427D6C">
      <w:pPr>
        <w:spacing w:after="40"/>
        <w:jc w:val="both"/>
        <w:rPr>
          <w:rFonts w:ascii="Arial" w:hAnsi="Arial" w:cs="Arial"/>
          <w:b/>
          <w:sz w:val="22"/>
          <w:szCs w:val="22"/>
          <w:lang w:val="fi-FI"/>
        </w:rPr>
      </w:pPr>
      <w:r w:rsidRPr="00BB5001">
        <w:rPr>
          <w:rFonts w:ascii="Arial" w:hAnsi="Arial" w:cs="Arial"/>
          <w:b/>
          <w:sz w:val="22"/>
          <w:szCs w:val="22"/>
          <w:lang w:val="fi-FI"/>
        </w:rPr>
        <w:t>TESTIT JA TULOKSET</w:t>
      </w:r>
    </w:p>
    <w:p w:rsidR="000A7969" w:rsidRPr="00BB5001" w:rsidRDefault="000A7969" w:rsidP="00427D6C">
      <w:pPr>
        <w:spacing w:after="40" w:line="360" w:lineRule="auto"/>
        <w:jc w:val="both"/>
        <w:rPr>
          <w:rFonts w:ascii="Arial" w:hAnsi="Arial" w:cs="Arial"/>
          <w:b/>
          <w:sz w:val="22"/>
          <w:szCs w:val="22"/>
          <w:lang w:val="fi-FI"/>
        </w:rPr>
      </w:pPr>
      <w:r w:rsidRPr="00BB5001">
        <w:rPr>
          <w:rFonts w:ascii="Arial" w:hAnsi="Arial" w:cs="Arial"/>
          <w:sz w:val="22"/>
          <w:szCs w:val="22"/>
          <w:lang w:val="fi-FI"/>
        </w:rPr>
        <w:t>TÜV Süd Automotiven raportissa 76246887-1</w:t>
      </w:r>
      <w:r w:rsidRPr="00BB5001">
        <w:rPr>
          <w:rFonts w:ascii="Arial" w:hAnsi="Arial" w:cs="Arial"/>
          <w:sz w:val="22"/>
          <w:szCs w:val="22"/>
          <w:vertAlign w:val="superscript"/>
          <w:lang w:val="fi-FI"/>
        </w:rPr>
        <w:t>2</w:t>
      </w:r>
      <w:r w:rsidRPr="00BB5001">
        <w:rPr>
          <w:rFonts w:ascii="Arial" w:hAnsi="Arial" w:cs="Arial"/>
          <w:sz w:val="22"/>
          <w:szCs w:val="22"/>
          <w:lang w:val="fi-FI"/>
        </w:rPr>
        <w:t xml:space="preserve"> painopisteessä olivat ohjaavat ja vetävät renkaat kokoa 315/70R22.5 sekä perävaunun renkaat kokoa 385/65R22.5. Testin tavoite oli määrittää renkaiden vertailukelpoinen vierintävastus. Goodyear ohjaavien Marathon LHS II + -renkaiden, vetävien Marathon LHD II + -renkaiden ja Marathon LHT II -perävaunurenkaiden yhdistelmää verrattiin kolmen vahvimman kilpailijan vastaaviin renkaisiin. Vierintävastuksen osalta ohjaava Marathon LHS II + -rengas oli 3–19 % kilpailevia renkaita parempi, Marathon LHD II + -rengas oli yhdessä tapauksessa yhtä hyvä kuin kilpaileva rengas ja muissa tapauksissa</w:t>
      </w:r>
      <w:r>
        <w:rPr>
          <w:rFonts w:ascii="Arial" w:hAnsi="Arial" w:cs="Arial"/>
          <w:sz w:val="22"/>
          <w:szCs w:val="22"/>
          <w:lang w:val="fi-FI"/>
        </w:rPr>
        <w:t xml:space="preserve"> 16 % parempi. Marathon LHT II </w:t>
      </w:r>
      <w:r w:rsidRPr="00BB5001">
        <w:rPr>
          <w:rFonts w:ascii="Arial" w:hAnsi="Arial" w:cs="Arial"/>
          <w:sz w:val="22"/>
          <w:szCs w:val="22"/>
          <w:lang w:val="fi-FI"/>
        </w:rPr>
        <w:t xml:space="preserve">perävaunurengas oli 12–28 % kilpailevia renkaita parempi. Vastaavasti TÜV Süd Automotiven raportissa 76246886-1 painopisteessä oli märkäpito, ja testattavina olivat ohjaavat Goodyear Marathon LHS II + -renkaat ja vetävät Marathon LHD II + -renkaat. Märkäpitotulokset osoittivat, että Goodyear-yhdistelmällä jarrutusmatka oli kaikissa tapauksissa lyhyempi kuin kilpailijoiden renkailla, ja yhdessä tapauksessa </w:t>
      </w:r>
      <w:smartTag w:uri="urn:schemas-microsoft-com:office:smarttags" w:element="metricconverter">
        <w:smartTagPr>
          <w:attr w:name="ProductID" w:val="0,9 metriä"/>
        </w:smartTagPr>
        <w:r w:rsidRPr="00BB5001">
          <w:rPr>
            <w:rFonts w:ascii="Arial" w:hAnsi="Arial" w:cs="Arial"/>
            <w:sz w:val="22"/>
            <w:szCs w:val="22"/>
            <w:lang w:val="fi-FI"/>
          </w:rPr>
          <w:t>0,9 metriä</w:t>
        </w:r>
      </w:smartTag>
      <w:r w:rsidRPr="00BB5001">
        <w:rPr>
          <w:rFonts w:ascii="Arial" w:hAnsi="Arial" w:cs="Arial"/>
          <w:sz w:val="22"/>
          <w:szCs w:val="22"/>
          <w:lang w:val="fi-FI"/>
        </w:rPr>
        <w:t xml:space="preserve"> lyhyempi. Goodyear-yhdistelmän keskimääräinen jarrutuskyky märällä asfaltilla oli 2 prosenttia kilpailijoiden renkaita parempi.</w:t>
      </w:r>
    </w:p>
    <w:p w:rsidR="000A7969" w:rsidRPr="00BB5001" w:rsidRDefault="000A7969" w:rsidP="00427D6C">
      <w:pPr>
        <w:spacing w:after="40" w:line="360" w:lineRule="auto"/>
        <w:jc w:val="both"/>
        <w:rPr>
          <w:rFonts w:ascii="Arial" w:hAnsi="Arial" w:cs="Arial"/>
          <w:b/>
          <w:sz w:val="22"/>
          <w:szCs w:val="22"/>
          <w:lang w:val="fi-FI"/>
        </w:rPr>
      </w:pPr>
    </w:p>
    <w:p w:rsidR="000A7969" w:rsidRPr="00BB5001" w:rsidRDefault="000A7969" w:rsidP="00427D6C">
      <w:pPr>
        <w:spacing w:after="40" w:line="360" w:lineRule="auto"/>
        <w:jc w:val="both"/>
        <w:rPr>
          <w:rFonts w:ascii="Arial" w:hAnsi="Arial" w:cs="Arial"/>
          <w:sz w:val="22"/>
          <w:szCs w:val="22"/>
          <w:lang w:val="fi-FI"/>
        </w:rPr>
      </w:pPr>
      <w:r w:rsidRPr="00BB5001">
        <w:rPr>
          <w:rFonts w:ascii="Arial" w:hAnsi="Arial" w:cs="Arial"/>
          <w:b/>
          <w:sz w:val="22"/>
          <w:szCs w:val="22"/>
          <w:lang w:val="fi-FI"/>
        </w:rPr>
        <w:t>KUMPPANUUSSUHTEET</w:t>
      </w:r>
    </w:p>
    <w:p w:rsidR="000A7969" w:rsidRPr="00BB5001" w:rsidRDefault="000A7969" w:rsidP="00464FC7">
      <w:pPr>
        <w:spacing w:after="120" w:line="360" w:lineRule="auto"/>
        <w:jc w:val="both"/>
        <w:rPr>
          <w:rFonts w:ascii="Arial" w:hAnsi="Arial" w:cs="Arial"/>
          <w:sz w:val="22"/>
          <w:szCs w:val="22"/>
          <w:lang w:val="fi-FI"/>
        </w:rPr>
      </w:pPr>
      <w:r w:rsidRPr="00BB5001">
        <w:rPr>
          <w:rFonts w:ascii="Arial" w:hAnsi="Arial" w:cs="Arial"/>
          <w:sz w:val="22"/>
          <w:szCs w:val="22"/>
          <w:lang w:val="fi-FI"/>
        </w:rPr>
        <w:t xml:space="preserve">Goodyear teki tiivistä yhteistyötä Mercedes-Benz Trucksin kanssa kehittäessään uusia </w:t>
      </w:r>
      <w:r w:rsidRPr="00BB5001">
        <w:rPr>
          <w:rFonts w:ascii="Arial" w:hAnsi="Arial" w:cs="Arial"/>
          <w:i/>
          <w:sz w:val="22"/>
          <w:szCs w:val="22"/>
          <w:lang w:val="fi-FI"/>
        </w:rPr>
        <w:t>Marathon +</w:t>
      </w:r>
      <w:r w:rsidRPr="00BB5001">
        <w:rPr>
          <w:rFonts w:ascii="Arial" w:hAnsi="Arial" w:cs="Arial"/>
          <w:sz w:val="22"/>
          <w:szCs w:val="22"/>
          <w:lang w:val="fi-FI"/>
        </w:rPr>
        <w:t xml:space="preserve"> -renkaita. Mercedes-Benz Trucks teki uusille renkaille testejä, myös pinnan kulumisesta ja märkäpidosta. Testit vahvistivat uusien renkaiden, jotka ovat saaneet nimekseen </w:t>
      </w:r>
      <w:r w:rsidRPr="00BB5001">
        <w:rPr>
          <w:rFonts w:ascii="Arial" w:hAnsi="Arial" w:cs="Arial"/>
          <w:i/>
          <w:sz w:val="22"/>
          <w:szCs w:val="22"/>
          <w:lang w:val="fi-FI"/>
        </w:rPr>
        <w:t>Marathon LHS II</w:t>
      </w:r>
      <w:r w:rsidRPr="00BB5001">
        <w:rPr>
          <w:rFonts w:ascii="Arial" w:hAnsi="Arial" w:cs="Arial"/>
          <w:sz w:val="22"/>
          <w:szCs w:val="22"/>
          <w:lang w:val="fi-FI"/>
        </w:rPr>
        <w:t xml:space="preserve"> </w:t>
      </w:r>
      <w:r w:rsidRPr="00BB5001">
        <w:rPr>
          <w:rFonts w:ascii="Arial" w:hAnsi="Arial" w:cs="Arial"/>
          <w:i/>
          <w:sz w:val="22"/>
          <w:szCs w:val="22"/>
          <w:lang w:val="fi-FI"/>
        </w:rPr>
        <w:t>+</w:t>
      </w:r>
      <w:r w:rsidRPr="00BB5001">
        <w:rPr>
          <w:rFonts w:ascii="Arial" w:hAnsi="Arial" w:cs="Arial"/>
          <w:sz w:val="22"/>
          <w:szCs w:val="22"/>
          <w:lang w:val="fi-FI"/>
        </w:rPr>
        <w:t xml:space="preserve"> ja </w:t>
      </w:r>
      <w:r w:rsidRPr="00BB5001">
        <w:rPr>
          <w:rFonts w:ascii="Arial" w:hAnsi="Arial" w:cs="Arial"/>
          <w:i/>
          <w:sz w:val="22"/>
          <w:szCs w:val="22"/>
          <w:lang w:val="fi-FI"/>
        </w:rPr>
        <w:t>Marathon LHD II +</w:t>
      </w:r>
      <w:r w:rsidRPr="00BB5001">
        <w:rPr>
          <w:rFonts w:ascii="Arial" w:hAnsi="Arial" w:cs="Arial"/>
          <w:sz w:val="22"/>
          <w:szCs w:val="22"/>
          <w:lang w:val="fi-FI"/>
        </w:rPr>
        <w:t xml:space="preserve">, suorituskyvyn. Kenttäkokeisiin osallistui useita kuljetusyrityksiä, jotta voitiin varmistaa, että tulokset olivat oikeat ja johdonmukaiset renkaiden koko käyttöiän ajan. Kenttäkokeita tehtiin 18 kuukauden aikana kaupallisissa kaukokuljetuksissa Mercedes-Benz Actros 1844- ja 1841 -malleilla.  </w:t>
      </w:r>
    </w:p>
    <w:p w:rsidR="000A7969" w:rsidRPr="00BB5001" w:rsidRDefault="000A7969" w:rsidP="00464FC7">
      <w:pPr>
        <w:spacing w:after="120" w:line="360" w:lineRule="auto"/>
        <w:jc w:val="both"/>
        <w:rPr>
          <w:rFonts w:ascii="Arial" w:hAnsi="Arial" w:cs="Arial"/>
          <w:sz w:val="22"/>
          <w:szCs w:val="22"/>
          <w:lang w:val="fi-FI"/>
        </w:rPr>
      </w:pPr>
      <w:r w:rsidRPr="00BB5001">
        <w:rPr>
          <w:rFonts w:ascii="Arial" w:hAnsi="Arial" w:cs="Arial"/>
          <w:sz w:val="22"/>
          <w:szCs w:val="22"/>
          <w:lang w:val="fi-FI"/>
        </w:rPr>
        <w:t>Goodyear esittelee parhaillaan Marathon + -mallistoa kaikille suurille OE-valmistajille korostaakseen etuja, joita se tarjoaa alkuperäisvarustukseen kuuluvana renkaana.</w:t>
      </w:r>
    </w:p>
    <w:p w:rsidR="000A7969" w:rsidRPr="00BB5001" w:rsidRDefault="000A7969" w:rsidP="00DD5892">
      <w:pPr>
        <w:spacing w:after="120" w:line="360" w:lineRule="auto"/>
        <w:jc w:val="center"/>
        <w:rPr>
          <w:rFonts w:ascii="Arial" w:hAnsi="Arial" w:cs="Arial"/>
        </w:rPr>
      </w:pPr>
      <w:r w:rsidRPr="004D1ABA">
        <w:rPr>
          <w:rFonts w:ascii="Arial" w:hAnsi="Arial" w:cs="Arial"/>
          <w:noProof/>
          <w:sz w:val="22"/>
          <w:szCs w:val="22"/>
          <w:lang w:eastAsia="en-GB"/>
        </w:rPr>
        <w:pict>
          <v:shape id="Picture 2" o:spid="_x0000_i1026" type="#_x0000_t75" style="width:249pt;height:184.5pt;visibility:visible">
            <v:imagedata r:id="rId10" o:title=""/>
          </v:shape>
        </w:pict>
      </w:r>
    </w:p>
    <w:p w:rsidR="000A7969" w:rsidRPr="00BB5001" w:rsidRDefault="000A7969" w:rsidP="004D3CC5">
      <w:pPr>
        <w:pStyle w:val="Caption"/>
        <w:jc w:val="center"/>
        <w:rPr>
          <w:rFonts w:ascii="Arial" w:hAnsi="Arial" w:cs="Arial"/>
          <w:bCs w:val="0"/>
          <w:lang w:val="fi-FI"/>
        </w:rPr>
      </w:pPr>
      <w:r w:rsidRPr="00BB5001">
        <w:rPr>
          <w:rFonts w:ascii="Arial" w:hAnsi="Arial" w:cs="Arial"/>
          <w:bCs w:val="0"/>
          <w:lang w:val="fi-FI"/>
        </w:rPr>
        <w:t xml:space="preserve">Säteittäisessä kaaviossa on esitetty vertailu renkaiden viidellä tärkeimmällä suorituskyvyn alueella. Kaavio koskee </w:t>
      </w:r>
      <w:r w:rsidRPr="00BB5001">
        <w:rPr>
          <w:rFonts w:ascii="Arial" w:hAnsi="Arial" w:cs="Arial"/>
          <w:bCs w:val="0"/>
          <w:i/>
          <w:lang w:val="fi-FI"/>
        </w:rPr>
        <w:t>LHS II +</w:t>
      </w:r>
      <w:r w:rsidRPr="00BB5001">
        <w:rPr>
          <w:rFonts w:ascii="Arial" w:hAnsi="Arial" w:cs="Arial"/>
          <w:bCs w:val="0"/>
          <w:lang w:val="fi-FI"/>
        </w:rPr>
        <w:t xml:space="preserve">- ja </w:t>
      </w:r>
      <w:r w:rsidRPr="00BB5001">
        <w:rPr>
          <w:rFonts w:ascii="Arial" w:hAnsi="Arial" w:cs="Arial"/>
          <w:bCs w:val="0"/>
          <w:i/>
          <w:lang w:val="fi-FI"/>
        </w:rPr>
        <w:t>LHD II +</w:t>
      </w:r>
      <w:r w:rsidRPr="00BB5001">
        <w:rPr>
          <w:rFonts w:ascii="Arial" w:hAnsi="Arial" w:cs="Arial"/>
          <w:bCs w:val="0"/>
          <w:lang w:val="fi-FI"/>
        </w:rPr>
        <w:t xml:space="preserve"> -renkaiden vertailua edeltäjiinsä </w:t>
      </w:r>
      <w:r w:rsidRPr="00BB5001">
        <w:rPr>
          <w:rFonts w:ascii="Arial" w:hAnsi="Arial" w:cs="Arial"/>
          <w:bCs w:val="0"/>
          <w:i/>
          <w:lang w:val="fi-FI"/>
        </w:rPr>
        <w:t>LHS II</w:t>
      </w:r>
      <w:r w:rsidRPr="00BB5001">
        <w:rPr>
          <w:rFonts w:ascii="Arial" w:hAnsi="Arial" w:cs="Arial"/>
          <w:bCs w:val="0"/>
          <w:lang w:val="fi-FI"/>
        </w:rPr>
        <w:t xml:space="preserve">- ja </w:t>
      </w:r>
      <w:r w:rsidRPr="00BB5001">
        <w:rPr>
          <w:rFonts w:ascii="Arial" w:hAnsi="Arial" w:cs="Arial"/>
          <w:bCs w:val="0"/>
          <w:i/>
          <w:lang w:val="fi-FI"/>
        </w:rPr>
        <w:t>LHD II</w:t>
      </w:r>
      <w:r w:rsidRPr="00BB5001">
        <w:rPr>
          <w:rFonts w:ascii="Arial" w:hAnsi="Arial" w:cs="Arial"/>
          <w:bCs w:val="0"/>
          <w:vertAlign w:val="superscript"/>
          <w:lang w:val="fi-FI"/>
        </w:rPr>
        <w:t>1</w:t>
      </w:r>
      <w:r w:rsidRPr="00BB5001">
        <w:rPr>
          <w:rFonts w:ascii="Arial" w:hAnsi="Arial" w:cs="Arial"/>
          <w:bCs w:val="0"/>
          <w:lang w:val="fi-FI"/>
        </w:rPr>
        <w:t xml:space="preserve"> -renkaisiin.</w:t>
      </w:r>
    </w:p>
    <w:p w:rsidR="000A7969" w:rsidRPr="00BB5001" w:rsidRDefault="000A7969" w:rsidP="00FF7B3A">
      <w:pPr>
        <w:pStyle w:val="NormalWeb"/>
        <w:spacing w:before="0" w:beforeAutospacing="0" w:after="0" w:afterAutospacing="0" w:line="252" w:lineRule="auto"/>
        <w:textAlignment w:val="baseline"/>
        <w:rPr>
          <w:rFonts w:ascii="Arial" w:hAnsi="Arial" w:cs="Arial"/>
          <w:lang w:val="fi-FI"/>
        </w:rPr>
      </w:pPr>
    </w:p>
    <w:p w:rsidR="000A7969" w:rsidRPr="00BB5001" w:rsidRDefault="000A7969" w:rsidP="00EF7AEA">
      <w:pPr>
        <w:pStyle w:val="NormalWeb"/>
        <w:keepNext/>
        <w:spacing w:before="0" w:beforeAutospacing="0" w:after="0" w:afterAutospacing="0" w:line="252" w:lineRule="auto"/>
        <w:textAlignment w:val="baseline"/>
        <w:rPr>
          <w:rFonts w:ascii="Arial" w:hAnsi="Arial" w:cs="Arial"/>
        </w:rPr>
      </w:pPr>
      <w:r w:rsidRPr="004D1ABA">
        <w:rPr>
          <w:rFonts w:ascii="Arial" w:hAnsi="Arial" w:cs="Arial"/>
          <w:noProof/>
        </w:rPr>
        <w:pict>
          <v:shape id="Picture 3" o:spid="_x0000_i1027" type="#_x0000_t75" style="width:439.5pt;height:170.25pt;visibility:visible">
            <v:imagedata r:id="rId11" o:title=""/>
          </v:shape>
        </w:pict>
      </w:r>
    </w:p>
    <w:p w:rsidR="000A7969" w:rsidRPr="00BB5001" w:rsidRDefault="000A7969" w:rsidP="00956590">
      <w:pPr>
        <w:pStyle w:val="Caption"/>
        <w:jc w:val="center"/>
        <w:rPr>
          <w:rFonts w:ascii="Arial" w:hAnsi="Arial" w:cs="Arial"/>
          <w:lang w:val="fi-FI"/>
        </w:rPr>
      </w:pPr>
      <w:r w:rsidRPr="00BB5001">
        <w:rPr>
          <w:rFonts w:ascii="Arial" w:hAnsi="Arial" w:cs="Arial"/>
          <w:lang w:val="fi-FI"/>
        </w:rPr>
        <w:t xml:space="preserve">Tulokset TÜV Südin testeistä numero 76246887-1 ja 76246886-1, joissa verrattiin ohjaavien </w:t>
      </w:r>
      <w:r w:rsidRPr="00BB5001">
        <w:rPr>
          <w:rFonts w:ascii="Arial" w:hAnsi="Arial" w:cs="Arial"/>
          <w:i/>
          <w:lang w:val="fi-FI"/>
        </w:rPr>
        <w:t>LHS II +</w:t>
      </w:r>
      <w:r w:rsidRPr="00BB5001">
        <w:rPr>
          <w:rFonts w:ascii="Arial" w:hAnsi="Arial" w:cs="Arial"/>
          <w:lang w:val="fi-FI"/>
        </w:rPr>
        <w:t xml:space="preserve"> -renkaiden, vetävien </w:t>
      </w:r>
      <w:r w:rsidRPr="00BB5001">
        <w:rPr>
          <w:rFonts w:ascii="Arial" w:hAnsi="Arial" w:cs="Arial"/>
          <w:i/>
          <w:lang w:val="fi-FI"/>
        </w:rPr>
        <w:t>LHD II +</w:t>
      </w:r>
      <w:r w:rsidRPr="00BB5001">
        <w:rPr>
          <w:rFonts w:ascii="Arial" w:hAnsi="Arial" w:cs="Arial"/>
          <w:lang w:val="fi-FI"/>
        </w:rPr>
        <w:t xml:space="preserve"> -renkaiden ja </w:t>
      </w:r>
      <w:r w:rsidRPr="00BB5001">
        <w:rPr>
          <w:rFonts w:ascii="Arial" w:hAnsi="Arial" w:cs="Arial"/>
          <w:i/>
          <w:lang w:val="fi-FI"/>
        </w:rPr>
        <w:t>LHT II</w:t>
      </w:r>
      <w:r w:rsidRPr="00BB5001">
        <w:rPr>
          <w:rFonts w:ascii="Arial" w:hAnsi="Arial" w:cs="Arial"/>
          <w:lang w:val="fi-FI"/>
        </w:rPr>
        <w:t xml:space="preserve"> -perävaunurenkaiden yhdistelmää kolmen vahvimman kilpailijan renkaisiin</w:t>
      </w:r>
      <w:r w:rsidRPr="00BB5001">
        <w:rPr>
          <w:rFonts w:ascii="Arial" w:hAnsi="Arial" w:cs="Arial"/>
          <w:vertAlign w:val="superscript"/>
          <w:lang w:val="fi-FI"/>
        </w:rPr>
        <w:t>1</w:t>
      </w:r>
      <w:r w:rsidRPr="00BB5001">
        <w:rPr>
          <w:rFonts w:ascii="Arial" w:hAnsi="Arial" w:cs="Arial"/>
          <w:lang w:val="fi-FI"/>
        </w:rPr>
        <w:t xml:space="preserve">. </w:t>
      </w:r>
    </w:p>
    <w:p w:rsidR="000A7969" w:rsidRPr="00BB5001" w:rsidRDefault="000A7969" w:rsidP="00DD5892">
      <w:pPr>
        <w:spacing w:after="120" w:line="360" w:lineRule="auto"/>
        <w:jc w:val="center"/>
        <w:rPr>
          <w:rFonts w:ascii="Arial" w:hAnsi="Arial" w:cs="Arial"/>
          <w:b/>
          <w:noProof/>
          <w:sz w:val="20"/>
          <w:szCs w:val="20"/>
          <w:lang w:val="fi-FI" w:eastAsia="en-GB"/>
        </w:rPr>
      </w:pPr>
    </w:p>
    <w:p w:rsidR="000A7969" w:rsidRPr="00BB5001" w:rsidRDefault="000A7969" w:rsidP="00DD5892">
      <w:pPr>
        <w:spacing w:after="120" w:line="360" w:lineRule="auto"/>
        <w:jc w:val="center"/>
        <w:rPr>
          <w:rFonts w:ascii="Arial" w:hAnsi="Arial" w:cs="Arial"/>
          <w:b/>
          <w:noProof/>
          <w:sz w:val="20"/>
          <w:szCs w:val="20"/>
          <w:lang w:val="fi-FI" w:eastAsia="en-GB"/>
        </w:rPr>
      </w:pPr>
    </w:p>
    <w:p w:rsidR="000A7969" w:rsidRPr="00BB5001" w:rsidRDefault="000A7969" w:rsidP="00FC0BD4">
      <w:pPr>
        <w:spacing w:after="120" w:line="360" w:lineRule="auto"/>
        <w:jc w:val="center"/>
      </w:pPr>
      <w:r>
        <w:pict>
          <v:shape id="_x0000_i1028" type="#_x0000_t75" style="width:430.5pt;height:173.25pt">
            <v:imagedata r:id="rId12" o:title="" croptop="23501f" cropbottom="15313f" cropleft="8733f" cropright="35365f"/>
          </v:shape>
        </w:pict>
      </w:r>
    </w:p>
    <w:p w:rsidR="000A7969" w:rsidRPr="00BB5001" w:rsidRDefault="000A7969" w:rsidP="00FC0BD4">
      <w:pPr>
        <w:spacing w:after="120" w:line="360" w:lineRule="auto"/>
        <w:jc w:val="center"/>
        <w:rPr>
          <w:rFonts w:ascii="Arial" w:hAnsi="Arial" w:cs="Arial"/>
          <w:b/>
          <w:sz w:val="20"/>
          <w:szCs w:val="20"/>
          <w:lang w:val="fi-FI"/>
        </w:rPr>
      </w:pPr>
      <w:r>
        <w:rPr>
          <w:rFonts w:ascii="Arial" w:hAnsi="Arial" w:cs="Arial"/>
          <w:b/>
          <w:sz w:val="20"/>
          <w:szCs w:val="20"/>
          <w:lang w:val="fi-FI"/>
        </w:rPr>
        <w:t>Kokovalikoima, 315/70R 22,5 myös korkeampi kuormitusluokka</w:t>
      </w:r>
    </w:p>
    <w:p w:rsidR="000A7969" w:rsidRPr="00BB5001" w:rsidRDefault="000A7969" w:rsidP="00FC0BD4">
      <w:pPr>
        <w:rPr>
          <w:rFonts w:ascii="Arial" w:hAnsi="Arial" w:cs="Arial"/>
          <w:sz w:val="20"/>
          <w:szCs w:val="20"/>
          <w:lang w:val="fi-FI"/>
        </w:rPr>
      </w:pPr>
    </w:p>
    <w:p w:rsidR="000A7969" w:rsidRPr="00BB5001" w:rsidRDefault="000A7969" w:rsidP="005F332F">
      <w:pPr>
        <w:pBdr>
          <w:bottom w:val="single" w:sz="6" w:space="1" w:color="auto"/>
        </w:pBdr>
        <w:rPr>
          <w:rFonts w:ascii="Arial" w:hAnsi="Arial" w:cs="Arial"/>
          <w:color w:val="000000"/>
          <w:sz w:val="22"/>
          <w:szCs w:val="22"/>
          <w:lang w:val="fi-FI"/>
        </w:rPr>
      </w:pPr>
    </w:p>
    <w:p w:rsidR="000A7969" w:rsidRPr="00BB5001" w:rsidRDefault="000A7969" w:rsidP="005208ED">
      <w:pPr>
        <w:jc w:val="both"/>
        <w:rPr>
          <w:rFonts w:ascii="Arial" w:hAnsi="Arial" w:cs="Arial"/>
          <w:b/>
          <w:sz w:val="22"/>
          <w:szCs w:val="22"/>
          <w:lang w:val="fi-FI"/>
        </w:rPr>
      </w:pPr>
    </w:p>
    <w:p w:rsidR="000A7969" w:rsidRPr="0027572F" w:rsidRDefault="000A7969" w:rsidP="0027572F">
      <w:pPr>
        <w:pStyle w:val="NormalWeb"/>
        <w:spacing w:before="0" w:after="0" w:line="252" w:lineRule="auto"/>
        <w:rPr>
          <w:rFonts w:ascii="Arial" w:hAnsi="Arial"/>
          <w:b/>
          <w:sz w:val="16"/>
          <w:szCs w:val="16"/>
          <w:lang w:val="fi-FI"/>
        </w:rPr>
      </w:pPr>
      <w:r w:rsidRPr="0027572F">
        <w:rPr>
          <w:rFonts w:ascii="Arial" w:hAnsi="Arial"/>
          <w:b/>
          <w:sz w:val="16"/>
          <w:szCs w:val="16"/>
          <w:lang w:val="fi-FI"/>
        </w:rPr>
        <w:t>Tietoja Goodyearista</w:t>
      </w:r>
    </w:p>
    <w:p w:rsidR="000A7969" w:rsidRPr="0027572F" w:rsidRDefault="000A7969" w:rsidP="0027572F">
      <w:pPr>
        <w:pStyle w:val="NormalWeb"/>
        <w:spacing w:before="0" w:after="0" w:line="252" w:lineRule="auto"/>
        <w:rPr>
          <w:rFonts w:ascii="Arial" w:hAnsi="Arial"/>
          <w:sz w:val="16"/>
          <w:szCs w:val="16"/>
          <w:lang w:val="fi-FI"/>
        </w:rPr>
      </w:pPr>
      <w:r w:rsidRPr="0027572F">
        <w:rPr>
          <w:rFonts w:ascii="Arial" w:hAnsi="Arial"/>
          <w:sz w:val="16"/>
          <w:szCs w:val="16"/>
          <w:lang w:val="fi-FI"/>
        </w:rPr>
        <w:t xml:space="preserve">Goodyear on yksi maailman suurimmista rengasvalmistajista. Sillä on noin 73 000 työntekijää, ja se valmistaa tuotteita 54 tuotantolaitoksessa 22 maassa ympäri maailmaa. Sen kahdessa innovaatiokeskuksessa Akronissa Ohion osavaltiossa Yhdysvalloissa ja Colmar-Bergissä Luxemburgissa pyritään kehittämään huippuluokan tuotteita ja palveluita, jotka määrittävät alan teknologia- ja suorituskykystandardeja. </w:t>
      </w:r>
    </w:p>
    <w:p w:rsidR="000A7969" w:rsidRPr="0027572F" w:rsidRDefault="000A7969" w:rsidP="0027572F">
      <w:pPr>
        <w:pStyle w:val="NormalWeb"/>
        <w:spacing w:before="0" w:after="0" w:line="252" w:lineRule="auto"/>
        <w:rPr>
          <w:rFonts w:ascii="Arial" w:hAnsi="Arial"/>
          <w:sz w:val="16"/>
          <w:szCs w:val="16"/>
          <w:lang w:val="fi-FI"/>
        </w:rPr>
      </w:pPr>
      <w:r w:rsidRPr="0027572F">
        <w:rPr>
          <w:rFonts w:ascii="Arial" w:hAnsi="Arial"/>
          <w:sz w:val="16"/>
          <w:szCs w:val="16"/>
          <w:lang w:val="fi-FI"/>
        </w:rPr>
        <w:t xml:space="preserve">Goodyear Dunlop Europen hyötyajoneuvojen ja linja-autojen rengasvalikoima sisältää yli 400 erilaista rengasta, joita on saatavana yli 55 kokona.  Monet johtavat kaupallisten ajoneuvojen valmistajat käyttävät Goodyearin renkaita vakiona, kuten DAF, Iveco, MAN, Mercedes-Benz, Renault Trucks, Scania ja Volvo.  Goodyear toimittaa renkaita myös kaikille suurille perävaunujen valmistajille. Fleet First -palvelun, joka sisältää TruckForce-palveluverkoston, ServiceLine 24 h -tiepalvelun, korjauspalvelun, FleetOnlineSolutions -verkkohallintajärjestelmän ja Goodyear-uudelleenpinnoitusteknologian ansiosta Goodyear tarjoaa alan laajimman valikoiman kohdennettuja palveluita. </w:t>
      </w:r>
    </w:p>
    <w:p w:rsidR="000A7969" w:rsidRPr="0027572F" w:rsidRDefault="000A7969" w:rsidP="0027572F">
      <w:pPr>
        <w:pStyle w:val="NormalWeb"/>
        <w:spacing w:before="0" w:after="0" w:line="252" w:lineRule="auto"/>
        <w:rPr>
          <w:rFonts w:ascii="Arial" w:hAnsi="Arial"/>
          <w:sz w:val="16"/>
          <w:szCs w:val="16"/>
          <w:lang w:val="fi-FI"/>
        </w:rPr>
      </w:pPr>
      <w:r w:rsidRPr="0027572F">
        <w:rPr>
          <w:rFonts w:ascii="Arial" w:hAnsi="Arial"/>
          <w:color w:val="000000"/>
          <w:sz w:val="16"/>
          <w:szCs w:val="16"/>
          <w:lang w:val="fi-FI"/>
        </w:rPr>
        <w:t xml:space="preserve">Lisätietoja Goodyearista ja sen tuotteista on sivustossa </w:t>
      </w:r>
      <w:r>
        <w:rPr>
          <w:rFonts w:ascii="Arial" w:hAnsi="Arial" w:cs="Arial"/>
          <w:sz w:val="16"/>
          <w:szCs w:val="16"/>
          <w:lang w:val="fi-FI"/>
        </w:rPr>
        <w:t>www.goodyear.fi.</w:t>
      </w:r>
    </w:p>
    <w:p w:rsidR="000A7969" w:rsidRPr="0027572F" w:rsidRDefault="000A7969" w:rsidP="0027572F">
      <w:pPr>
        <w:jc w:val="both"/>
        <w:rPr>
          <w:lang w:val="fi-FI"/>
        </w:rPr>
      </w:pPr>
    </w:p>
    <w:sectPr w:rsidR="000A7969" w:rsidRPr="0027572F" w:rsidSect="00673873">
      <w:footerReference w:type="even" r:id="rId13"/>
      <w:footerReference w:type="default" r:id="rId14"/>
      <w:pgSz w:w="11906" w:h="16838"/>
      <w:pgMar w:top="899" w:right="1466" w:bottom="851" w:left="16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7969" w:rsidRDefault="000A7969">
      <w:r>
        <w:separator/>
      </w:r>
    </w:p>
  </w:endnote>
  <w:endnote w:type="continuationSeparator" w:id="0">
    <w:p w:rsidR="000A7969" w:rsidRDefault="000A79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45 Light">
    <w:altName w:val="Times New Roman"/>
    <w:panose1 w:val="00000000000000000000"/>
    <w:charset w:val="00"/>
    <w:family w:val="roman"/>
    <w:notTrueType/>
    <w:pitch w:val="default"/>
    <w:sig w:usb0="00000003" w:usb1="00000000" w:usb2="00000000" w:usb3="00000000" w:csb0="00000001" w:csb1="00000000"/>
  </w:font>
  <w:font w:name="MS PGothic">
    <w:panose1 w:val="00000000000000000000"/>
    <w:charset w:val="80"/>
    <w:family w:val="swiss"/>
    <w:notTrueType/>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969" w:rsidRDefault="000A7969" w:rsidP="001D6E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A7969" w:rsidRDefault="000A7969" w:rsidP="007C102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969" w:rsidRPr="007C1023" w:rsidRDefault="000A7969" w:rsidP="001D6E7F">
    <w:pPr>
      <w:pStyle w:val="Footer"/>
      <w:framePr w:wrap="around" w:vAnchor="text" w:hAnchor="margin" w:xAlign="right" w:y="1"/>
      <w:rPr>
        <w:rStyle w:val="PageNumber"/>
        <w:rFonts w:ascii="Arial" w:hAnsi="Arial" w:cs="Arial"/>
        <w:sz w:val="20"/>
        <w:szCs w:val="20"/>
      </w:rPr>
    </w:pPr>
    <w:r>
      <w:rPr>
        <w:rStyle w:val="PageNumber"/>
        <w:rFonts w:ascii="Arial" w:hAnsi="Arial" w:cs="Arial"/>
        <w:sz w:val="20"/>
        <w:szCs w:val="20"/>
      </w:rPr>
      <w:fldChar w:fldCharType="begin"/>
    </w:r>
    <w:r>
      <w:rPr>
        <w:rStyle w:val="PageNumber"/>
        <w:rFonts w:ascii="Arial" w:hAnsi="Arial" w:cs="Arial"/>
        <w:sz w:val="20"/>
        <w:szCs w:val="20"/>
      </w:rPr>
      <w:instrText xml:space="preserve">PAGE  </w:instrText>
    </w:r>
    <w:r>
      <w:rPr>
        <w:rStyle w:val="PageNumber"/>
        <w:rFonts w:ascii="Arial" w:hAnsi="Arial" w:cs="Arial"/>
        <w:sz w:val="20"/>
        <w:szCs w:val="20"/>
      </w:rPr>
      <w:fldChar w:fldCharType="separate"/>
    </w:r>
    <w:r>
      <w:rPr>
        <w:rStyle w:val="PageNumber"/>
        <w:rFonts w:ascii="Arial" w:hAnsi="Arial" w:cs="Arial"/>
        <w:noProof/>
        <w:sz w:val="20"/>
        <w:szCs w:val="20"/>
      </w:rPr>
      <w:t>1</w:t>
    </w:r>
    <w:r>
      <w:rPr>
        <w:rStyle w:val="PageNumber"/>
        <w:rFonts w:ascii="Arial" w:hAnsi="Arial" w:cs="Arial"/>
        <w:sz w:val="20"/>
        <w:szCs w:val="20"/>
      </w:rPr>
      <w:fldChar w:fldCharType="end"/>
    </w:r>
  </w:p>
  <w:p w:rsidR="000A7969" w:rsidRDefault="000A7969" w:rsidP="007C102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7969" w:rsidRDefault="000A7969">
      <w:r>
        <w:separator/>
      </w:r>
    </w:p>
  </w:footnote>
  <w:footnote w:type="continuationSeparator" w:id="0">
    <w:p w:rsidR="000A7969" w:rsidRDefault="000A7969">
      <w:r>
        <w:continuationSeparator/>
      </w:r>
    </w:p>
  </w:footnote>
  <w:footnote w:id="1">
    <w:p w:rsidR="000A7969" w:rsidRPr="00590ACA" w:rsidRDefault="000A7969">
      <w:pPr>
        <w:pStyle w:val="FootnoteText"/>
        <w:rPr>
          <w:rFonts w:ascii="Arial" w:eastAsia="MS PGothic" w:hAnsi="Arial" w:cs="Arial"/>
          <w:sz w:val="16"/>
          <w:szCs w:val="16"/>
          <w:lang w:val="fi-FI" w:eastAsia="en-GB"/>
        </w:rPr>
      </w:pPr>
      <w:r w:rsidRPr="007C1023">
        <w:rPr>
          <w:rStyle w:val="FootnoteReference"/>
          <w:rFonts w:ascii="Arial" w:hAnsi="Arial" w:cs="Arial"/>
          <w:sz w:val="16"/>
          <w:szCs w:val="16"/>
        </w:rPr>
        <w:footnoteRef/>
      </w:r>
      <w:r w:rsidRPr="00590ACA">
        <w:rPr>
          <w:rFonts w:ascii="Arial" w:hAnsi="Arial" w:cs="Arial"/>
          <w:sz w:val="16"/>
          <w:szCs w:val="16"/>
          <w:lang w:val="fi-FI"/>
        </w:rPr>
        <w:t xml:space="preserve"> Lukemat ovat Goodyearin innovaatiokeskuksessa Luxemburgissa vuonna 2011 laskettuja.</w:t>
      </w:r>
    </w:p>
    <w:p w:rsidR="000A7969" w:rsidRDefault="000A7969">
      <w:pPr>
        <w:pStyle w:val="FootnoteText"/>
      </w:pPr>
    </w:p>
  </w:footnote>
  <w:footnote w:id="2">
    <w:p w:rsidR="000A7969" w:rsidRPr="00590ACA" w:rsidRDefault="000A7969" w:rsidP="00DC5179">
      <w:pPr>
        <w:pStyle w:val="NormalWeb"/>
        <w:spacing w:before="120" w:beforeAutospacing="0" w:after="0" w:afterAutospacing="0"/>
        <w:jc w:val="both"/>
        <w:textAlignment w:val="baseline"/>
        <w:rPr>
          <w:rFonts w:ascii="Arial" w:eastAsia="MS PGothic" w:hAnsi="Arial" w:cs="Arial"/>
          <w:sz w:val="16"/>
          <w:szCs w:val="16"/>
          <w:lang w:val="fi-FI"/>
        </w:rPr>
      </w:pPr>
      <w:r w:rsidRPr="007C1023">
        <w:rPr>
          <w:rStyle w:val="FootnoteReference"/>
          <w:rFonts w:ascii="Arial" w:hAnsi="Arial" w:cs="Arial"/>
          <w:sz w:val="16"/>
          <w:szCs w:val="16"/>
        </w:rPr>
        <w:footnoteRef/>
      </w:r>
      <w:r w:rsidRPr="00590ACA">
        <w:rPr>
          <w:rFonts w:ascii="Arial" w:hAnsi="Arial" w:cs="Arial"/>
          <w:sz w:val="16"/>
          <w:szCs w:val="16"/>
          <w:lang w:val="fi-FI"/>
        </w:rPr>
        <w:t xml:space="preserve"> Tiedot ovat TÜV Südin elokuussa 2011 (testin numero 76246887-1) ja syyskuussa 2011 (76246886-1) mittaamia.  Testattuja renkaita - Goodyear Marathon LHS II + / LHD II / LHT II verrattiin kolmen vahvimman kilpailijan ohjaaviin / vetäviin / perävaunun renkaisiin.</w:t>
      </w:r>
      <w:r>
        <w:rPr>
          <w:rFonts w:ascii="Arial" w:hAnsi="Arial" w:cs="Arial"/>
          <w:sz w:val="16"/>
          <w:szCs w:val="16"/>
          <w:lang w:val="fi-FI"/>
        </w:rPr>
        <w:t xml:space="preserve"> </w:t>
      </w:r>
      <w:r w:rsidRPr="00590ACA">
        <w:rPr>
          <w:rFonts w:ascii="Arial" w:hAnsi="Arial" w:cs="Arial"/>
          <w:sz w:val="16"/>
          <w:szCs w:val="16"/>
          <w:lang w:val="fi-FI"/>
        </w:rPr>
        <w:t>Rengaskoot 315/70R22.5 (ohjaava ja vetävä) ja 385/65R22.5 (perävaunu).</w:t>
      </w:r>
    </w:p>
    <w:p w:rsidR="000A7969" w:rsidRPr="00590ACA" w:rsidRDefault="000A7969" w:rsidP="00DC5179">
      <w:pPr>
        <w:pStyle w:val="NormalWeb"/>
        <w:spacing w:before="120" w:beforeAutospacing="0" w:after="0" w:afterAutospacing="0"/>
        <w:jc w:val="both"/>
        <w:textAlignment w:val="baseline"/>
        <w:rPr>
          <w:rFonts w:ascii="Arial" w:eastAsia="MS PGothic" w:hAnsi="Arial" w:cs="Arial"/>
          <w:sz w:val="16"/>
          <w:szCs w:val="16"/>
          <w:lang w:val="fi-FI"/>
        </w:rPr>
      </w:pPr>
      <w:r w:rsidRPr="00590ACA">
        <w:rPr>
          <w:rFonts w:ascii="Arial" w:hAnsi="Arial" w:cs="Arial"/>
          <w:sz w:val="16"/>
          <w:szCs w:val="16"/>
          <w:lang w:val="fi-FI"/>
        </w:rPr>
        <w:t>Vierintävastussuhteen laskelmat perustuivat seuraavaan kuorman jakaumaan: 17 % ohjaavalla akselilla, 25 % vetävällä akselilla ja 58 % perävaunuakselilla.</w:t>
      </w:r>
      <w:r>
        <w:rPr>
          <w:rFonts w:ascii="Arial" w:hAnsi="Arial" w:cs="Arial"/>
          <w:sz w:val="16"/>
          <w:szCs w:val="16"/>
          <w:lang w:val="fi-FI"/>
        </w:rPr>
        <w:t xml:space="preserve"> </w:t>
      </w:r>
      <w:r w:rsidRPr="00590ACA">
        <w:rPr>
          <w:rFonts w:ascii="Arial" w:hAnsi="Arial" w:cs="Arial"/>
          <w:sz w:val="16"/>
          <w:szCs w:val="16"/>
          <w:lang w:val="fi-FI"/>
        </w:rPr>
        <w:t>Märkäpitoindeksi mitattiin niin, että etuakselilla oli ohjaavat renkaat ja vetävällä akselilla oli vetävät renkaat, ja ohjaavalla akselilla oli 6 600 kg:n kuorma ja vetävällä akselilla oli 11 200 kg:n kuorma.</w:t>
      </w:r>
    </w:p>
    <w:p w:rsidR="000A7969" w:rsidRDefault="000A7969" w:rsidP="00DC5179">
      <w:pPr>
        <w:pStyle w:val="NormalWeb"/>
        <w:spacing w:before="120" w:beforeAutospacing="0" w:after="0" w:afterAutospacing="0"/>
        <w:jc w:val="both"/>
        <w:textAlignment w:val="baseline"/>
      </w:pPr>
    </w:p>
  </w:footnote>
  <w:footnote w:id="3">
    <w:p w:rsidR="000A7969" w:rsidRDefault="000A7969" w:rsidP="006307B5">
      <w:pPr>
        <w:pStyle w:val="FootnoteText"/>
      </w:pPr>
      <w:r w:rsidRPr="007C1023">
        <w:rPr>
          <w:rStyle w:val="FootnoteReference"/>
          <w:rFonts w:ascii="Arial" w:hAnsi="Arial" w:cs="Arial"/>
          <w:sz w:val="16"/>
          <w:szCs w:val="16"/>
        </w:rPr>
        <w:footnoteRef/>
      </w:r>
      <w:r w:rsidRPr="00590ACA">
        <w:rPr>
          <w:rFonts w:ascii="Arial" w:hAnsi="Arial" w:cs="Arial"/>
          <w:sz w:val="16"/>
          <w:szCs w:val="16"/>
          <w:lang w:val="fi-FI"/>
        </w:rPr>
        <w:t xml:space="preserve"> Transport Engineer -lehdessä tammikuussa 2011 julkaistut lukemat, jotka perustuvat 40 tonnin viisiakseliseen ajoneuvoyhdistelmään.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B7903"/>
    <w:multiLevelType w:val="hybridMultilevel"/>
    <w:tmpl w:val="85A47920"/>
    <w:lvl w:ilvl="0" w:tplc="21E8375E">
      <w:start w:val="1"/>
      <w:numFmt w:val="bullet"/>
      <w:lvlText w:val="•"/>
      <w:lvlJc w:val="left"/>
      <w:pPr>
        <w:tabs>
          <w:tab w:val="num" w:pos="720"/>
        </w:tabs>
        <w:ind w:left="720" w:hanging="360"/>
      </w:pPr>
      <w:rPr>
        <w:rFonts w:ascii="Times New Roman" w:hAnsi="Times New Roman" w:hint="default"/>
      </w:rPr>
    </w:lvl>
    <w:lvl w:ilvl="1" w:tplc="91D66A78" w:tentative="1">
      <w:start w:val="1"/>
      <w:numFmt w:val="bullet"/>
      <w:lvlText w:val="•"/>
      <w:lvlJc w:val="left"/>
      <w:pPr>
        <w:tabs>
          <w:tab w:val="num" w:pos="1440"/>
        </w:tabs>
        <w:ind w:left="1440" w:hanging="360"/>
      </w:pPr>
      <w:rPr>
        <w:rFonts w:ascii="Times New Roman" w:hAnsi="Times New Roman" w:hint="default"/>
      </w:rPr>
    </w:lvl>
    <w:lvl w:ilvl="2" w:tplc="0186D02C" w:tentative="1">
      <w:start w:val="1"/>
      <w:numFmt w:val="bullet"/>
      <w:lvlText w:val="•"/>
      <w:lvlJc w:val="left"/>
      <w:pPr>
        <w:tabs>
          <w:tab w:val="num" w:pos="2160"/>
        </w:tabs>
        <w:ind w:left="2160" w:hanging="360"/>
      </w:pPr>
      <w:rPr>
        <w:rFonts w:ascii="Times New Roman" w:hAnsi="Times New Roman" w:hint="default"/>
      </w:rPr>
    </w:lvl>
    <w:lvl w:ilvl="3" w:tplc="BB344616" w:tentative="1">
      <w:start w:val="1"/>
      <w:numFmt w:val="bullet"/>
      <w:lvlText w:val="•"/>
      <w:lvlJc w:val="left"/>
      <w:pPr>
        <w:tabs>
          <w:tab w:val="num" w:pos="2880"/>
        </w:tabs>
        <w:ind w:left="2880" w:hanging="360"/>
      </w:pPr>
      <w:rPr>
        <w:rFonts w:ascii="Times New Roman" w:hAnsi="Times New Roman" w:hint="default"/>
      </w:rPr>
    </w:lvl>
    <w:lvl w:ilvl="4" w:tplc="4CBE7FB2" w:tentative="1">
      <w:start w:val="1"/>
      <w:numFmt w:val="bullet"/>
      <w:lvlText w:val="•"/>
      <w:lvlJc w:val="left"/>
      <w:pPr>
        <w:tabs>
          <w:tab w:val="num" w:pos="3600"/>
        </w:tabs>
        <w:ind w:left="3600" w:hanging="360"/>
      </w:pPr>
      <w:rPr>
        <w:rFonts w:ascii="Times New Roman" w:hAnsi="Times New Roman" w:hint="default"/>
      </w:rPr>
    </w:lvl>
    <w:lvl w:ilvl="5" w:tplc="33EE9F52" w:tentative="1">
      <w:start w:val="1"/>
      <w:numFmt w:val="bullet"/>
      <w:lvlText w:val="•"/>
      <w:lvlJc w:val="left"/>
      <w:pPr>
        <w:tabs>
          <w:tab w:val="num" w:pos="4320"/>
        </w:tabs>
        <w:ind w:left="4320" w:hanging="360"/>
      </w:pPr>
      <w:rPr>
        <w:rFonts w:ascii="Times New Roman" w:hAnsi="Times New Roman" w:hint="default"/>
      </w:rPr>
    </w:lvl>
    <w:lvl w:ilvl="6" w:tplc="8BF0DF60" w:tentative="1">
      <w:start w:val="1"/>
      <w:numFmt w:val="bullet"/>
      <w:lvlText w:val="•"/>
      <w:lvlJc w:val="left"/>
      <w:pPr>
        <w:tabs>
          <w:tab w:val="num" w:pos="5040"/>
        </w:tabs>
        <w:ind w:left="5040" w:hanging="360"/>
      </w:pPr>
      <w:rPr>
        <w:rFonts w:ascii="Times New Roman" w:hAnsi="Times New Roman" w:hint="default"/>
      </w:rPr>
    </w:lvl>
    <w:lvl w:ilvl="7" w:tplc="1B20EB20" w:tentative="1">
      <w:start w:val="1"/>
      <w:numFmt w:val="bullet"/>
      <w:lvlText w:val="•"/>
      <w:lvlJc w:val="left"/>
      <w:pPr>
        <w:tabs>
          <w:tab w:val="num" w:pos="5760"/>
        </w:tabs>
        <w:ind w:left="5760" w:hanging="360"/>
      </w:pPr>
      <w:rPr>
        <w:rFonts w:ascii="Times New Roman" w:hAnsi="Times New Roman" w:hint="default"/>
      </w:rPr>
    </w:lvl>
    <w:lvl w:ilvl="8" w:tplc="CF9C3B54" w:tentative="1">
      <w:start w:val="1"/>
      <w:numFmt w:val="bullet"/>
      <w:lvlText w:val="•"/>
      <w:lvlJc w:val="left"/>
      <w:pPr>
        <w:tabs>
          <w:tab w:val="num" w:pos="6480"/>
        </w:tabs>
        <w:ind w:left="6480" w:hanging="360"/>
      </w:pPr>
      <w:rPr>
        <w:rFonts w:ascii="Times New Roman" w:hAnsi="Times New Roman" w:hint="default"/>
      </w:rPr>
    </w:lvl>
  </w:abstractNum>
  <w:abstractNum w:abstractNumId="1">
    <w:nsid w:val="1F000A6C"/>
    <w:multiLevelType w:val="hybridMultilevel"/>
    <w:tmpl w:val="EEE42F88"/>
    <w:lvl w:ilvl="0" w:tplc="B9EE6C18">
      <w:start w:val="1"/>
      <w:numFmt w:val="bullet"/>
      <w:lvlText w:val="•"/>
      <w:lvlJc w:val="left"/>
      <w:pPr>
        <w:tabs>
          <w:tab w:val="num" w:pos="720"/>
        </w:tabs>
        <w:ind w:left="720" w:hanging="360"/>
      </w:pPr>
      <w:rPr>
        <w:rFonts w:ascii="Times New Roman" w:hAnsi="Times New Roman" w:hint="default"/>
      </w:rPr>
    </w:lvl>
    <w:lvl w:ilvl="1" w:tplc="5B7C1774" w:tentative="1">
      <w:start w:val="1"/>
      <w:numFmt w:val="bullet"/>
      <w:lvlText w:val="•"/>
      <w:lvlJc w:val="left"/>
      <w:pPr>
        <w:tabs>
          <w:tab w:val="num" w:pos="1440"/>
        </w:tabs>
        <w:ind w:left="1440" w:hanging="360"/>
      </w:pPr>
      <w:rPr>
        <w:rFonts w:ascii="Times New Roman" w:hAnsi="Times New Roman" w:hint="default"/>
      </w:rPr>
    </w:lvl>
    <w:lvl w:ilvl="2" w:tplc="1FE61E88" w:tentative="1">
      <w:start w:val="1"/>
      <w:numFmt w:val="bullet"/>
      <w:lvlText w:val="•"/>
      <w:lvlJc w:val="left"/>
      <w:pPr>
        <w:tabs>
          <w:tab w:val="num" w:pos="2160"/>
        </w:tabs>
        <w:ind w:left="2160" w:hanging="360"/>
      </w:pPr>
      <w:rPr>
        <w:rFonts w:ascii="Times New Roman" w:hAnsi="Times New Roman" w:hint="default"/>
      </w:rPr>
    </w:lvl>
    <w:lvl w:ilvl="3" w:tplc="BA3C055C" w:tentative="1">
      <w:start w:val="1"/>
      <w:numFmt w:val="bullet"/>
      <w:lvlText w:val="•"/>
      <w:lvlJc w:val="left"/>
      <w:pPr>
        <w:tabs>
          <w:tab w:val="num" w:pos="2880"/>
        </w:tabs>
        <w:ind w:left="2880" w:hanging="360"/>
      </w:pPr>
      <w:rPr>
        <w:rFonts w:ascii="Times New Roman" w:hAnsi="Times New Roman" w:hint="default"/>
      </w:rPr>
    </w:lvl>
    <w:lvl w:ilvl="4" w:tplc="0BE0E49A" w:tentative="1">
      <w:start w:val="1"/>
      <w:numFmt w:val="bullet"/>
      <w:lvlText w:val="•"/>
      <w:lvlJc w:val="left"/>
      <w:pPr>
        <w:tabs>
          <w:tab w:val="num" w:pos="3600"/>
        </w:tabs>
        <w:ind w:left="3600" w:hanging="360"/>
      </w:pPr>
      <w:rPr>
        <w:rFonts w:ascii="Times New Roman" w:hAnsi="Times New Roman" w:hint="default"/>
      </w:rPr>
    </w:lvl>
    <w:lvl w:ilvl="5" w:tplc="6E808716" w:tentative="1">
      <w:start w:val="1"/>
      <w:numFmt w:val="bullet"/>
      <w:lvlText w:val="•"/>
      <w:lvlJc w:val="left"/>
      <w:pPr>
        <w:tabs>
          <w:tab w:val="num" w:pos="4320"/>
        </w:tabs>
        <w:ind w:left="4320" w:hanging="360"/>
      </w:pPr>
      <w:rPr>
        <w:rFonts w:ascii="Times New Roman" w:hAnsi="Times New Roman" w:hint="default"/>
      </w:rPr>
    </w:lvl>
    <w:lvl w:ilvl="6" w:tplc="CCA461A6" w:tentative="1">
      <w:start w:val="1"/>
      <w:numFmt w:val="bullet"/>
      <w:lvlText w:val="•"/>
      <w:lvlJc w:val="left"/>
      <w:pPr>
        <w:tabs>
          <w:tab w:val="num" w:pos="5040"/>
        </w:tabs>
        <w:ind w:left="5040" w:hanging="360"/>
      </w:pPr>
      <w:rPr>
        <w:rFonts w:ascii="Times New Roman" w:hAnsi="Times New Roman" w:hint="default"/>
      </w:rPr>
    </w:lvl>
    <w:lvl w:ilvl="7" w:tplc="762CE4A0" w:tentative="1">
      <w:start w:val="1"/>
      <w:numFmt w:val="bullet"/>
      <w:lvlText w:val="•"/>
      <w:lvlJc w:val="left"/>
      <w:pPr>
        <w:tabs>
          <w:tab w:val="num" w:pos="5760"/>
        </w:tabs>
        <w:ind w:left="5760" w:hanging="360"/>
      </w:pPr>
      <w:rPr>
        <w:rFonts w:ascii="Times New Roman" w:hAnsi="Times New Roman" w:hint="default"/>
      </w:rPr>
    </w:lvl>
    <w:lvl w:ilvl="8" w:tplc="66F090C2" w:tentative="1">
      <w:start w:val="1"/>
      <w:numFmt w:val="bullet"/>
      <w:lvlText w:val="•"/>
      <w:lvlJc w:val="left"/>
      <w:pPr>
        <w:tabs>
          <w:tab w:val="num" w:pos="6480"/>
        </w:tabs>
        <w:ind w:left="6480" w:hanging="360"/>
      </w:pPr>
      <w:rPr>
        <w:rFonts w:ascii="Times New Roman" w:hAnsi="Times New Roman" w:hint="default"/>
      </w:rPr>
    </w:lvl>
  </w:abstractNum>
  <w:abstractNum w:abstractNumId="2">
    <w:nsid w:val="29171D1E"/>
    <w:multiLevelType w:val="hybridMultilevel"/>
    <w:tmpl w:val="5E4AC21A"/>
    <w:lvl w:ilvl="0" w:tplc="DAA22DD8">
      <w:start w:val="1"/>
      <w:numFmt w:val="bullet"/>
      <w:lvlText w:val="•"/>
      <w:lvlJc w:val="left"/>
      <w:pPr>
        <w:tabs>
          <w:tab w:val="num" w:pos="720"/>
        </w:tabs>
        <w:ind w:left="720" w:hanging="360"/>
      </w:pPr>
      <w:rPr>
        <w:rFonts w:ascii="Times New Roman" w:hAnsi="Times New Roman" w:hint="default"/>
      </w:rPr>
    </w:lvl>
    <w:lvl w:ilvl="1" w:tplc="4650C796" w:tentative="1">
      <w:start w:val="1"/>
      <w:numFmt w:val="bullet"/>
      <w:lvlText w:val="•"/>
      <w:lvlJc w:val="left"/>
      <w:pPr>
        <w:tabs>
          <w:tab w:val="num" w:pos="1440"/>
        </w:tabs>
        <w:ind w:left="1440" w:hanging="360"/>
      </w:pPr>
      <w:rPr>
        <w:rFonts w:ascii="Times New Roman" w:hAnsi="Times New Roman" w:hint="default"/>
      </w:rPr>
    </w:lvl>
    <w:lvl w:ilvl="2" w:tplc="552CEABE" w:tentative="1">
      <w:start w:val="1"/>
      <w:numFmt w:val="bullet"/>
      <w:lvlText w:val="•"/>
      <w:lvlJc w:val="left"/>
      <w:pPr>
        <w:tabs>
          <w:tab w:val="num" w:pos="2160"/>
        </w:tabs>
        <w:ind w:left="2160" w:hanging="360"/>
      </w:pPr>
      <w:rPr>
        <w:rFonts w:ascii="Times New Roman" w:hAnsi="Times New Roman" w:hint="default"/>
      </w:rPr>
    </w:lvl>
    <w:lvl w:ilvl="3" w:tplc="3808D466" w:tentative="1">
      <w:start w:val="1"/>
      <w:numFmt w:val="bullet"/>
      <w:lvlText w:val="•"/>
      <w:lvlJc w:val="left"/>
      <w:pPr>
        <w:tabs>
          <w:tab w:val="num" w:pos="2880"/>
        </w:tabs>
        <w:ind w:left="2880" w:hanging="360"/>
      </w:pPr>
      <w:rPr>
        <w:rFonts w:ascii="Times New Roman" w:hAnsi="Times New Roman" w:hint="default"/>
      </w:rPr>
    </w:lvl>
    <w:lvl w:ilvl="4" w:tplc="DE6C8918" w:tentative="1">
      <w:start w:val="1"/>
      <w:numFmt w:val="bullet"/>
      <w:lvlText w:val="•"/>
      <w:lvlJc w:val="left"/>
      <w:pPr>
        <w:tabs>
          <w:tab w:val="num" w:pos="3600"/>
        </w:tabs>
        <w:ind w:left="3600" w:hanging="360"/>
      </w:pPr>
      <w:rPr>
        <w:rFonts w:ascii="Times New Roman" w:hAnsi="Times New Roman" w:hint="default"/>
      </w:rPr>
    </w:lvl>
    <w:lvl w:ilvl="5" w:tplc="F9F60C54" w:tentative="1">
      <w:start w:val="1"/>
      <w:numFmt w:val="bullet"/>
      <w:lvlText w:val="•"/>
      <w:lvlJc w:val="left"/>
      <w:pPr>
        <w:tabs>
          <w:tab w:val="num" w:pos="4320"/>
        </w:tabs>
        <w:ind w:left="4320" w:hanging="360"/>
      </w:pPr>
      <w:rPr>
        <w:rFonts w:ascii="Times New Roman" w:hAnsi="Times New Roman" w:hint="default"/>
      </w:rPr>
    </w:lvl>
    <w:lvl w:ilvl="6" w:tplc="3A8EC818" w:tentative="1">
      <w:start w:val="1"/>
      <w:numFmt w:val="bullet"/>
      <w:lvlText w:val="•"/>
      <w:lvlJc w:val="left"/>
      <w:pPr>
        <w:tabs>
          <w:tab w:val="num" w:pos="5040"/>
        </w:tabs>
        <w:ind w:left="5040" w:hanging="360"/>
      </w:pPr>
      <w:rPr>
        <w:rFonts w:ascii="Times New Roman" w:hAnsi="Times New Roman" w:hint="default"/>
      </w:rPr>
    </w:lvl>
    <w:lvl w:ilvl="7" w:tplc="E6B8A64C" w:tentative="1">
      <w:start w:val="1"/>
      <w:numFmt w:val="bullet"/>
      <w:lvlText w:val="•"/>
      <w:lvlJc w:val="left"/>
      <w:pPr>
        <w:tabs>
          <w:tab w:val="num" w:pos="5760"/>
        </w:tabs>
        <w:ind w:left="5760" w:hanging="360"/>
      </w:pPr>
      <w:rPr>
        <w:rFonts w:ascii="Times New Roman" w:hAnsi="Times New Roman" w:hint="default"/>
      </w:rPr>
    </w:lvl>
    <w:lvl w:ilvl="8" w:tplc="3FB0CB74" w:tentative="1">
      <w:start w:val="1"/>
      <w:numFmt w:val="bullet"/>
      <w:lvlText w:val="•"/>
      <w:lvlJc w:val="left"/>
      <w:pPr>
        <w:tabs>
          <w:tab w:val="num" w:pos="6480"/>
        </w:tabs>
        <w:ind w:left="6480" w:hanging="360"/>
      </w:pPr>
      <w:rPr>
        <w:rFonts w:ascii="Times New Roman" w:hAnsi="Times New Roman" w:hint="default"/>
      </w:rPr>
    </w:lvl>
  </w:abstractNum>
  <w:abstractNum w:abstractNumId="3">
    <w:nsid w:val="31787ECB"/>
    <w:multiLevelType w:val="hybridMultilevel"/>
    <w:tmpl w:val="0838A57C"/>
    <w:lvl w:ilvl="0" w:tplc="2436961A">
      <w:start w:val="1"/>
      <w:numFmt w:val="bullet"/>
      <w:lvlText w:val="•"/>
      <w:lvlJc w:val="left"/>
      <w:pPr>
        <w:tabs>
          <w:tab w:val="num" w:pos="720"/>
        </w:tabs>
        <w:ind w:left="720" w:hanging="360"/>
      </w:pPr>
      <w:rPr>
        <w:rFonts w:ascii="Times New Roman" w:hAnsi="Times New Roman" w:hint="default"/>
      </w:rPr>
    </w:lvl>
    <w:lvl w:ilvl="1" w:tplc="FD684056" w:tentative="1">
      <w:start w:val="1"/>
      <w:numFmt w:val="bullet"/>
      <w:lvlText w:val="•"/>
      <w:lvlJc w:val="left"/>
      <w:pPr>
        <w:tabs>
          <w:tab w:val="num" w:pos="1440"/>
        </w:tabs>
        <w:ind w:left="1440" w:hanging="360"/>
      </w:pPr>
      <w:rPr>
        <w:rFonts w:ascii="Times New Roman" w:hAnsi="Times New Roman" w:hint="default"/>
      </w:rPr>
    </w:lvl>
    <w:lvl w:ilvl="2" w:tplc="8D662588" w:tentative="1">
      <w:start w:val="1"/>
      <w:numFmt w:val="bullet"/>
      <w:lvlText w:val="•"/>
      <w:lvlJc w:val="left"/>
      <w:pPr>
        <w:tabs>
          <w:tab w:val="num" w:pos="2160"/>
        </w:tabs>
        <w:ind w:left="2160" w:hanging="360"/>
      </w:pPr>
      <w:rPr>
        <w:rFonts w:ascii="Times New Roman" w:hAnsi="Times New Roman" w:hint="default"/>
      </w:rPr>
    </w:lvl>
    <w:lvl w:ilvl="3" w:tplc="2306E326" w:tentative="1">
      <w:start w:val="1"/>
      <w:numFmt w:val="bullet"/>
      <w:lvlText w:val="•"/>
      <w:lvlJc w:val="left"/>
      <w:pPr>
        <w:tabs>
          <w:tab w:val="num" w:pos="2880"/>
        </w:tabs>
        <w:ind w:left="2880" w:hanging="360"/>
      </w:pPr>
      <w:rPr>
        <w:rFonts w:ascii="Times New Roman" w:hAnsi="Times New Roman" w:hint="default"/>
      </w:rPr>
    </w:lvl>
    <w:lvl w:ilvl="4" w:tplc="D044655E" w:tentative="1">
      <w:start w:val="1"/>
      <w:numFmt w:val="bullet"/>
      <w:lvlText w:val="•"/>
      <w:lvlJc w:val="left"/>
      <w:pPr>
        <w:tabs>
          <w:tab w:val="num" w:pos="3600"/>
        </w:tabs>
        <w:ind w:left="3600" w:hanging="360"/>
      </w:pPr>
      <w:rPr>
        <w:rFonts w:ascii="Times New Roman" w:hAnsi="Times New Roman" w:hint="default"/>
      </w:rPr>
    </w:lvl>
    <w:lvl w:ilvl="5" w:tplc="44E4722C" w:tentative="1">
      <w:start w:val="1"/>
      <w:numFmt w:val="bullet"/>
      <w:lvlText w:val="•"/>
      <w:lvlJc w:val="left"/>
      <w:pPr>
        <w:tabs>
          <w:tab w:val="num" w:pos="4320"/>
        </w:tabs>
        <w:ind w:left="4320" w:hanging="360"/>
      </w:pPr>
      <w:rPr>
        <w:rFonts w:ascii="Times New Roman" w:hAnsi="Times New Roman" w:hint="default"/>
      </w:rPr>
    </w:lvl>
    <w:lvl w:ilvl="6" w:tplc="98FEC59E" w:tentative="1">
      <w:start w:val="1"/>
      <w:numFmt w:val="bullet"/>
      <w:lvlText w:val="•"/>
      <w:lvlJc w:val="left"/>
      <w:pPr>
        <w:tabs>
          <w:tab w:val="num" w:pos="5040"/>
        </w:tabs>
        <w:ind w:left="5040" w:hanging="360"/>
      </w:pPr>
      <w:rPr>
        <w:rFonts w:ascii="Times New Roman" w:hAnsi="Times New Roman" w:hint="default"/>
      </w:rPr>
    </w:lvl>
    <w:lvl w:ilvl="7" w:tplc="F2402542" w:tentative="1">
      <w:start w:val="1"/>
      <w:numFmt w:val="bullet"/>
      <w:lvlText w:val="•"/>
      <w:lvlJc w:val="left"/>
      <w:pPr>
        <w:tabs>
          <w:tab w:val="num" w:pos="5760"/>
        </w:tabs>
        <w:ind w:left="5760" w:hanging="360"/>
      </w:pPr>
      <w:rPr>
        <w:rFonts w:ascii="Times New Roman" w:hAnsi="Times New Roman" w:hint="default"/>
      </w:rPr>
    </w:lvl>
    <w:lvl w:ilvl="8" w:tplc="E2E61AEC" w:tentative="1">
      <w:start w:val="1"/>
      <w:numFmt w:val="bullet"/>
      <w:lvlText w:val="•"/>
      <w:lvlJc w:val="left"/>
      <w:pPr>
        <w:tabs>
          <w:tab w:val="num" w:pos="6480"/>
        </w:tabs>
        <w:ind w:left="6480" w:hanging="360"/>
      </w:pPr>
      <w:rPr>
        <w:rFonts w:ascii="Times New Roman" w:hAnsi="Times New Roman" w:hint="default"/>
      </w:rPr>
    </w:lvl>
  </w:abstractNum>
  <w:abstractNum w:abstractNumId="4">
    <w:nsid w:val="3A42268A"/>
    <w:multiLevelType w:val="hybridMultilevel"/>
    <w:tmpl w:val="806E7BC0"/>
    <w:lvl w:ilvl="0" w:tplc="F5AC6486">
      <w:start w:val="1"/>
      <w:numFmt w:val="bullet"/>
      <w:lvlText w:val="•"/>
      <w:lvlJc w:val="left"/>
      <w:pPr>
        <w:tabs>
          <w:tab w:val="num" w:pos="720"/>
        </w:tabs>
        <w:ind w:left="720" w:hanging="360"/>
      </w:pPr>
      <w:rPr>
        <w:rFonts w:ascii="Times New Roman" w:hAnsi="Times New Roman" w:hint="default"/>
      </w:rPr>
    </w:lvl>
    <w:lvl w:ilvl="1" w:tplc="F07A395A" w:tentative="1">
      <w:start w:val="1"/>
      <w:numFmt w:val="bullet"/>
      <w:lvlText w:val="•"/>
      <w:lvlJc w:val="left"/>
      <w:pPr>
        <w:tabs>
          <w:tab w:val="num" w:pos="1440"/>
        </w:tabs>
        <w:ind w:left="1440" w:hanging="360"/>
      </w:pPr>
      <w:rPr>
        <w:rFonts w:ascii="Times New Roman" w:hAnsi="Times New Roman" w:hint="default"/>
      </w:rPr>
    </w:lvl>
    <w:lvl w:ilvl="2" w:tplc="B4DAAF24" w:tentative="1">
      <w:start w:val="1"/>
      <w:numFmt w:val="bullet"/>
      <w:lvlText w:val="•"/>
      <w:lvlJc w:val="left"/>
      <w:pPr>
        <w:tabs>
          <w:tab w:val="num" w:pos="2160"/>
        </w:tabs>
        <w:ind w:left="2160" w:hanging="360"/>
      </w:pPr>
      <w:rPr>
        <w:rFonts w:ascii="Times New Roman" w:hAnsi="Times New Roman" w:hint="default"/>
      </w:rPr>
    </w:lvl>
    <w:lvl w:ilvl="3" w:tplc="66F2E240" w:tentative="1">
      <w:start w:val="1"/>
      <w:numFmt w:val="bullet"/>
      <w:lvlText w:val="•"/>
      <w:lvlJc w:val="left"/>
      <w:pPr>
        <w:tabs>
          <w:tab w:val="num" w:pos="2880"/>
        </w:tabs>
        <w:ind w:left="2880" w:hanging="360"/>
      </w:pPr>
      <w:rPr>
        <w:rFonts w:ascii="Times New Roman" w:hAnsi="Times New Roman" w:hint="default"/>
      </w:rPr>
    </w:lvl>
    <w:lvl w:ilvl="4" w:tplc="4752779E" w:tentative="1">
      <w:start w:val="1"/>
      <w:numFmt w:val="bullet"/>
      <w:lvlText w:val="•"/>
      <w:lvlJc w:val="left"/>
      <w:pPr>
        <w:tabs>
          <w:tab w:val="num" w:pos="3600"/>
        </w:tabs>
        <w:ind w:left="3600" w:hanging="360"/>
      </w:pPr>
      <w:rPr>
        <w:rFonts w:ascii="Times New Roman" w:hAnsi="Times New Roman" w:hint="default"/>
      </w:rPr>
    </w:lvl>
    <w:lvl w:ilvl="5" w:tplc="69B81BCA" w:tentative="1">
      <w:start w:val="1"/>
      <w:numFmt w:val="bullet"/>
      <w:lvlText w:val="•"/>
      <w:lvlJc w:val="left"/>
      <w:pPr>
        <w:tabs>
          <w:tab w:val="num" w:pos="4320"/>
        </w:tabs>
        <w:ind w:left="4320" w:hanging="360"/>
      </w:pPr>
      <w:rPr>
        <w:rFonts w:ascii="Times New Roman" w:hAnsi="Times New Roman" w:hint="default"/>
      </w:rPr>
    </w:lvl>
    <w:lvl w:ilvl="6" w:tplc="63505D16" w:tentative="1">
      <w:start w:val="1"/>
      <w:numFmt w:val="bullet"/>
      <w:lvlText w:val="•"/>
      <w:lvlJc w:val="left"/>
      <w:pPr>
        <w:tabs>
          <w:tab w:val="num" w:pos="5040"/>
        </w:tabs>
        <w:ind w:left="5040" w:hanging="360"/>
      </w:pPr>
      <w:rPr>
        <w:rFonts w:ascii="Times New Roman" w:hAnsi="Times New Roman" w:hint="default"/>
      </w:rPr>
    </w:lvl>
    <w:lvl w:ilvl="7" w:tplc="7B5CFA6E" w:tentative="1">
      <w:start w:val="1"/>
      <w:numFmt w:val="bullet"/>
      <w:lvlText w:val="•"/>
      <w:lvlJc w:val="left"/>
      <w:pPr>
        <w:tabs>
          <w:tab w:val="num" w:pos="5760"/>
        </w:tabs>
        <w:ind w:left="5760" w:hanging="360"/>
      </w:pPr>
      <w:rPr>
        <w:rFonts w:ascii="Times New Roman" w:hAnsi="Times New Roman" w:hint="default"/>
      </w:rPr>
    </w:lvl>
    <w:lvl w:ilvl="8" w:tplc="108AFBBE" w:tentative="1">
      <w:start w:val="1"/>
      <w:numFmt w:val="bullet"/>
      <w:lvlText w:val="•"/>
      <w:lvlJc w:val="left"/>
      <w:pPr>
        <w:tabs>
          <w:tab w:val="num" w:pos="6480"/>
        </w:tabs>
        <w:ind w:left="6480" w:hanging="360"/>
      </w:pPr>
      <w:rPr>
        <w:rFonts w:ascii="Times New Roman" w:hAnsi="Times New Roman" w:hint="default"/>
      </w:rPr>
    </w:lvl>
  </w:abstractNum>
  <w:abstractNum w:abstractNumId="5">
    <w:nsid w:val="3B0C798D"/>
    <w:multiLevelType w:val="hybridMultilevel"/>
    <w:tmpl w:val="B0A41D9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4054062F"/>
    <w:multiLevelType w:val="hybridMultilevel"/>
    <w:tmpl w:val="D7845BE4"/>
    <w:lvl w:ilvl="0" w:tplc="C35C5A8E">
      <w:start w:val="1"/>
      <w:numFmt w:val="bullet"/>
      <w:lvlText w:val="•"/>
      <w:lvlJc w:val="left"/>
      <w:pPr>
        <w:tabs>
          <w:tab w:val="num" w:pos="360"/>
        </w:tabs>
        <w:ind w:left="360" w:hanging="360"/>
      </w:pPr>
      <w:rPr>
        <w:rFonts w:ascii="Times New Roman" w:hAnsi="Times New Roman" w:hint="default"/>
      </w:rPr>
    </w:lvl>
    <w:lvl w:ilvl="1" w:tplc="685CF8C6" w:tentative="1">
      <w:start w:val="1"/>
      <w:numFmt w:val="bullet"/>
      <w:lvlText w:val="•"/>
      <w:lvlJc w:val="left"/>
      <w:pPr>
        <w:tabs>
          <w:tab w:val="num" w:pos="1080"/>
        </w:tabs>
        <w:ind w:left="1080" w:hanging="360"/>
      </w:pPr>
      <w:rPr>
        <w:rFonts w:ascii="Times New Roman" w:hAnsi="Times New Roman" w:hint="default"/>
      </w:rPr>
    </w:lvl>
    <w:lvl w:ilvl="2" w:tplc="8AA0A396" w:tentative="1">
      <w:start w:val="1"/>
      <w:numFmt w:val="bullet"/>
      <w:lvlText w:val="•"/>
      <w:lvlJc w:val="left"/>
      <w:pPr>
        <w:tabs>
          <w:tab w:val="num" w:pos="1800"/>
        </w:tabs>
        <w:ind w:left="1800" w:hanging="360"/>
      </w:pPr>
      <w:rPr>
        <w:rFonts w:ascii="Times New Roman" w:hAnsi="Times New Roman" w:hint="default"/>
      </w:rPr>
    </w:lvl>
    <w:lvl w:ilvl="3" w:tplc="5F64D452" w:tentative="1">
      <w:start w:val="1"/>
      <w:numFmt w:val="bullet"/>
      <w:lvlText w:val="•"/>
      <w:lvlJc w:val="left"/>
      <w:pPr>
        <w:tabs>
          <w:tab w:val="num" w:pos="2520"/>
        </w:tabs>
        <w:ind w:left="2520" w:hanging="360"/>
      </w:pPr>
      <w:rPr>
        <w:rFonts w:ascii="Times New Roman" w:hAnsi="Times New Roman" w:hint="default"/>
      </w:rPr>
    </w:lvl>
    <w:lvl w:ilvl="4" w:tplc="DAA0EE50" w:tentative="1">
      <w:start w:val="1"/>
      <w:numFmt w:val="bullet"/>
      <w:lvlText w:val="•"/>
      <w:lvlJc w:val="left"/>
      <w:pPr>
        <w:tabs>
          <w:tab w:val="num" w:pos="3240"/>
        </w:tabs>
        <w:ind w:left="3240" w:hanging="360"/>
      </w:pPr>
      <w:rPr>
        <w:rFonts w:ascii="Times New Roman" w:hAnsi="Times New Roman" w:hint="default"/>
      </w:rPr>
    </w:lvl>
    <w:lvl w:ilvl="5" w:tplc="360CF684" w:tentative="1">
      <w:start w:val="1"/>
      <w:numFmt w:val="bullet"/>
      <w:lvlText w:val="•"/>
      <w:lvlJc w:val="left"/>
      <w:pPr>
        <w:tabs>
          <w:tab w:val="num" w:pos="3960"/>
        </w:tabs>
        <w:ind w:left="3960" w:hanging="360"/>
      </w:pPr>
      <w:rPr>
        <w:rFonts w:ascii="Times New Roman" w:hAnsi="Times New Roman" w:hint="default"/>
      </w:rPr>
    </w:lvl>
    <w:lvl w:ilvl="6" w:tplc="E66C4C76" w:tentative="1">
      <w:start w:val="1"/>
      <w:numFmt w:val="bullet"/>
      <w:lvlText w:val="•"/>
      <w:lvlJc w:val="left"/>
      <w:pPr>
        <w:tabs>
          <w:tab w:val="num" w:pos="4680"/>
        </w:tabs>
        <w:ind w:left="4680" w:hanging="360"/>
      </w:pPr>
      <w:rPr>
        <w:rFonts w:ascii="Times New Roman" w:hAnsi="Times New Roman" w:hint="default"/>
      </w:rPr>
    </w:lvl>
    <w:lvl w:ilvl="7" w:tplc="B15482C4" w:tentative="1">
      <w:start w:val="1"/>
      <w:numFmt w:val="bullet"/>
      <w:lvlText w:val="•"/>
      <w:lvlJc w:val="left"/>
      <w:pPr>
        <w:tabs>
          <w:tab w:val="num" w:pos="5400"/>
        </w:tabs>
        <w:ind w:left="5400" w:hanging="360"/>
      </w:pPr>
      <w:rPr>
        <w:rFonts w:ascii="Times New Roman" w:hAnsi="Times New Roman" w:hint="default"/>
      </w:rPr>
    </w:lvl>
    <w:lvl w:ilvl="8" w:tplc="0F7AFAE0" w:tentative="1">
      <w:start w:val="1"/>
      <w:numFmt w:val="bullet"/>
      <w:lvlText w:val="•"/>
      <w:lvlJc w:val="left"/>
      <w:pPr>
        <w:tabs>
          <w:tab w:val="num" w:pos="6120"/>
        </w:tabs>
        <w:ind w:left="6120" w:hanging="360"/>
      </w:pPr>
      <w:rPr>
        <w:rFonts w:ascii="Times New Roman" w:hAnsi="Times New Roman" w:hint="default"/>
      </w:rPr>
    </w:lvl>
  </w:abstractNum>
  <w:abstractNum w:abstractNumId="7">
    <w:nsid w:val="51C11E56"/>
    <w:multiLevelType w:val="hybridMultilevel"/>
    <w:tmpl w:val="E11A65C4"/>
    <w:lvl w:ilvl="0" w:tplc="0809000F">
      <w:start w:val="1"/>
      <w:numFmt w:val="decimal"/>
      <w:lvlText w:val="%1."/>
      <w:lvlJc w:val="left"/>
      <w:pPr>
        <w:tabs>
          <w:tab w:val="num" w:pos="-60"/>
        </w:tabs>
        <w:ind w:left="-60" w:hanging="360"/>
      </w:pPr>
      <w:rPr>
        <w:rFonts w:cs="Times New Roman"/>
      </w:rPr>
    </w:lvl>
    <w:lvl w:ilvl="1" w:tplc="08090019" w:tentative="1">
      <w:start w:val="1"/>
      <w:numFmt w:val="lowerLetter"/>
      <w:lvlText w:val="%2."/>
      <w:lvlJc w:val="left"/>
      <w:pPr>
        <w:tabs>
          <w:tab w:val="num" w:pos="660"/>
        </w:tabs>
        <w:ind w:left="660" w:hanging="360"/>
      </w:pPr>
      <w:rPr>
        <w:rFonts w:cs="Times New Roman"/>
      </w:rPr>
    </w:lvl>
    <w:lvl w:ilvl="2" w:tplc="0809001B" w:tentative="1">
      <w:start w:val="1"/>
      <w:numFmt w:val="lowerRoman"/>
      <w:lvlText w:val="%3."/>
      <w:lvlJc w:val="right"/>
      <w:pPr>
        <w:tabs>
          <w:tab w:val="num" w:pos="1380"/>
        </w:tabs>
        <w:ind w:left="1380" w:hanging="180"/>
      </w:pPr>
      <w:rPr>
        <w:rFonts w:cs="Times New Roman"/>
      </w:rPr>
    </w:lvl>
    <w:lvl w:ilvl="3" w:tplc="0809000F" w:tentative="1">
      <w:start w:val="1"/>
      <w:numFmt w:val="decimal"/>
      <w:lvlText w:val="%4."/>
      <w:lvlJc w:val="left"/>
      <w:pPr>
        <w:tabs>
          <w:tab w:val="num" w:pos="2100"/>
        </w:tabs>
        <w:ind w:left="2100" w:hanging="360"/>
      </w:pPr>
      <w:rPr>
        <w:rFonts w:cs="Times New Roman"/>
      </w:rPr>
    </w:lvl>
    <w:lvl w:ilvl="4" w:tplc="08090019" w:tentative="1">
      <w:start w:val="1"/>
      <w:numFmt w:val="lowerLetter"/>
      <w:lvlText w:val="%5."/>
      <w:lvlJc w:val="left"/>
      <w:pPr>
        <w:tabs>
          <w:tab w:val="num" w:pos="2820"/>
        </w:tabs>
        <w:ind w:left="2820" w:hanging="360"/>
      </w:pPr>
      <w:rPr>
        <w:rFonts w:cs="Times New Roman"/>
      </w:rPr>
    </w:lvl>
    <w:lvl w:ilvl="5" w:tplc="0809001B" w:tentative="1">
      <w:start w:val="1"/>
      <w:numFmt w:val="lowerRoman"/>
      <w:lvlText w:val="%6."/>
      <w:lvlJc w:val="right"/>
      <w:pPr>
        <w:tabs>
          <w:tab w:val="num" w:pos="3540"/>
        </w:tabs>
        <w:ind w:left="3540" w:hanging="180"/>
      </w:pPr>
      <w:rPr>
        <w:rFonts w:cs="Times New Roman"/>
      </w:rPr>
    </w:lvl>
    <w:lvl w:ilvl="6" w:tplc="0809000F" w:tentative="1">
      <w:start w:val="1"/>
      <w:numFmt w:val="decimal"/>
      <w:lvlText w:val="%7."/>
      <w:lvlJc w:val="left"/>
      <w:pPr>
        <w:tabs>
          <w:tab w:val="num" w:pos="4260"/>
        </w:tabs>
        <w:ind w:left="4260" w:hanging="360"/>
      </w:pPr>
      <w:rPr>
        <w:rFonts w:cs="Times New Roman"/>
      </w:rPr>
    </w:lvl>
    <w:lvl w:ilvl="7" w:tplc="08090019" w:tentative="1">
      <w:start w:val="1"/>
      <w:numFmt w:val="lowerLetter"/>
      <w:lvlText w:val="%8."/>
      <w:lvlJc w:val="left"/>
      <w:pPr>
        <w:tabs>
          <w:tab w:val="num" w:pos="4980"/>
        </w:tabs>
        <w:ind w:left="4980" w:hanging="360"/>
      </w:pPr>
      <w:rPr>
        <w:rFonts w:cs="Times New Roman"/>
      </w:rPr>
    </w:lvl>
    <w:lvl w:ilvl="8" w:tplc="0809001B" w:tentative="1">
      <w:start w:val="1"/>
      <w:numFmt w:val="lowerRoman"/>
      <w:lvlText w:val="%9."/>
      <w:lvlJc w:val="right"/>
      <w:pPr>
        <w:tabs>
          <w:tab w:val="num" w:pos="5700"/>
        </w:tabs>
        <w:ind w:left="5700" w:hanging="180"/>
      </w:pPr>
      <w:rPr>
        <w:rFonts w:cs="Times New Roman"/>
      </w:rPr>
    </w:lvl>
  </w:abstractNum>
  <w:abstractNum w:abstractNumId="8">
    <w:nsid w:val="7495571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nsid w:val="76184AEE"/>
    <w:multiLevelType w:val="hybridMultilevel"/>
    <w:tmpl w:val="C88C3068"/>
    <w:lvl w:ilvl="0" w:tplc="08090001">
      <w:start w:val="1"/>
      <w:numFmt w:val="bullet"/>
      <w:lvlText w:val=""/>
      <w:lvlJc w:val="left"/>
      <w:pPr>
        <w:tabs>
          <w:tab w:val="num" w:pos="779"/>
        </w:tabs>
        <w:ind w:left="779"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abstractNumId w:val="5"/>
  </w:num>
  <w:num w:numId="2">
    <w:abstractNumId w:val="8"/>
  </w:num>
  <w:num w:numId="3">
    <w:abstractNumId w:val="1"/>
  </w:num>
  <w:num w:numId="4">
    <w:abstractNumId w:val="6"/>
  </w:num>
  <w:num w:numId="5">
    <w:abstractNumId w:val="2"/>
  </w:num>
  <w:num w:numId="6">
    <w:abstractNumId w:val="3"/>
  </w:num>
  <w:num w:numId="7">
    <w:abstractNumId w:val="0"/>
  </w:num>
  <w:num w:numId="8">
    <w:abstractNumId w:val="4"/>
  </w:num>
  <w:num w:numId="9">
    <w:abstractNumId w:val="7"/>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5420"/>
    <w:rsid w:val="00001B42"/>
    <w:rsid w:val="00002775"/>
    <w:rsid w:val="00004840"/>
    <w:rsid w:val="000061D9"/>
    <w:rsid w:val="00011857"/>
    <w:rsid w:val="00014C98"/>
    <w:rsid w:val="00021E1C"/>
    <w:rsid w:val="000228E5"/>
    <w:rsid w:val="00022C30"/>
    <w:rsid w:val="000267D7"/>
    <w:rsid w:val="00026DD6"/>
    <w:rsid w:val="000329B4"/>
    <w:rsid w:val="00034523"/>
    <w:rsid w:val="000348C5"/>
    <w:rsid w:val="00035CA9"/>
    <w:rsid w:val="0004474F"/>
    <w:rsid w:val="0005382F"/>
    <w:rsid w:val="00054152"/>
    <w:rsid w:val="00060D40"/>
    <w:rsid w:val="00063F75"/>
    <w:rsid w:val="000666AE"/>
    <w:rsid w:val="000670CB"/>
    <w:rsid w:val="00071E79"/>
    <w:rsid w:val="00075B86"/>
    <w:rsid w:val="000906E4"/>
    <w:rsid w:val="00092282"/>
    <w:rsid w:val="0009297A"/>
    <w:rsid w:val="000A5598"/>
    <w:rsid w:val="000A7969"/>
    <w:rsid w:val="000B1F08"/>
    <w:rsid w:val="000B5FCD"/>
    <w:rsid w:val="000C3351"/>
    <w:rsid w:val="000D62A6"/>
    <w:rsid w:val="000E1EFF"/>
    <w:rsid w:val="000F716E"/>
    <w:rsid w:val="001119C2"/>
    <w:rsid w:val="00112637"/>
    <w:rsid w:val="00117D96"/>
    <w:rsid w:val="0012391E"/>
    <w:rsid w:val="00132031"/>
    <w:rsid w:val="00135CE7"/>
    <w:rsid w:val="00144396"/>
    <w:rsid w:val="00166FA1"/>
    <w:rsid w:val="0016794D"/>
    <w:rsid w:val="00181A19"/>
    <w:rsid w:val="0019255A"/>
    <w:rsid w:val="001A3CF3"/>
    <w:rsid w:val="001A5CF5"/>
    <w:rsid w:val="001A7E73"/>
    <w:rsid w:val="001B0309"/>
    <w:rsid w:val="001B0336"/>
    <w:rsid w:val="001B365B"/>
    <w:rsid w:val="001B7910"/>
    <w:rsid w:val="001C5161"/>
    <w:rsid w:val="001D42A8"/>
    <w:rsid w:val="001D6E7F"/>
    <w:rsid w:val="001E02C9"/>
    <w:rsid w:val="001E2B76"/>
    <w:rsid w:val="001E619A"/>
    <w:rsid w:val="001F13E9"/>
    <w:rsid w:val="001F2203"/>
    <w:rsid w:val="001F2A0E"/>
    <w:rsid w:val="001F6F88"/>
    <w:rsid w:val="002040A3"/>
    <w:rsid w:val="0020772F"/>
    <w:rsid w:val="002077F3"/>
    <w:rsid w:val="002134C4"/>
    <w:rsid w:val="00220D7B"/>
    <w:rsid w:val="00242A02"/>
    <w:rsid w:val="00246208"/>
    <w:rsid w:val="00251580"/>
    <w:rsid w:val="00252114"/>
    <w:rsid w:val="00255F6A"/>
    <w:rsid w:val="00257B94"/>
    <w:rsid w:val="00263229"/>
    <w:rsid w:val="00265570"/>
    <w:rsid w:val="00270C70"/>
    <w:rsid w:val="0027360E"/>
    <w:rsid w:val="0027475E"/>
    <w:rsid w:val="0027572F"/>
    <w:rsid w:val="00277529"/>
    <w:rsid w:val="0028260C"/>
    <w:rsid w:val="00290A52"/>
    <w:rsid w:val="00295F3A"/>
    <w:rsid w:val="002A1876"/>
    <w:rsid w:val="002A7669"/>
    <w:rsid w:val="002B135F"/>
    <w:rsid w:val="002B6ED4"/>
    <w:rsid w:val="002C3ABB"/>
    <w:rsid w:val="002C57B4"/>
    <w:rsid w:val="002D130D"/>
    <w:rsid w:val="002D18A5"/>
    <w:rsid w:val="002D240B"/>
    <w:rsid w:val="002D2B9D"/>
    <w:rsid w:val="002D5CEA"/>
    <w:rsid w:val="002D7A0F"/>
    <w:rsid w:val="002F03B6"/>
    <w:rsid w:val="002F0CFC"/>
    <w:rsid w:val="002F145F"/>
    <w:rsid w:val="002F2229"/>
    <w:rsid w:val="002F3A5D"/>
    <w:rsid w:val="002F3B46"/>
    <w:rsid w:val="002F5063"/>
    <w:rsid w:val="003004A3"/>
    <w:rsid w:val="00312498"/>
    <w:rsid w:val="0031511C"/>
    <w:rsid w:val="00320E79"/>
    <w:rsid w:val="003215BA"/>
    <w:rsid w:val="00331C29"/>
    <w:rsid w:val="003321BC"/>
    <w:rsid w:val="00333D9B"/>
    <w:rsid w:val="003348C9"/>
    <w:rsid w:val="00351538"/>
    <w:rsid w:val="00351E69"/>
    <w:rsid w:val="003804E1"/>
    <w:rsid w:val="00380B89"/>
    <w:rsid w:val="0038180B"/>
    <w:rsid w:val="003823B2"/>
    <w:rsid w:val="00387E2C"/>
    <w:rsid w:val="003B02BF"/>
    <w:rsid w:val="003B59FC"/>
    <w:rsid w:val="003B76C9"/>
    <w:rsid w:val="003C11FC"/>
    <w:rsid w:val="003D0F87"/>
    <w:rsid w:val="003E3FF6"/>
    <w:rsid w:val="003E7312"/>
    <w:rsid w:val="003F058E"/>
    <w:rsid w:val="003F1801"/>
    <w:rsid w:val="003F2B93"/>
    <w:rsid w:val="003F536A"/>
    <w:rsid w:val="00400FA2"/>
    <w:rsid w:val="004021A0"/>
    <w:rsid w:val="004265A9"/>
    <w:rsid w:val="00427835"/>
    <w:rsid w:val="00427D6C"/>
    <w:rsid w:val="004349DC"/>
    <w:rsid w:val="00440E27"/>
    <w:rsid w:val="00445D9E"/>
    <w:rsid w:val="00446E88"/>
    <w:rsid w:val="004475B7"/>
    <w:rsid w:val="00447FFA"/>
    <w:rsid w:val="00462A6F"/>
    <w:rsid w:val="004639DB"/>
    <w:rsid w:val="00464FC7"/>
    <w:rsid w:val="00467059"/>
    <w:rsid w:val="00473538"/>
    <w:rsid w:val="00474002"/>
    <w:rsid w:val="00475F06"/>
    <w:rsid w:val="00485924"/>
    <w:rsid w:val="00487738"/>
    <w:rsid w:val="00491A8C"/>
    <w:rsid w:val="004A275B"/>
    <w:rsid w:val="004A2B2B"/>
    <w:rsid w:val="004B7FB9"/>
    <w:rsid w:val="004C18DD"/>
    <w:rsid w:val="004C220D"/>
    <w:rsid w:val="004C3FF5"/>
    <w:rsid w:val="004D1ABA"/>
    <w:rsid w:val="004D3CC5"/>
    <w:rsid w:val="004D51E6"/>
    <w:rsid w:val="004E03A3"/>
    <w:rsid w:val="004E2A58"/>
    <w:rsid w:val="004E571D"/>
    <w:rsid w:val="004E59B0"/>
    <w:rsid w:val="004F0B57"/>
    <w:rsid w:val="004F2AA7"/>
    <w:rsid w:val="004F63FC"/>
    <w:rsid w:val="004F6822"/>
    <w:rsid w:val="00500FD3"/>
    <w:rsid w:val="005019ED"/>
    <w:rsid w:val="00501E99"/>
    <w:rsid w:val="00502493"/>
    <w:rsid w:val="005054DD"/>
    <w:rsid w:val="00506E1D"/>
    <w:rsid w:val="00511BFA"/>
    <w:rsid w:val="00512924"/>
    <w:rsid w:val="00513274"/>
    <w:rsid w:val="005173A6"/>
    <w:rsid w:val="005208ED"/>
    <w:rsid w:val="00523A2A"/>
    <w:rsid w:val="00530F12"/>
    <w:rsid w:val="00544B72"/>
    <w:rsid w:val="005461AB"/>
    <w:rsid w:val="00546855"/>
    <w:rsid w:val="00556BB6"/>
    <w:rsid w:val="00562FFC"/>
    <w:rsid w:val="00577DCB"/>
    <w:rsid w:val="00580422"/>
    <w:rsid w:val="00580803"/>
    <w:rsid w:val="00584F94"/>
    <w:rsid w:val="00590ACA"/>
    <w:rsid w:val="00591137"/>
    <w:rsid w:val="005962F8"/>
    <w:rsid w:val="005A4929"/>
    <w:rsid w:val="005A4EBC"/>
    <w:rsid w:val="005A71E3"/>
    <w:rsid w:val="005B0285"/>
    <w:rsid w:val="005B0E61"/>
    <w:rsid w:val="005B1B9B"/>
    <w:rsid w:val="005B3124"/>
    <w:rsid w:val="005C7FE3"/>
    <w:rsid w:val="005D31B4"/>
    <w:rsid w:val="005D5512"/>
    <w:rsid w:val="005D6023"/>
    <w:rsid w:val="005D7343"/>
    <w:rsid w:val="005F0DDE"/>
    <w:rsid w:val="005F2BAD"/>
    <w:rsid w:val="005F332F"/>
    <w:rsid w:val="005F4F61"/>
    <w:rsid w:val="006004A7"/>
    <w:rsid w:val="00611A73"/>
    <w:rsid w:val="00621F63"/>
    <w:rsid w:val="00623409"/>
    <w:rsid w:val="00625928"/>
    <w:rsid w:val="006307B5"/>
    <w:rsid w:val="00633714"/>
    <w:rsid w:val="00633BAC"/>
    <w:rsid w:val="00635730"/>
    <w:rsid w:val="006445AF"/>
    <w:rsid w:val="00655BF9"/>
    <w:rsid w:val="006565DD"/>
    <w:rsid w:val="0066469D"/>
    <w:rsid w:val="00673873"/>
    <w:rsid w:val="00682D61"/>
    <w:rsid w:val="00683377"/>
    <w:rsid w:val="00685162"/>
    <w:rsid w:val="0069178E"/>
    <w:rsid w:val="006955E8"/>
    <w:rsid w:val="006A2624"/>
    <w:rsid w:val="006A57A3"/>
    <w:rsid w:val="006A6FBC"/>
    <w:rsid w:val="006B13A4"/>
    <w:rsid w:val="006B2394"/>
    <w:rsid w:val="006B28D4"/>
    <w:rsid w:val="006B46D0"/>
    <w:rsid w:val="006D0AE9"/>
    <w:rsid w:val="006D5922"/>
    <w:rsid w:val="006D5B1A"/>
    <w:rsid w:val="006E717A"/>
    <w:rsid w:val="006F3677"/>
    <w:rsid w:val="006F447E"/>
    <w:rsid w:val="0070771B"/>
    <w:rsid w:val="007100B7"/>
    <w:rsid w:val="00715EA2"/>
    <w:rsid w:val="00721BD0"/>
    <w:rsid w:val="00722E64"/>
    <w:rsid w:val="007303EC"/>
    <w:rsid w:val="00730C51"/>
    <w:rsid w:val="00744629"/>
    <w:rsid w:val="00746B97"/>
    <w:rsid w:val="00753359"/>
    <w:rsid w:val="00774C7E"/>
    <w:rsid w:val="007776AA"/>
    <w:rsid w:val="00777E35"/>
    <w:rsid w:val="00785D62"/>
    <w:rsid w:val="007866D6"/>
    <w:rsid w:val="007877AE"/>
    <w:rsid w:val="00794A91"/>
    <w:rsid w:val="00796D46"/>
    <w:rsid w:val="007A058B"/>
    <w:rsid w:val="007A131C"/>
    <w:rsid w:val="007B6D74"/>
    <w:rsid w:val="007B7125"/>
    <w:rsid w:val="007C1023"/>
    <w:rsid w:val="007C4009"/>
    <w:rsid w:val="007C407D"/>
    <w:rsid w:val="007C7F0E"/>
    <w:rsid w:val="007E1749"/>
    <w:rsid w:val="007E548D"/>
    <w:rsid w:val="007F1B76"/>
    <w:rsid w:val="007F4BFE"/>
    <w:rsid w:val="007F5B6D"/>
    <w:rsid w:val="008026B3"/>
    <w:rsid w:val="00802EE8"/>
    <w:rsid w:val="0080543E"/>
    <w:rsid w:val="00806F15"/>
    <w:rsid w:val="008073C1"/>
    <w:rsid w:val="008202D9"/>
    <w:rsid w:val="008408F5"/>
    <w:rsid w:val="00840B3F"/>
    <w:rsid w:val="008420B1"/>
    <w:rsid w:val="00842428"/>
    <w:rsid w:val="008432A5"/>
    <w:rsid w:val="00856215"/>
    <w:rsid w:val="00865C83"/>
    <w:rsid w:val="00870D8A"/>
    <w:rsid w:val="008758E3"/>
    <w:rsid w:val="0088034F"/>
    <w:rsid w:val="0088057F"/>
    <w:rsid w:val="00883756"/>
    <w:rsid w:val="008A0802"/>
    <w:rsid w:val="008A1203"/>
    <w:rsid w:val="008A1E07"/>
    <w:rsid w:val="008A2559"/>
    <w:rsid w:val="008A74AD"/>
    <w:rsid w:val="008B2AFA"/>
    <w:rsid w:val="008B3AA5"/>
    <w:rsid w:val="008B5A6B"/>
    <w:rsid w:val="008C21FB"/>
    <w:rsid w:val="008D5EB5"/>
    <w:rsid w:val="008E5A93"/>
    <w:rsid w:val="008F2C73"/>
    <w:rsid w:val="008F5DFE"/>
    <w:rsid w:val="009013AA"/>
    <w:rsid w:val="00904D1A"/>
    <w:rsid w:val="00907B1C"/>
    <w:rsid w:val="009245FB"/>
    <w:rsid w:val="0092701A"/>
    <w:rsid w:val="00931BF9"/>
    <w:rsid w:val="00940D42"/>
    <w:rsid w:val="00944D9D"/>
    <w:rsid w:val="00955E19"/>
    <w:rsid w:val="00956590"/>
    <w:rsid w:val="009636FE"/>
    <w:rsid w:val="00964EB3"/>
    <w:rsid w:val="00964FA9"/>
    <w:rsid w:val="0097173A"/>
    <w:rsid w:val="00973A44"/>
    <w:rsid w:val="0098692B"/>
    <w:rsid w:val="009901D4"/>
    <w:rsid w:val="00992DED"/>
    <w:rsid w:val="00993FD1"/>
    <w:rsid w:val="009A4719"/>
    <w:rsid w:val="009A6432"/>
    <w:rsid w:val="009C0EF5"/>
    <w:rsid w:val="009C2BB2"/>
    <w:rsid w:val="009C3AC9"/>
    <w:rsid w:val="009D59DA"/>
    <w:rsid w:val="009E066C"/>
    <w:rsid w:val="009E0687"/>
    <w:rsid w:val="009F1C55"/>
    <w:rsid w:val="009F201D"/>
    <w:rsid w:val="00A01059"/>
    <w:rsid w:val="00A06255"/>
    <w:rsid w:val="00A17A2F"/>
    <w:rsid w:val="00A33300"/>
    <w:rsid w:val="00A361E7"/>
    <w:rsid w:val="00A4322B"/>
    <w:rsid w:val="00A468DD"/>
    <w:rsid w:val="00A475AE"/>
    <w:rsid w:val="00A50012"/>
    <w:rsid w:val="00A66374"/>
    <w:rsid w:val="00A7015D"/>
    <w:rsid w:val="00A7048D"/>
    <w:rsid w:val="00A70AEF"/>
    <w:rsid w:val="00A70D88"/>
    <w:rsid w:val="00A7533D"/>
    <w:rsid w:val="00A80FDA"/>
    <w:rsid w:val="00A8132F"/>
    <w:rsid w:val="00A81A70"/>
    <w:rsid w:val="00A83F62"/>
    <w:rsid w:val="00A90468"/>
    <w:rsid w:val="00A92B48"/>
    <w:rsid w:val="00AA3677"/>
    <w:rsid w:val="00AA66EA"/>
    <w:rsid w:val="00AB17CF"/>
    <w:rsid w:val="00AB25A1"/>
    <w:rsid w:val="00AB2B9D"/>
    <w:rsid w:val="00AB4C88"/>
    <w:rsid w:val="00AB7E90"/>
    <w:rsid w:val="00AD0B08"/>
    <w:rsid w:val="00AD0DD7"/>
    <w:rsid w:val="00AD3821"/>
    <w:rsid w:val="00AD38C1"/>
    <w:rsid w:val="00AD6251"/>
    <w:rsid w:val="00AF2CB4"/>
    <w:rsid w:val="00B04CD1"/>
    <w:rsid w:val="00B25C98"/>
    <w:rsid w:val="00B33E76"/>
    <w:rsid w:val="00B46180"/>
    <w:rsid w:val="00B560B6"/>
    <w:rsid w:val="00B645A2"/>
    <w:rsid w:val="00B729F6"/>
    <w:rsid w:val="00B72DEA"/>
    <w:rsid w:val="00B82F1A"/>
    <w:rsid w:val="00B838D9"/>
    <w:rsid w:val="00B85E0E"/>
    <w:rsid w:val="00B902F3"/>
    <w:rsid w:val="00B90970"/>
    <w:rsid w:val="00B93F4F"/>
    <w:rsid w:val="00B961A6"/>
    <w:rsid w:val="00B966DF"/>
    <w:rsid w:val="00BA05C5"/>
    <w:rsid w:val="00BA1A68"/>
    <w:rsid w:val="00BA3526"/>
    <w:rsid w:val="00BB1360"/>
    <w:rsid w:val="00BB234C"/>
    <w:rsid w:val="00BB34D7"/>
    <w:rsid w:val="00BB5001"/>
    <w:rsid w:val="00BC139C"/>
    <w:rsid w:val="00BC43A5"/>
    <w:rsid w:val="00BD159F"/>
    <w:rsid w:val="00BE3D4D"/>
    <w:rsid w:val="00BF3EAD"/>
    <w:rsid w:val="00BF40D1"/>
    <w:rsid w:val="00C005E0"/>
    <w:rsid w:val="00C06795"/>
    <w:rsid w:val="00C15B42"/>
    <w:rsid w:val="00C409CD"/>
    <w:rsid w:val="00C428AB"/>
    <w:rsid w:val="00C6290A"/>
    <w:rsid w:val="00C75328"/>
    <w:rsid w:val="00C77159"/>
    <w:rsid w:val="00C84BDF"/>
    <w:rsid w:val="00C84DEE"/>
    <w:rsid w:val="00CC54C3"/>
    <w:rsid w:val="00CD45B7"/>
    <w:rsid w:val="00CE1E55"/>
    <w:rsid w:val="00CF43FF"/>
    <w:rsid w:val="00CF6A3B"/>
    <w:rsid w:val="00CF7479"/>
    <w:rsid w:val="00D05A78"/>
    <w:rsid w:val="00D073C9"/>
    <w:rsid w:val="00D12CB0"/>
    <w:rsid w:val="00D1548D"/>
    <w:rsid w:val="00D2648C"/>
    <w:rsid w:val="00D31764"/>
    <w:rsid w:val="00D37EB9"/>
    <w:rsid w:val="00D41475"/>
    <w:rsid w:val="00D44A1D"/>
    <w:rsid w:val="00D61B52"/>
    <w:rsid w:val="00D62CD2"/>
    <w:rsid w:val="00D65007"/>
    <w:rsid w:val="00D73F6F"/>
    <w:rsid w:val="00D800DC"/>
    <w:rsid w:val="00D8014E"/>
    <w:rsid w:val="00D856E6"/>
    <w:rsid w:val="00DA1CEC"/>
    <w:rsid w:val="00DA7895"/>
    <w:rsid w:val="00DB0A8A"/>
    <w:rsid w:val="00DB1643"/>
    <w:rsid w:val="00DB1BE6"/>
    <w:rsid w:val="00DB45C2"/>
    <w:rsid w:val="00DB5861"/>
    <w:rsid w:val="00DB6356"/>
    <w:rsid w:val="00DC08FD"/>
    <w:rsid w:val="00DC4A68"/>
    <w:rsid w:val="00DC5179"/>
    <w:rsid w:val="00DD0F1B"/>
    <w:rsid w:val="00DD5892"/>
    <w:rsid w:val="00DE3166"/>
    <w:rsid w:val="00DF33D7"/>
    <w:rsid w:val="00DF4E54"/>
    <w:rsid w:val="00DF593A"/>
    <w:rsid w:val="00E01129"/>
    <w:rsid w:val="00E06FD3"/>
    <w:rsid w:val="00E107C9"/>
    <w:rsid w:val="00E15C42"/>
    <w:rsid w:val="00E25B8D"/>
    <w:rsid w:val="00E2723C"/>
    <w:rsid w:val="00E31200"/>
    <w:rsid w:val="00E31286"/>
    <w:rsid w:val="00E31FEB"/>
    <w:rsid w:val="00E320A6"/>
    <w:rsid w:val="00E32159"/>
    <w:rsid w:val="00E37B22"/>
    <w:rsid w:val="00E411F1"/>
    <w:rsid w:val="00E51009"/>
    <w:rsid w:val="00E536D8"/>
    <w:rsid w:val="00E634DC"/>
    <w:rsid w:val="00E64396"/>
    <w:rsid w:val="00E7182A"/>
    <w:rsid w:val="00E731C6"/>
    <w:rsid w:val="00E86A7B"/>
    <w:rsid w:val="00E92E90"/>
    <w:rsid w:val="00E954D4"/>
    <w:rsid w:val="00EA032E"/>
    <w:rsid w:val="00EA0352"/>
    <w:rsid w:val="00EA2D75"/>
    <w:rsid w:val="00EB2E39"/>
    <w:rsid w:val="00EB2EBE"/>
    <w:rsid w:val="00EC2D18"/>
    <w:rsid w:val="00ED7BF3"/>
    <w:rsid w:val="00EF0C67"/>
    <w:rsid w:val="00EF7539"/>
    <w:rsid w:val="00EF7AEA"/>
    <w:rsid w:val="00F01686"/>
    <w:rsid w:val="00F15176"/>
    <w:rsid w:val="00F15420"/>
    <w:rsid w:val="00F1690A"/>
    <w:rsid w:val="00F1787E"/>
    <w:rsid w:val="00F2387F"/>
    <w:rsid w:val="00F24D71"/>
    <w:rsid w:val="00F2527A"/>
    <w:rsid w:val="00F31E6D"/>
    <w:rsid w:val="00F47F53"/>
    <w:rsid w:val="00F51CDC"/>
    <w:rsid w:val="00F552A7"/>
    <w:rsid w:val="00F569CC"/>
    <w:rsid w:val="00F618B2"/>
    <w:rsid w:val="00F65224"/>
    <w:rsid w:val="00F653BC"/>
    <w:rsid w:val="00F65816"/>
    <w:rsid w:val="00F67B08"/>
    <w:rsid w:val="00F729EC"/>
    <w:rsid w:val="00F831E6"/>
    <w:rsid w:val="00F94F0F"/>
    <w:rsid w:val="00F9521D"/>
    <w:rsid w:val="00FA1E23"/>
    <w:rsid w:val="00FA664C"/>
    <w:rsid w:val="00FA7251"/>
    <w:rsid w:val="00FB0736"/>
    <w:rsid w:val="00FC0BD4"/>
    <w:rsid w:val="00FC3DA7"/>
    <w:rsid w:val="00FC4889"/>
    <w:rsid w:val="00FC6018"/>
    <w:rsid w:val="00FE2DB4"/>
    <w:rsid w:val="00FF0691"/>
    <w:rsid w:val="00FF3B54"/>
    <w:rsid w:val="00FF3E9D"/>
    <w:rsid w:val="00FF63BE"/>
    <w:rsid w:val="00FF7B3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0DC"/>
    <w:rPr>
      <w:sz w:val="24"/>
      <w:szCs w:val="24"/>
      <w:lang w:val="en-GB"/>
    </w:rPr>
  </w:style>
  <w:style w:type="paragraph" w:styleId="Heading1">
    <w:name w:val="heading 1"/>
    <w:basedOn w:val="Normal"/>
    <w:next w:val="Normal"/>
    <w:link w:val="Heading1Char"/>
    <w:uiPriority w:val="99"/>
    <w:qFormat/>
    <w:rsid w:val="004F0B57"/>
    <w:pPr>
      <w:keepNext/>
      <w:jc w:val="both"/>
      <w:outlineLvl w:val="0"/>
    </w:pPr>
    <w:rPr>
      <w:rFonts w:ascii="Arial" w:hAnsi="Arial" w:cs="Arial"/>
      <w:b/>
      <w:bCs/>
    </w:rPr>
  </w:style>
  <w:style w:type="paragraph" w:styleId="Heading2">
    <w:name w:val="heading 2"/>
    <w:basedOn w:val="Normal"/>
    <w:next w:val="Normal"/>
    <w:link w:val="Heading2Char"/>
    <w:uiPriority w:val="99"/>
    <w:qFormat/>
    <w:rsid w:val="004F0B57"/>
    <w:pPr>
      <w:keepNext/>
      <w:ind w:left="-720"/>
      <w:jc w:val="both"/>
      <w:outlineLvl w:val="1"/>
    </w:pPr>
    <w:rPr>
      <w:rFonts w:ascii="Arial" w:hAnsi="Arial" w:cs="Arial"/>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B1BE6"/>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DB1BE6"/>
    <w:rPr>
      <w:rFonts w:ascii="Cambria" w:hAnsi="Cambria" w:cs="Times New Roman"/>
      <w:b/>
      <w:bCs/>
      <w:i/>
      <w:iCs/>
      <w:sz w:val="28"/>
      <w:szCs w:val="28"/>
      <w:lang w:eastAsia="en-US"/>
    </w:rPr>
  </w:style>
  <w:style w:type="paragraph" w:styleId="Title">
    <w:name w:val="Title"/>
    <w:basedOn w:val="Normal"/>
    <w:link w:val="TitleChar"/>
    <w:uiPriority w:val="99"/>
    <w:qFormat/>
    <w:rsid w:val="004F0B57"/>
    <w:pPr>
      <w:jc w:val="center"/>
    </w:pPr>
    <w:rPr>
      <w:rFonts w:ascii="Arial" w:hAnsi="Arial" w:cs="Arial"/>
      <w:b/>
      <w:bCs/>
    </w:rPr>
  </w:style>
  <w:style w:type="character" w:customStyle="1" w:styleId="TitleChar">
    <w:name w:val="Title Char"/>
    <w:basedOn w:val="DefaultParagraphFont"/>
    <w:link w:val="Title"/>
    <w:uiPriority w:val="99"/>
    <w:locked/>
    <w:rsid w:val="00DB1BE6"/>
    <w:rPr>
      <w:rFonts w:ascii="Cambria" w:hAnsi="Cambria" w:cs="Times New Roman"/>
      <w:b/>
      <w:bCs/>
      <w:kern w:val="28"/>
      <w:sz w:val="32"/>
      <w:szCs w:val="32"/>
      <w:lang w:eastAsia="en-US"/>
    </w:rPr>
  </w:style>
  <w:style w:type="paragraph" w:styleId="BodyTextIndent">
    <w:name w:val="Body Text Indent"/>
    <w:basedOn w:val="Normal"/>
    <w:link w:val="BodyTextIndentChar"/>
    <w:uiPriority w:val="99"/>
    <w:rsid w:val="004F0B57"/>
    <w:pPr>
      <w:ind w:left="-720"/>
      <w:jc w:val="both"/>
    </w:pPr>
    <w:rPr>
      <w:rFonts w:ascii="Arial" w:hAnsi="Arial"/>
    </w:rPr>
  </w:style>
  <w:style w:type="character" w:customStyle="1" w:styleId="BodyTextIndentChar">
    <w:name w:val="Body Text Indent Char"/>
    <w:basedOn w:val="DefaultParagraphFont"/>
    <w:link w:val="BodyTextIndent"/>
    <w:uiPriority w:val="99"/>
    <w:semiHidden/>
    <w:locked/>
    <w:rsid w:val="00DB1BE6"/>
    <w:rPr>
      <w:rFonts w:cs="Times New Roman"/>
      <w:sz w:val="24"/>
      <w:szCs w:val="24"/>
      <w:lang w:eastAsia="en-US"/>
    </w:rPr>
  </w:style>
  <w:style w:type="paragraph" w:styleId="BalloonText">
    <w:name w:val="Balloon Text"/>
    <w:basedOn w:val="Normal"/>
    <w:link w:val="BalloonTextChar"/>
    <w:uiPriority w:val="99"/>
    <w:semiHidden/>
    <w:rsid w:val="004F0B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1BE6"/>
    <w:rPr>
      <w:rFonts w:cs="Times New Roman"/>
      <w:sz w:val="2"/>
      <w:lang w:eastAsia="en-US"/>
    </w:rPr>
  </w:style>
  <w:style w:type="paragraph" w:styleId="NormalWeb">
    <w:name w:val="Normal (Web)"/>
    <w:basedOn w:val="Normal"/>
    <w:uiPriority w:val="99"/>
    <w:rsid w:val="006004A7"/>
    <w:pPr>
      <w:spacing w:before="100" w:beforeAutospacing="1" w:after="100" w:afterAutospacing="1"/>
    </w:pPr>
    <w:rPr>
      <w:lang w:eastAsia="en-GB"/>
    </w:rPr>
  </w:style>
  <w:style w:type="paragraph" w:styleId="BodyText">
    <w:name w:val="Body Text"/>
    <w:basedOn w:val="Normal"/>
    <w:link w:val="BodyTextChar"/>
    <w:uiPriority w:val="99"/>
    <w:rsid w:val="004B7FB9"/>
    <w:pPr>
      <w:spacing w:after="120"/>
    </w:pPr>
  </w:style>
  <w:style w:type="character" w:customStyle="1" w:styleId="BodyTextChar">
    <w:name w:val="Body Text Char"/>
    <w:basedOn w:val="DefaultParagraphFont"/>
    <w:link w:val="BodyText"/>
    <w:uiPriority w:val="99"/>
    <w:semiHidden/>
    <w:locked/>
    <w:rsid w:val="00DB1BE6"/>
    <w:rPr>
      <w:rFonts w:cs="Times New Roman"/>
      <w:sz w:val="24"/>
      <w:szCs w:val="24"/>
      <w:lang w:eastAsia="en-US"/>
    </w:rPr>
  </w:style>
  <w:style w:type="character" w:styleId="Hyperlink">
    <w:name w:val="Hyperlink"/>
    <w:basedOn w:val="DefaultParagraphFont"/>
    <w:uiPriority w:val="99"/>
    <w:rsid w:val="000061D9"/>
    <w:rPr>
      <w:rFonts w:cs="Times New Roman"/>
      <w:color w:val="0000FF"/>
      <w:u w:val="single"/>
    </w:rPr>
  </w:style>
  <w:style w:type="paragraph" w:customStyle="1" w:styleId="Contact">
    <w:name w:val="Contact"/>
    <w:basedOn w:val="Footer"/>
    <w:uiPriority w:val="99"/>
    <w:rsid w:val="000061D9"/>
    <w:pPr>
      <w:widowControl w:val="0"/>
      <w:tabs>
        <w:tab w:val="clear" w:pos="4153"/>
        <w:tab w:val="clear" w:pos="8306"/>
      </w:tabs>
      <w:ind w:firstLine="4230"/>
      <w:jc w:val="both"/>
    </w:pPr>
    <w:rPr>
      <w:rFonts w:ascii="Helvetica 45 Light" w:hAnsi="Helvetica 45 Light" w:cs="Arial"/>
      <w:sz w:val="20"/>
      <w:szCs w:val="20"/>
      <w:lang w:eastAsia="en-GB"/>
    </w:rPr>
  </w:style>
  <w:style w:type="paragraph" w:customStyle="1" w:styleId="PressInformation">
    <w:name w:val="PressInformation"/>
    <w:basedOn w:val="Normal"/>
    <w:uiPriority w:val="99"/>
    <w:rsid w:val="000061D9"/>
    <w:pPr>
      <w:widowControl w:val="0"/>
    </w:pPr>
    <w:rPr>
      <w:rFonts w:ascii="Arial" w:hAnsi="Arial" w:cs="Arial"/>
      <w:b/>
      <w:bCs/>
      <w:sz w:val="28"/>
      <w:szCs w:val="28"/>
      <w:lang w:eastAsia="en-GB"/>
    </w:rPr>
  </w:style>
  <w:style w:type="paragraph" w:styleId="Footer">
    <w:name w:val="footer"/>
    <w:basedOn w:val="Normal"/>
    <w:link w:val="FooterChar"/>
    <w:uiPriority w:val="99"/>
    <w:rsid w:val="000061D9"/>
    <w:pPr>
      <w:tabs>
        <w:tab w:val="center" w:pos="4153"/>
        <w:tab w:val="right" w:pos="8306"/>
      </w:tabs>
    </w:pPr>
  </w:style>
  <w:style w:type="character" w:customStyle="1" w:styleId="FooterChar">
    <w:name w:val="Footer Char"/>
    <w:basedOn w:val="DefaultParagraphFont"/>
    <w:link w:val="Footer"/>
    <w:uiPriority w:val="99"/>
    <w:semiHidden/>
    <w:locked/>
    <w:rsid w:val="00DB1BE6"/>
    <w:rPr>
      <w:rFonts w:cs="Times New Roman"/>
      <w:sz w:val="24"/>
      <w:szCs w:val="24"/>
      <w:lang w:eastAsia="en-US"/>
    </w:rPr>
  </w:style>
  <w:style w:type="table" w:styleId="TableGrid">
    <w:name w:val="Table Grid"/>
    <w:basedOn w:val="TableNormal"/>
    <w:uiPriority w:val="99"/>
    <w:rsid w:val="00334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C54C3"/>
    <w:pPr>
      <w:ind w:left="720"/>
      <w:contextualSpacing/>
    </w:pPr>
    <w:rPr>
      <w:lang w:val="en-US"/>
    </w:rPr>
  </w:style>
  <w:style w:type="paragraph" w:styleId="FootnoteText">
    <w:name w:val="footnote text"/>
    <w:basedOn w:val="Normal"/>
    <w:link w:val="FootnoteTextChar"/>
    <w:uiPriority w:val="99"/>
    <w:rsid w:val="00CC54C3"/>
  </w:style>
  <w:style w:type="character" w:customStyle="1" w:styleId="FootnoteTextChar">
    <w:name w:val="Footnote Text Char"/>
    <w:basedOn w:val="DefaultParagraphFont"/>
    <w:link w:val="FootnoteText"/>
    <w:uiPriority w:val="99"/>
    <w:locked/>
    <w:rsid w:val="00CC54C3"/>
    <w:rPr>
      <w:rFonts w:cs="Times New Roman"/>
      <w:sz w:val="24"/>
      <w:lang w:val="en-GB" w:eastAsia="en-US"/>
    </w:rPr>
  </w:style>
  <w:style w:type="character" w:styleId="FootnoteReference">
    <w:name w:val="footnote reference"/>
    <w:basedOn w:val="DefaultParagraphFont"/>
    <w:uiPriority w:val="99"/>
    <w:rsid w:val="00CC54C3"/>
    <w:rPr>
      <w:rFonts w:cs="Times New Roman"/>
      <w:vertAlign w:val="superscript"/>
    </w:rPr>
  </w:style>
  <w:style w:type="paragraph" w:styleId="Caption">
    <w:name w:val="caption"/>
    <w:basedOn w:val="Normal"/>
    <w:next w:val="Normal"/>
    <w:uiPriority w:val="99"/>
    <w:qFormat/>
    <w:rsid w:val="00FF7B3A"/>
    <w:rPr>
      <w:b/>
      <w:bCs/>
      <w:sz w:val="20"/>
      <w:szCs w:val="20"/>
    </w:rPr>
  </w:style>
  <w:style w:type="character" w:styleId="CommentReference">
    <w:name w:val="annotation reference"/>
    <w:basedOn w:val="DefaultParagraphFont"/>
    <w:uiPriority w:val="99"/>
    <w:semiHidden/>
    <w:rsid w:val="006445AF"/>
    <w:rPr>
      <w:rFonts w:cs="Times New Roman"/>
      <w:sz w:val="16"/>
    </w:rPr>
  </w:style>
  <w:style w:type="paragraph" w:styleId="CommentText">
    <w:name w:val="annotation text"/>
    <w:basedOn w:val="Normal"/>
    <w:link w:val="CommentTextChar"/>
    <w:uiPriority w:val="99"/>
    <w:semiHidden/>
    <w:rsid w:val="006445AF"/>
    <w:rPr>
      <w:sz w:val="20"/>
      <w:szCs w:val="20"/>
    </w:rPr>
  </w:style>
  <w:style w:type="character" w:customStyle="1" w:styleId="CommentTextChar">
    <w:name w:val="Comment Text Char"/>
    <w:basedOn w:val="DefaultParagraphFont"/>
    <w:link w:val="CommentText"/>
    <w:uiPriority w:val="99"/>
    <w:semiHidden/>
    <w:locked/>
    <w:rsid w:val="00DB1BE6"/>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6445AF"/>
    <w:rPr>
      <w:b/>
      <w:bCs/>
    </w:rPr>
  </w:style>
  <w:style w:type="character" w:customStyle="1" w:styleId="CommentSubjectChar">
    <w:name w:val="Comment Subject Char"/>
    <w:basedOn w:val="CommentTextChar"/>
    <w:link w:val="CommentSubject"/>
    <w:uiPriority w:val="99"/>
    <w:semiHidden/>
    <w:locked/>
    <w:rsid w:val="00DB1BE6"/>
    <w:rPr>
      <w:b/>
      <w:bCs/>
    </w:rPr>
  </w:style>
  <w:style w:type="paragraph" w:styleId="Revision">
    <w:name w:val="Revision"/>
    <w:hidden/>
    <w:uiPriority w:val="99"/>
    <w:semiHidden/>
    <w:rsid w:val="00427D6C"/>
    <w:rPr>
      <w:sz w:val="24"/>
      <w:szCs w:val="24"/>
      <w:lang w:val="en-GB"/>
    </w:rPr>
  </w:style>
  <w:style w:type="paragraph" w:styleId="EndnoteText">
    <w:name w:val="endnote text"/>
    <w:basedOn w:val="Normal"/>
    <w:link w:val="EndnoteTextChar"/>
    <w:uiPriority w:val="99"/>
    <w:rsid w:val="00DC5179"/>
    <w:rPr>
      <w:sz w:val="20"/>
      <w:szCs w:val="20"/>
    </w:rPr>
  </w:style>
  <w:style w:type="character" w:customStyle="1" w:styleId="EndnoteTextChar">
    <w:name w:val="Endnote Text Char"/>
    <w:basedOn w:val="DefaultParagraphFont"/>
    <w:link w:val="EndnoteText"/>
    <w:uiPriority w:val="99"/>
    <w:locked/>
    <w:rsid w:val="00DC5179"/>
    <w:rPr>
      <w:rFonts w:cs="Times New Roman"/>
      <w:lang w:eastAsia="en-US"/>
    </w:rPr>
  </w:style>
  <w:style w:type="character" w:styleId="EndnoteReference">
    <w:name w:val="endnote reference"/>
    <w:basedOn w:val="DefaultParagraphFont"/>
    <w:uiPriority w:val="99"/>
    <w:rsid w:val="00DC5179"/>
    <w:rPr>
      <w:rFonts w:cs="Times New Roman"/>
      <w:vertAlign w:val="superscript"/>
    </w:rPr>
  </w:style>
  <w:style w:type="paragraph" w:customStyle="1" w:styleId="PressRelease">
    <w:name w:val="Press Release"/>
    <w:basedOn w:val="Heading1"/>
    <w:uiPriority w:val="99"/>
    <w:rsid w:val="007C1023"/>
    <w:pPr>
      <w:spacing w:before="240" w:after="60"/>
      <w:jc w:val="left"/>
    </w:pPr>
    <w:rPr>
      <w:kern w:val="32"/>
      <w:sz w:val="36"/>
      <w:szCs w:val="32"/>
    </w:rPr>
  </w:style>
  <w:style w:type="character" w:styleId="PageNumber">
    <w:name w:val="page number"/>
    <w:basedOn w:val="DefaultParagraphFont"/>
    <w:uiPriority w:val="99"/>
    <w:rsid w:val="007C1023"/>
    <w:rPr>
      <w:rFonts w:cs="Times New Roman"/>
    </w:rPr>
  </w:style>
  <w:style w:type="paragraph" w:styleId="Header">
    <w:name w:val="header"/>
    <w:basedOn w:val="Normal"/>
    <w:link w:val="HeaderChar"/>
    <w:uiPriority w:val="99"/>
    <w:rsid w:val="007C1023"/>
    <w:pPr>
      <w:tabs>
        <w:tab w:val="center" w:pos="4320"/>
        <w:tab w:val="right" w:pos="8640"/>
      </w:tabs>
    </w:pPr>
  </w:style>
  <w:style w:type="character" w:customStyle="1" w:styleId="HeaderChar">
    <w:name w:val="Header Char"/>
    <w:basedOn w:val="DefaultParagraphFont"/>
    <w:link w:val="Header"/>
    <w:uiPriority w:val="99"/>
    <w:semiHidden/>
    <w:locked/>
    <w:rsid w:val="00DB1BE6"/>
    <w:rPr>
      <w:rFonts w:cs="Times New Roman"/>
      <w:sz w:val="24"/>
      <w:szCs w:val="24"/>
      <w:lang w:eastAsia="en-US"/>
    </w:rPr>
  </w:style>
  <w:style w:type="paragraph" w:customStyle="1" w:styleId="Boilerplate">
    <w:name w:val="Boilerplate"/>
    <w:basedOn w:val="Normal"/>
    <w:uiPriority w:val="99"/>
    <w:rsid w:val="0027572F"/>
    <w:pPr>
      <w:spacing w:before="120" w:after="120" w:line="360" w:lineRule="auto"/>
      <w:jc w:val="both"/>
    </w:pPr>
    <w:rPr>
      <w:rFonts w:ascii="Arial" w:hAnsi="Arial"/>
      <w:sz w:val="16"/>
      <w:lang w:val="en-US"/>
    </w:rPr>
  </w:style>
</w:styles>
</file>

<file path=word/webSettings.xml><?xml version="1.0" encoding="utf-8"?>
<w:webSettings xmlns:r="http://schemas.openxmlformats.org/officeDocument/2006/relationships" xmlns:w="http://schemas.openxmlformats.org/wordprocessingml/2006/main">
  <w:divs>
    <w:div w:id="1539388652">
      <w:marLeft w:val="0"/>
      <w:marRight w:val="0"/>
      <w:marTop w:val="0"/>
      <w:marBottom w:val="0"/>
      <w:divBdr>
        <w:top w:val="none" w:sz="0" w:space="0" w:color="auto"/>
        <w:left w:val="none" w:sz="0" w:space="0" w:color="auto"/>
        <w:bottom w:val="none" w:sz="0" w:space="0" w:color="auto"/>
        <w:right w:val="none" w:sz="0" w:space="0" w:color="auto"/>
      </w:divBdr>
      <w:divsChild>
        <w:div w:id="1539388675">
          <w:marLeft w:val="0"/>
          <w:marRight w:val="0"/>
          <w:marTop w:val="0"/>
          <w:marBottom w:val="0"/>
          <w:divBdr>
            <w:top w:val="none" w:sz="0" w:space="0" w:color="auto"/>
            <w:left w:val="none" w:sz="0" w:space="0" w:color="auto"/>
            <w:bottom w:val="none" w:sz="0" w:space="0" w:color="auto"/>
            <w:right w:val="none" w:sz="0" w:space="0" w:color="auto"/>
          </w:divBdr>
        </w:div>
      </w:divsChild>
    </w:div>
    <w:div w:id="1539388654">
      <w:marLeft w:val="0"/>
      <w:marRight w:val="0"/>
      <w:marTop w:val="0"/>
      <w:marBottom w:val="0"/>
      <w:divBdr>
        <w:top w:val="none" w:sz="0" w:space="0" w:color="auto"/>
        <w:left w:val="none" w:sz="0" w:space="0" w:color="auto"/>
        <w:bottom w:val="none" w:sz="0" w:space="0" w:color="auto"/>
        <w:right w:val="none" w:sz="0" w:space="0" w:color="auto"/>
      </w:divBdr>
    </w:div>
    <w:div w:id="1539388656">
      <w:marLeft w:val="0"/>
      <w:marRight w:val="0"/>
      <w:marTop w:val="0"/>
      <w:marBottom w:val="0"/>
      <w:divBdr>
        <w:top w:val="none" w:sz="0" w:space="0" w:color="auto"/>
        <w:left w:val="none" w:sz="0" w:space="0" w:color="auto"/>
        <w:bottom w:val="none" w:sz="0" w:space="0" w:color="auto"/>
        <w:right w:val="none" w:sz="0" w:space="0" w:color="auto"/>
      </w:divBdr>
    </w:div>
    <w:div w:id="1539388658">
      <w:marLeft w:val="0"/>
      <w:marRight w:val="0"/>
      <w:marTop w:val="0"/>
      <w:marBottom w:val="0"/>
      <w:divBdr>
        <w:top w:val="none" w:sz="0" w:space="0" w:color="auto"/>
        <w:left w:val="none" w:sz="0" w:space="0" w:color="auto"/>
        <w:bottom w:val="none" w:sz="0" w:space="0" w:color="auto"/>
        <w:right w:val="none" w:sz="0" w:space="0" w:color="auto"/>
      </w:divBdr>
    </w:div>
    <w:div w:id="1539388662">
      <w:marLeft w:val="0"/>
      <w:marRight w:val="0"/>
      <w:marTop w:val="0"/>
      <w:marBottom w:val="0"/>
      <w:divBdr>
        <w:top w:val="none" w:sz="0" w:space="0" w:color="auto"/>
        <w:left w:val="none" w:sz="0" w:space="0" w:color="auto"/>
        <w:bottom w:val="none" w:sz="0" w:space="0" w:color="auto"/>
        <w:right w:val="none" w:sz="0" w:space="0" w:color="auto"/>
      </w:divBdr>
      <w:divsChild>
        <w:div w:id="1539388676">
          <w:marLeft w:val="0"/>
          <w:marRight w:val="0"/>
          <w:marTop w:val="0"/>
          <w:marBottom w:val="0"/>
          <w:divBdr>
            <w:top w:val="none" w:sz="0" w:space="0" w:color="auto"/>
            <w:left w:val="none" w:sz="0" w:space="0" w:color="auto"/>
            <w:bottom w:val="none" w:sz="0" w:space="0" w:color="auto"/>
            <w:right w:val="none" w:sz="0" w:space="0" w:color="auto"/>
          </w:divBdr>
          <w:divsChild>
            <w:div w:id="1539388653">
              <w:marLeft w:val="0"/>
              <w:marRight w:val="0"/>
              <w:marTop w:val="0"/>
              <w:marBottom w:val="0"/>
              <w:divBdr>
                <w:top w:val="none" w:sz="0" w:space="0" w:color="auto"/>
                <w:left w:val="none" w:sz="0" w:space="0" w:color="auto"/>
                <w:bottom w:val="none" w:sz="0" w:space="0" w:color="auto"/>
                <w:right w:val="none" w:sz="0" w:space="0" w:color="auto"/>
              </w:divBdr>
            </w:div>
            <w:div w:id="153938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88663">
      <w:marLeft w:val="0"/>
      <w:marRight w:val="0"/>
      <w:marTop w:val="0"/>
      <w:marBottom w:val="0"/>
      <w:divBdr>
        <w:top w:val="none" w:sz="0" w:space="0" w:color="auto"/>
        <w:left w:val="none" w:sz="0" w:space="0" w:color="auto"/>
        <w:bottom w:val="none" w:sz="0" w:space="0" w:color="auto"/>
        <w:right w:val="none" w:sz="0" w:space="0" w:color="auto"/>
      </w:divBdr>
      <w:divsChild>
        <w:div w:id="1539388661">
          <w:marLeft w:val="0"/>
          <w:marRight w:val="0"/>
          <w:marTop w:val="0"/>
          <w:marBottom w:val="0"/>
          <w:divBdr>
            <w:top w:val="none" w:sz="0" w:space="0" w:color="auto"/>
            <w:left w:val="none" w:sz="0" w:space="0" w:color="auto"/>
            <w:bottom w:val="none" w:sz="0" w:space="0" w:color="auto"/>
            <w:right w:val="none" w:sz="0" w:space="0" w:color="auto"/>
          </w:divBdr>
          <w:divsChild>
            <w:div w:id="1539388667">
              <w:marLeft w:val="0"/>
              <w:marRight w:val="0"/>
              <w:marTop w:val="0"/>
              <w:marBottom w:val="0"/>
              <w:divBdr>
                <w:top w:val="none" w:sz="0" w:space="0" w:color="auto"/>
                <w:left w:val="none" w:sz="0" w:space="0" w:color="auto"/>
                <w:bottom w:val="none" w:sz="0" w:space="0" w:color="auto"/>
                <w:right w:val="none" w:sz="0" w:space="0" w:color="auto"/>
              </w:divBdr>
            </w:div>
            <w:div w:id="1539388668">
              <w:marLeft w:val="0"/>
              <w:marRight w:val="0"/>
              <w:marTop w:val="0"/>
              <w:marBottom w:val="0"/>
              <w:divBdr>
                <w:top w:val="none" w:sz="0" w:space="0" w:color="auto"/>
                <w:left w:val="none" w:sz="0" w:space="0" w:color="auto"/>
                <w:bottom w:val="none" w:sz="0" w:space="0" w:color="auto"/>
                <w:right w:val="none" w:sz="0" w:space="0" w:color="auto"/>
              </w:divBdr>
            </w:div>
            <w:div w:id="1539388670">
              <w:marLeft w:val="0"/>
              <w:marRight w:val="0"/>
              <w:marTop w:val="0"/>
              <w:marBottom w:val="0"/>
              <w:divBdr>
                <w:top w:val="none" w:sz="0" w:space="0" w:color="auto"/>
                <w:left w:val="none" w:sz="0" w:space="0" w:color="auto"/>
                <w:bottom w:val="none" w:sz="0" w:space="0" w:color="auto"/>
                <w:right w:val="none" w:sz="0" w:space="0" w:color="auto"/>
              </w:divBdr>
            </w:div>
            <w:div w:id="1539388678">
              <w:marLeft w:val="0"/>
              <w:marRight w:val="0"/>
              <w:marTop w:val="0"/>
              <w:marBottom w:val="0"/>
              <w:divBdr>
                <w:top w:val="none" w:sz="0" w:space="0" w:color="auto"/>
                <w:left w:val="none" w:sz="0" w:space="0" w:color="auto"/>
                <w:bottom w:val="none" w:sz="0" w:space="0" w:color="auto"/>
                <w:right w:val="none" w:sz="0" w:space="0" w:color="auto"/>
              </w:divBdr>
            </w:div>
            <w:div w:id="1539388679">
              <w:marLeft w:val="0"/>
              <w:marRight w:val="0"/>
              <w:marTop w:val="0"/>
              <w:marBottom w:val="0"/>
              <w:divBdr>
                <w:top w:val="none" w:sz="0" w:space="0" w:color="auto"/>
                <w:left w:val="none" w:sz="0" w:space="0" w:color="auto"/>
                <w:bottom w:val="none" w:sz="0" w:space="0" w:color="auto"/>
                <w:right w:val="none" w:sz="0" w:space="0" w:color="auto"/>
              </w:divBdr>
            </w:div>
            <w:div w:id="15393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88664">
      <w:marLeft w:val="0"/>
      <w:marRight w:val="0"/>
      <w:marTop w:val="0"/>
      <w:marBottom w:val="0"/>
      <w:divBdr>
        <w:top w:val="none" w:sz="0" w:space="0" w:color="auto"/>
        <w:left w:val="none" w:sz="0" w:space="0" w:color="auto"/>
        <w:bottom w:val="none" w:sz="0" w:space="0" w:color="auto"/>
        <w:right w:val="none" w:sz="0" w:space="0" w:color="auto"/>
      </w:divBdr>
    </w:div>
    <w:div w:id="1539388665">
      <w:marLeft w:val="0"/>
      <w:marRight w:val="0"/>
      <w:marTop w:val="0"/>
      <w:marBottom w:val="0"/>
      <w:divBdr>
        <w:top w:val="none" w:sz="0" w:space="0" w:color="auto"/>
        <w:left w:val="none" w:sz="0" w:space="0" w:color="auto"/>
        <w:bottom w:val="none" w:sz="0" w:space="0" w:color="auto"/>
        <w:right w:val="none" w:sz="0" w:space="0" w:color="auto"/>
      </w:divBdr>
      <w:divsChild>
        <w:div w:id="1539388683">
          <w:marLeft w:val="0"/>
          <w:marRight w:val="0"/>
          <w:marTop w:val="0"/>
          <w:marBottom w:val="0"/>
          <w:divBdr>
            <w:top w:val="none" w:sz="0" w:space="0" w:color="auto"/>
            <w:left w:val="none" w:sz="0" w:space="0" w:color="auto"/>
            <w:bottom w:val="none" w:sz="0" w:space="0" w:color="auto"/>
            <w:right w:val="none" w:sz="0" w:space="0" w:color="auto"/>
          </w:divBdr>
          <w:divsChild>
            <w:div w:id="1539388655">
              <w:marLeft w:val="0"/>
              <w:marRight w:val="0"/>
              <w:marTop w:val="0"/>
              <w:marBottom w:val="0"/>
              <w:divBdr>
                <w:top w:val="none" w:sz="0" w:space="0" w:color="auto"/>
                <w:left w:val="none" w:sz="0" w:space="0" w:color="auto"/>
                <w:bottom w:val="none" w:sz="0" w:space="0" w:color="auto"/>
                <w:right w:val="none" w:sz="0" w:space="0" w:color="auto"/>
              </w:divBdr>
            </w:div>
            <w:div w:id="1539388660">
              <w:marLeft w:val="0"/>
              <w:marRight w:val="0"/>
              <w:marTop w:val="0"/>
              <w:marBottom w:val="0"/>
              <w:divBdr>
                <w:top w:val="none" w:sz="0" w:space="0" w:color="auto"/>
                <w:left w:val="none" w:sz="0" w:space="0" w:color="auto"/>
                <w:bottom w:val="none" w:sz="0" w:space="0" w:color="auto"/>
                <w:right w:val="none" w:sz="0" w:space="0" w:color="auto"/>
              </w:divBdr>
            </w:div>
            <w:div w:id="1539388669">
              <w:marLeft w:val="0"/>
              <w:marRight w:val="0"/>
              <w:marTop w:val="0"/>
              <w:marBottom w:val="0"/>
              <w:divBdr>
                <w:top w:val="none" w:sz="0" w:space="0" w:color="auto"/>
                <w:left w:val="none" w:sz="0" w:space="0" w:color="auto"/>
                <w:bottom w:val="none" w:sz="0" w:space="0" w:color="auto"/>
                <w:right w:val="none" w:sz="0" w:space="0" w:color="auto"/>
              </w:divBdr>
            </w:div>
            <w:div w:id="1539388673">
              <w:marLeft w:val="0"/>
              <w:marRight w:val="0"/>
              <w:marTop w:val="0"/>
              <w:marBottom w:val="0"/>
              <w:divBdr>
                <w:top w:val="none" w:sz="0" w:space="0" w:color="auto"/>
                <w:left w:val="none" w:sz="0" w:space="0" w:color="auto"/>
                <w:bottom w:val="none" w:sz="0" w:space="0" w:color="auto"/>
                <w:right w:val="none" w:sz="0" w:space="0" w:color="auto"/>
              </w:divBdr>
            </w:div>
            <w:div w:id="1539388677">
              <w:marLeft w:val="0"/>
              <w:marRight w:val="0"/>
              <w:marTop w:val="0"/>
              <w:marBottom w:val="0"/>
              <w:divBdr>
                <w:top w:val="none" w:sz="0" w:space="0" w:color="auto"/>
                <w:left w:val="none" w:sz="0" w:space="0" w:color="auto"/>
                <w:bottom w:val="none" w:sz="0" w:space="0" w:color="auto"/>
                <w:right w:val="none" w:sz="0" w:space="0" w:color="auto"/>
              </w:divBdr>
            </w:div>
            <w:div w:id="15393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88666">
      <w:marLeft w:val="0"/>
      <w:marRight w:val="0"/>
      <w:marTop w:val="0"/>
      <w:marBottom w:val="0"/>
      <w:divBdr>
        <w:top w:val="none" w:sz="0" w:space="0" w:color="auto"/>
        <w:left w:val="none" w:sz="0" w:space="0" w:color="auto"/>
        <w:bottom w:val="none" w:sz="0" w:space="0" w:color="auto"/>
        <w:right w:val="none" w:sz="0" w:space="0" w:color="auto"/>
      </w:divBdr>
      <w:divsChild>
        <w:div w:id="1539388693">
          <w:marLeft w:val="0"/>
          <w:marRight w:val="0"/>
          <w:marTop w:val="0"/>
          <w:marBottom w:val="0"/>
          <w:divBdr>
            <w:top w:val="none" w:sz="0" w:space="0" w:color="auto"/>
            <w:left w:val="none" w:sz="0" w:space="0" w:color="auto"/>
            <w:bottom w:val="none" w:sz="0" w:space="0" w:color="auto"/>
            <w:right w:val="none" w:sz="0" w:space="0" w:color="auto"/>
          </w:divBdr>
        </w:div>
      </w:divsChild>
    </w:div>
    <w:div w:id="1539388671">
      <w:marLeft w:val="0"/>
      <w:marRight w:val="0"/>
      <w:marTop w:val="0"/>
      <w:marBottom w:val="0"/>
      <w:divBdr>
        <w:top w:val="none" w:sz="0" w:space="0" w:color="auto"/>
        <w:left w:val="none" w:sz="0" w:space="0" w:color="auto"/>
        <w:bottom w:val="none" w:sz="0" w:space="0" w:color="auto"/>
        <w:right w:val="none" w:sz="0" w:space="0" w:color="auto"/>
      </w:divBdr>
    </w:div>
    <w:div w:id="1539388674">
      <w:marLeft w:val="0"/>
      <w:marRight w:val="0"/>
      <w:marTop w:val="0"/>
      <w:marBottom w:val="0"/>
      <w:divBdr>
        <w:top w:val="none" w:sz="0" w:space="0" w:color="auto"/>
        <w:left w:val="none" w:sz="0" w:space="0" w:color="auto"/>
        <w:bottom w:val="none" w:sz="0" w:space="0" w:color="auto"/>
        <w:right w:val="none" w:sz="0" w:space="0" w:color="auto"/>
      </w:divBdr>
      <w:divsChild>
        <w:div w:id="1539388672">
          <w:marLeft w:val="0"/>
          <w:marRight w:val="0"/>
          <w:marTop w:val="0"/>
          <w:marBottom w:val="0"/>
          <w:divBdr>
            <w:top w:val="none" w:sz="0" w:space="0" w:color="auto"/>
            <w:left w:val="none" w:sz="0" w:space="0" w:color="auto"/>
            <w:bottom w:val="none" w:sz="0" w:space="0" w:color="auto"/>
            <w:right w:val="none" w:sz="0" w:space="0" w:color="auto"/>
          </w:divBdr>
        </w:div>
      </w:divsChild>
    </w:div>
    <w:div w:id="1539388680">
      <w:marLeft w:val="0"/>
      <w:marRight w:val="0"/>
      <w:marTop w:val="0"/>
      <w:marBottom w:val="0"/>
      <w:divBdr>
        <w:top w:val="none" w:sz="0" w:space="0" w:color="auto"/>
        <w:left w:val="none" w:sz="0" w:space="0" w:color="auto"/>
        <w:bottom w:val="none" w:sz="0" w:space="0" w:color="auto"/>
        <w:right w:val="none" w:sz="0" w:space="0" w:color="auto"/>
      </w:divBdr>
    </w:div>
    <w:div w:id="1539388682">
      <w:marLeft w:val="0"/>
      <w:marRight w:val="0"/>
      <w:marTop w:val="0"/>
      <w:marBottom w:val="0"/>
      <w:divBdr>
        <w:top w:val="none" w:sz="0" w:space="0" w:color="auto"/>
        <w:left w:val="none" w:sz="0" w:space="0" w:color="auto"/>
        <w:bottom w:val="none" w:sz="0" w:space="0" w:color="auto"/>
        <w:right w:val="none" w:sz="0" w:space="0" w:color="auto"/>
      </w:divBdr>
    </w:div>
    <w:div w:id="1539388684">
      <w:marLeft w:val="0"/>
      <w:marRight w:val="0"/>
      <w:marTop w:val="0"/>
      <w:marBottom w:val="0"/>
      <w:divBdr>
        <w:top w:val="none" w:sz="0" w:space="0" w:color="auto"/>
        <w:left w:val="none" w:sz="0" w:space="0" w:color="auto"/>
        <w:bottom w:val="none" w:sz="0" w:space="0" w:color="auto"/>
        <w:right w:val="none" w:sz="0" w:space="0" w:color="auto"/>
      </w:divBdr>
    </w:div>
    <w:div w:id="1539388685">
      <w:marLeft w:val="0"/>
      <w:marRight w:val="0"/>
      <w:marTop w:val="0"/>
      <w:marBottom w:val="0"/>
      <w:divBdr>
        <w:top w:val="none" w:sz="0" w:space="0" w:color="auto"/>
        <w:left w:val="none" w:sz="0" w:space="0" w:color="auto"/>
        <w:bottom w:val="none" w:sz="0" w:space="0" w:color="auto"/>
        <w:right w:val="none" w:sz="0" w:space="0" w:color="auto"/>
      </w:divBdr>
    </w:div>
    <w:div w:id="1539388686">
      <w:marLeft w:val="0"/>
      <w:marRight w:val="0"/>
      <w:marTop w:val="0"/>
      <w:marBottom w:val="0"/>
      <w:divBdr>
        <w:top w:val="none" w:sz="0" w:space="0" w:color="auto"/>
        <w:left w:val="none" w:sz="0" w:space="0" w:color="auto"/>
        <w:bottom w:val="none" w:sz="0" w:space="0" w:color="auto"/>
        <w:right w:val="none" w:sz="0" w:space="0" w:color="auto"/>
      </w:divBdr>
    </w:div>
    <w:div w:id="1539388687">
      <w:marLeft w:val="0"/>
      <w:marRight w:val="0"/>
      <w:marTop w:val="0"/>
      <w:marBottom w:val="0"/>
      <w:divBdr>
        <w:top w:val="none" w:sz="0" w:space="0" w:color="auto"/>
        <w:left w:val="none" w:sz="0" w:space="0" w:color="auto"/>
        <w:bottom w:val="none" w:sz="0" w:space="0" w:color="auto"/>
        <w:right w:val="none" w:sz="0" w:space="0" w:color="auto"/>
      </w:divBdr>
    </w:div>
    <w:div w:id="1539388689">
      <w:marLeft w:val="0"/>
      <w:marRight w:val="0"/>
      <w:marTop w:val="0"/>
      <w:marBottom w:val="0"/>
      <w:divBdr>
        <w:top w:val="none" w:sz="0" w:space="0" w:color="auto"/>
        <w:left w:val="none" w:sz="0" w:space="0" w:color="auto"/>
        <w:bottom w:val="none" w:sz="0" w:space="0" w:color="auto"/>
        <w:right w:val="none" w:sz="0" w:space="0" w:color="auto"/>
      </w:divBdr>
      <w:divsChild>
        <w:div w:id="1539388696">
          <w:marLeft w:val="0"/>
          <w:marRight w:val="0"/>
          <w:marTop w:val="0"/>
          <w:marBottom w:val="0"/>
          <w:divBdr>
            <w:top w:val="none" w:sz="0" w:space="0" w:color="auto"/>
            <w:left w:val="none" w:sz="0" w:space="0" w:color="auto"/>
            <w:bottom w:val="none" w:sz="0" w:space="0" w:color="auto"/>
            <w:right w:val="none" w:sz="0" w:space="0" w:color="auto"/>
          </w:divBdr>
        </w:div>
      </w:divsChild>
    </w:div>
    <w:div w:id="1539388690">
      <w:marLeft w:val="0"/>
      <w:marRight w:val="0"/>
      <w:marTop w:val="0"/>
      <w:marBottom w:val="0"/>
      <w:divBdr>
        <w:top w:val="none" w:sz="0" w:space="0" w:color="auto"/>
        <w:left w:val="none" w:sz="0" w:space="0" w:color="auto"/>
        <w:bottom w:val="none" w:sz="0" w:space="0" w:color="auto"/>
        <w:right w:val="none" w:sz="0" w:space="0" w:color="auto"/>
      </w:divBdr>
    </w:div>
    <w:div w:id="1539388691">
      <w:marLeft w:val="0"/>
      <w:marRight w:val="0"/>
      <w:marTop w:val="0"/>
      <w:marBottom w:val="0"/>
      <w:divBdr>
        <w:top w:val="none" w:sz="0" w:space="0" w:color="auto"/>
        <w:left w:val="none" w:sz="0" w:space="0" w:color="auto"/>
        <w:bottom w:val="none" w:sz="0" w:space="0" w:color="auto"/>
        <w:right w:val="none" w:sz="0" w:space="0" w:color="auto"/>
      </w:divBdr>
      <w:divsChild>
        <w:div w:id="1539388659">
          <w:marLeft w:val="0"/>
          <w:marRight w:val="0"/>
          <w:marTop w:val="0"/>
          <w:marBottom w:val="0"/>
          <w:divBdr>
            <w:top w:val="none" w:sz="0" w:space="0" w:color="auto"/>
            <w:left w:val="none" w:sz="0" w:space="0" w:color="auto"/>
            <w:bottom w:val="none" w:sz="0" w:space="0" w:color="auto"/>
            <w:right w:val="none" w:sz="0" w:space="0" w:color="auto"/>
          </w:divBdr>
        </w:div>
      </w:divsChild>
    </w:div>
    <w:div w:id="1539388692">
      <w:marLeft w:val="0"/>
      <w:marRight w:val="0"/>
      <w:marTop w:val="0"/>
      <w:marBottom w:val="0"/>
      <w:divBdr>
        <w:top w:val="none" w:sz="0" w:space="0" w:color="auto"/>
        <w:left w:val="none" w:sz="0" w:space="0" w:color="auto"/>
        <w:bottom w:val="none" w:sz="0" w:space="0" w:color="auto"/>
        <w:right w:val="none" w:sz="0" w:space="0" w:color="auto"/>
      </w:divBdr>
    </w:div>
    <w:div w:id="1539388694">
      <w:marLeft w:val="0"/>
      <w:marRight w:val="0"/>
      <w:marTop w:val="0"/>
      <w:marBottom w:val="0"/>
      <w:divBdr>
        <w:top w:val="none" w:sz="0" w:space="0" w:color="auto"/>
        <w:left w:val="none" w:sz="0" w:space="0" w:color="auto"/>
        <w:bottom w:val="none" w:sz="0" w:space="0" w:color="auto"/>
        <w:right w:val="none" w:sz="0" w:space="0" w:color="auto"/>
      </w:divBdr>
    </w:div>
    <w:div w:id="15393886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Pages>
  <Words>997</Words>
  <Characters>5685</Characters>
  <Application>Microsoft Office Outlook</Application>
  <DocSecurity>0</DocSecurity>
  <Lines>0</Lines>
  <Paragraphs>0</Paragraphs>
  <ScaleCrop>false</ScaleCrop>
  <Company>Goodyear Dunlop Europe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Premiere at IAA for Duraseal Mixed Service Tires</dc:title>
  <dc:subject/>
  <dc:creator>Jens Voelmicke</dc:creator>
  <cp:keywords/>
  <dc:description/>
  <cp:lastModifiedBy> </cp:lastModifiedBy>
  <cp:revision>3</cp:revision>
  <cp:lastPrinted>2011-12-11T07:23:00Z</cp:lastPrinted>
  <dcterms:created xsi:type="dcterms:W3CDTF">2011-12-12T08:53:00Z</dcterms:created>
  <dcterms:modified xsi:type="dcterms:W3CDTF">2011-12-12T08:53:00Z</dcterms:modified>
</cp:coreProperties>
</file>