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7531AB17" wp14:editId="0D7D8785">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9">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2E21B1" w:rsidRDefault="002E21B1" w:rsidP="00D307C6">
      <w:pPr>
        <w:framePr w:w="5387" w:h="2268" w:hRule="exact" w:wrap="notBeside" w:vAnchor="page" w:hAnchor="text" w:y="3120" w:anchorLock="1"/>
        <w:spacing w:after="0" w:line="240" w:lineRule="auto"/>
        <w:rPr>
          <w:szCs w:val="24"/>
        </w:rPr>
      </w:pPr>
      <w:r w:rsidRPr="00793D10">
        <w:rPr>
          <w:rStyle w:val="berschrift1Zchn"/>
        </w:rPr>
        <w:t xml:space="preserve">Fachtagung </w:t>
      </w:r>
      <w:r w:rsidR="00CF10AB" w:rsidRPr="00793D10">
        <w:rPr>
          <w:rStyle w:val="berschrift1Zchn"/>
        </w:rPr>
        <w:t>„</w:t>
      </w:r>
      <w:r w:rsidR="0019028F" w:rsidRPr="00793D10">
        <w:rPr>
          <w:rStyle w:val="berschrift1Zchn"/>
        </w:rPr>
        <w:t>Demenz und Migration</w:t>
      </w:r>
      <w:r w:rsidR="00CF10AB" w:rsidRPr="00793D10">
        <w:rPr>
          <w:rStyle w:val="berschrift1Zchn"/>
        </w:rPr>
        <w:t>“</w:t>
      </w:r>
      <w:r w:rsidR="0019028F" w:rsidRPr="00793D10">
        <w:rPr>
          <w:rStyle w:val="berschrift1Zchn"/>
        </w:rPr>
        <w:t xml:space="preserve"> </w:t>
      </w:r>
      <w:r w:rsidRPr="00793D10">
        <w:rPr>
          <w:rStyle w:val="berschrift1Zchn"/>
        </w:rPr>
        <w:t>der Deutschen Alzheimer Gesellschaft</w:t>
      </w:r>
      <w:r w:rsidR="00793D10" w:rsidRPr="00793D10">
        <w:rPr>
          <w:rStyle w:val="berschrift1Zchn"/>
        </w:rPr>
        <w:t>:</w:t>
      </w:r>
      <w:r w:rsidR="00793D10">
        <w:rPr>
          <w:rFonts w:ascii="Source Sans Pro Semibold" w:eastAsiaTheme="majorEastAsia" w:hAnsi="Source Sans Pro Semibold" w:cstheme="majorBidi"/>
          <w:b/>
          <w:bCs/>
          <w:color w:val="1D3585"/>
          <w:sz w:val="32"/>
          <w:szCs w:val="28"/>
        </w:rPr>
        <w:t xml:space="preserve"> </w:t>
      </w:r>
    </w:p>
    <w:p w:rsidR="009D0977" w:rsidRPr="00E41896" w:rsidRDefault="00793D10" w:rsidP="00D307C6">
      <w:pPr>
        <w:framePr w:w="5387" w:h="2268" w:hRule="exact" w:wrap="notBeside" w:vAnchor="page" w:hAnchor="text" w:y="3120" w:anchorLock="1"/>
        <w:spacing w:after="0" w:line="240" w:lineRule="auto"/>
        <w:rPr>
          <w:szCs w:val="24"/>
        </w:rPr>
      </w:pPr>
      <w:r w:rsidRPr="00793D10">
        <w:rPr>
          <w:rStyle w:val="berschrift1Zchn"/>
        </w:rPr>
        <w:t>Uns</w:t>
      </w:r>
      <w:r w:rsidRPr="00793D10">
        <w:rPr>
          <w:szCs w:val="24"/>
        </w:rPr>
        <w:t xml:space="preserve"> </w:t>
      </w:r>
      <w:r w:rsidRPr="00793D10">
        <w:rPr>
          <w:rStyle w:val="berschrift1Zchn"/>
        </w:rPr>
        <w:t>eint mehr, als uns trennt</w:t>
      </w:r>
    </w:p>
    <w:p w:rsidR="00392AC6" w:rsidRDefault="00DA1E48" w:rsidP="00392AC6">
      <w:pPr>
        <w:autoSpaceDE w:val="0"/>
        <w:autoSpaceDN w:val="0"/>
        <w:adjustRightInd w:val="0"/>
        <w:spacing w:line="360" w:lineRule="auto"/>
        <w:rPr>
          <w:szCs w:val="24"/>
        </w:rPr>
      </w:pPr>
      <w:r w:rsidRPr="00DA1E48">
        <w:rPr>
          <w:szCs w:val="24"/>
        </w:rPr>
        <w:t xml:space="preserve">Berlin, </w:t>
      </w:r>
      <w:r w:rsidR="00CF10AB">
        <w:rPr>
          <w:szCs w:val="24"/>
        </w:rPr>
        <w:t>4</w:t>
      </w:r>
      <w:r w:rsidRPr="00DA1E48">
        <w:rPr>
          <w:szCs w:val="24"/>
        </w:rPr>
        <w:t xml:space="preserve">. </w:t>
      </w:r>
      <w:r w:rsidR="00392AC6">
        <w:rPr>
          <w:szCs w:val="24"/>
        </w:rPr>
        <w:t>Dez</w:t>
      </w:r>
      <w:r w:rsidR="00F30363">
        <w:rPr>
          <w:szCs w:val="24"/>
        </w:rPr>
        <w:t>ember</w:t>
      </w:r>
      <w:r w:rsidRPr="00DA1E48">
        <w:rPr>
          <w:szCs w:val="24"/>
        </w:rPr>
        <w:t xml:space="preserve"> 201</w:t>
      </w:r>
      <w:r>
        <w:rPr>
          <w:szCs w:val="24"/>
        </w:rPr>
        <w:t>9</w:t>
      </w:r>
      <w:r w:rsidRPr="00DA1E48">
        <w:rPr>
          <w:szCs w:val="24"/>
        </w:rPr>
        <w:t xml:space="preserve">. </w:t>
      </w:r>
      <w:r w:rsidR="00392AC6">
        <w:rPr>
          <w:szCs w:val="24"/>
        </w:rPr>
        <w:t>Menschen mit Demenz und ihre Angehörigen brauchen dringend Unterstützung, um den herausfordernden Alltag gut meistern zu können</w:t>
      </w:r>
      <w:r w:rsidR="00B85D3F">
        <w:rPr>
          <w:szCs w:val="24"/>
        </w:rPr>
        <w:t xml:space="preserve">. Dies gilt auch für </w:t>
      </w:r>
      <w:r w:rsidR="00354130">
        <w:rPr>
          <w:szCs w:val="24"/>
        </w:rPr>
        <w:t>Menschen mit Migrationshintergrund</w:t>
      </w:r>
      <w:r w:rsidR="00B85D3F">
        <w:rPr>
          <w:szCs w:val="24"/>
        </w:rPr>
        <w:t xml:space="preserve">. </w:t>
      </w:r>
      <w:r w:rsidR="00435B3F">
        <w:rPr>
          <w:szCs w:val="24"/>
        </w:rPr>
        <w:t xml:space="preserve">Doch noch ist der Zugang zu den Unterstützungsangeboten und den Einrichtungen der Altenhilfe und Pflege nicht für alle gleichermaßen gegeben. </w:t>
      </w:r>
      <w:r w:rsidR="00354130">
        <w:rPr>
          <w:szCs w:val="24"/>
        </w:rPr>
        <w:t>Mit</w:t>
      </w:r>
      <w:r w:rsidR="00D00711">
        <w:rPr>
          <w:szCs w:val="24"/>
        </w:rPr>
        <w:t xml:space="preserve"> der Fachtagung „Demenz und </w:t>
      </w:r>
      <w:r w:rsidR="00392AC6">
        <w:rPr>
          <w:szCs w:val="24"/>
        </w:rPr>
        <w:t>Migration</w:t>
      </w:r>
      <w:r w:rsidR="00D00711">
        <w:rPr>
          <w:szCs w:val="24"/>
        </w:rPr>
        <w:t>“</w:t>
      </w:r>
      <w:r w:rsidR="00E7042D">
        <w:rPr>
          <w:szCs w:val="24"/>
        </w:rPr>
        <w:t>,</w:t>
      </w:r>
      <w:r w:rsidR="00743B59">
        <w:rPr>
          <w:szCs w:val="24"/>
        </w:rPr>
        <w:t xml:space="preserve"> zu der </w:t>
      </w:r>
      <w:r w:rsidR="007E2159">
        <w:rPr>
          <w:szCs w:val="24"/>
        </w:rPr>
        <w:t xml:space="preserve">am 2. Dezember </w:t>
      </w:r>
      <w:r w:rsidR="00231245">
        <w:rPr>
          <w:szCs w:val="24"/>
        </w:rPr>
        <w:t xml:space="preserve">135 </w:t>
      </w:r>
      <w:r w:rsidR="00743B59">
        <w:rPr>
          <w:szCs w:val="24"/>
        </w:rPr>
        <w:t xml:space="preserve">Teilnehmende aus dem ganzen Bundesgebiet nach Berlin kamen, </w:t>
      </w:r>
      <w:r w:rsidR="00354130">
        <w:rPr>
          <w:szCs w:val="24"/>
        </w:rPr>
        <w:t xml:space="preserve">warb </w:t>
      </w:r>
      <w:r w:rsidR="00743B59">
        <w:rPr>
          <w:szCs w:val="24"/>
        </w:rPr>
        <w:t xml:space="preserve">die </w:t>
      </w:r>
      <w:r w:rsidR="00743B59" w:rsidRPr="00743B59">
        <w:rPr>
          <w:szCs w:val="24"/>
        </w:rPr>
        <w:t>Deut</w:t>
      </w:r>
      <w:r w:rsidR="00743B59">
        <w:rPr>
          <w:szCs w:val="24"/>
        </w:rPr>
        <w:t xml:space="preserve">sche Alzheimer Gesellschaft </w:t>
      </w:r>
      <w:r w:rsidR="00977769">
        <w:rPr>
          <w:szCs w:val="24"/>
        </w:rPr>
        <w:t xml:space="preserve">(DAlzG) </w:t>
      </w:r>
      <w:r w:rsidR="00CA6EA2">
        <w:rPr>
          <w:szCs w:val="24"/>
        </w:rPr>
        <w:t xml:space="preserve">für </w:t>
      </w:r>
      <w:r w:rsidR="009E1700">
        <w:rPr>
          <w:szCs w:val="24"/>
        </w:rPr>
        <w:t xml:space="preserve">mehr </w:t>
      </w:r>
      <w:r w:rsidR="00354130">
        <w:rPr>
          <w:szCs w:val="24"/>
        </w:rPr>
        <w:t>Aufklärung und Information</w:t>
      </w:r>
      <w:r w:rsidR="00A973CF">
        <w:rPr>
          <w:szCs w:val="24"/>
        </w:rPr>
        <w:t xml:space="preserve">. </w:t>
      </w:r>
      <w:r w:rsidR="00435B3F">
        <w:rPr>
          <w:szCs w:val="24"/>
        </w:rPr>
        <w:t>Werden die</w:t>
      </w:r>
      <w:r w:rsidR="00231245">
        <w:rPr>
          <w:szCs w:val="24"/>
        </w:rPr>
        <w:t xml:space="preserve"> Betroffenen </w:t>
      </w:r>
      <w:r w:rsidR="00435B3F">
        <w:rPr>
          <w:szCs w:val="24"/>
        </w:rPr>
        <w:t xml:space="preserve">und ihre Familien mit ihren Bedürfnissen und Ressourcen wahrgenommen, dann </w:t>
      </w:r>
      <w:r w:rsidR="00231245">
        <w:rPr>
          <w:szCs w:val="24"/>
        </w:rPr>
        <w:t xml:space="preserve">wird deutlich, dass es viel mehr Gemeinsames als Trennendes gibt. </w:t>
      </w:r>
    </w:p>
    <w:p w:rsidR="00BB7202" w:rsidRDefault="00BB7202" w:rsidP="00BB7202">
      <w:pPr>
        <w:autoSpaceDE w:val="0"/>
        <w:autoSpaceDN w:val="0"/>
        <w:adjustRightInd w:val="0"/>
        <w:spacing w:after="0" w:line="360" w:lineRule="auto"/>
        <w:rPr>
          <w:rStyle w:val="berschrift2Zchn"/>
        </w:rPr>
      </w:pPr>
      <w:r>
        <w:rPr>
          <w:rStyle w:val="berschrift2Zchn"/>
        </w:rPr>
        <w:lastRenderedPageBreak/>
        <w:t>Den Abbau von Hürden aktiv angehen</w:t>
      </w:r>
    </w:p>
    <w:p w:rsidR="00095069" w:rsidRDefault="00095069" w:rsidP="00095069">
      <w:pPr>
        <w:spacing w:line="360" w:lineRule="auto"/>
        <w:rPr>
          <w:szCs w:val="24"/>
        </w:rPr>
      </w:pPr>
      <w:r>
        <w:rPr>
          <w:szCs w:val="24"/>
        </w:rPr>
        <w:t xml:space="preserve">„Es geht um Respekt! Ich möchte meinen Vater, der früher mein Held war, trotz seiner Demenz würdevoll behandeln – und dazu brauche ich Unterstützung“, forderte Ayse Karaca, pflegende Tochter, in der Gesprächsrunde zu Beginn der Tagung. </w:t>
      </w:r>
    </w:p>
    <w:p w:rsidR="00D73147" w:rsidRDefault="002B2564" w:rsidP="00B85D3F">
      <w:pPr>
        <w:spacing w:line="360" w:lineRule="auto"/>
        <w:rPr>
          <w:szCs w:val="24"/>
        </w:rPr>
      </w:pPr>
      <w:r>
        <w:rPr>
          <w:szCs w:val="24"/>
        </w:rPr>
        <w:t xml:space="preserve">Dr. Guido </w:t>
      </w:r>
      <w:proofErr w:type="spellStart"/>
      <w:r>
        <w:rPr>
          <w:szCs w:val="24"/>
        </w:rPr>
        <w:t>Pliska</w:t>
      </w:r>
      <w:proofErr w:type="spellEnd"/>
      <w:r>
        <w:rPr>
          <w:szCs w:val="24"/>
        </w:rPr>
        <w:t xml:space="preserve">, Psychiater und Oberarzt im </w:t>
      </w:r>
      <w:r w:rsidR="00D47539">
        <w:rPr>
          <w:szCs w:val="24"/>
        </w:rPr>
        <w:t xml:space="preserve">Berliner </w:t>
      </w:r>
      <w:r>
        <w:rPr>
          <w:szCs w:val="24"/>
        </w:rPr>
        <w:t>Urban-Krankenhaus</w:t>
      </w:r>
      <w:r w:rsidR="00BB7202">
        <w:rPr>
          <w:szCs w:val="24"/>
        </w:rPr>
        <w:t xml:space="preserve">, </w:t>
      </w:r>
      <w:r w:rsidR="00CA6EA2">
        <w:rPr>
          <w:szCs w:val="24"/>
        </w:rPr>
        <w:t>gründete 2005 die</w:t>
      </w:r>
      <w:r>
        <w:rPr>
          <w:szCs w:val="24"/>
        </w:rPr>
        <w:t xml:space="preserve"> Arbeitsgruppe „Migration“</w:t>
      </w:r>
      <w:r w:rsidR="0021573E">
        <w:rPr>
          <w:szCs w:val="24"/>
        </w:rPr>
        <w:t xml:space="preserve">. </w:t>
      </w:r>
      <w:r w:rsidR="00BB7202">
        <w:rPr>
          <w:szCs w:val="24"/>
        </w:rPr>
        <w:t xml:space="preserve">In seinem Vortrag berichtete er, wie </w:t>
      </w:r>
      <w:r w:rsidR="00095069">
        <w:rPr>
          <w:szCs w:val="24"/>
        </w:rPr>
        <w:t xml:space="preserve">man </w:t>
      </w:r>
      <w:r w:rsidR="00BB7202">
        <w:rPr>
          <w:szCs w:val="24"/>
        </w:rPr>
        <w:t xml:space="preserve">mithilfe </w:t>
      </w:r>
      <w:r>
        <w:rPr>
          <w:szCs w:val="24"/>
        </w:rPr>
        <w:t>konsequent</w:t>
      </w:r>
      <w:r w:rsidR="0021573E">
        <w:rPr>
          <w:szCs w:val="24"/>
        </w:rPr>
        <w:t>e</w:t>
      </w:r>
      <w:r w:rsidR="00BB7202">
        <w:rPr>
          <w:szCs w:val="24"/>
        </w:rPr>
        <w:t>r</w:t>
      </w:r>
      <w:r>
        <w:rPr>
          <w:szCs w:val="24"/>
        </w:rPr>
        <w:t xml:space="preserve"> Personalpolitik</w:t>
      </w:r>
      <w:r w:rsidR="00CF10AB">
        <w:rPr>
          <w:szCs w:val="24"/>
        </w:rPr>
        <w:t xml:space="preserve"> sowie</w:t>
      </w:r>
      <w:r>
        <w:rPr>
          <w:szCs w:val="24"/>
        </w:rPr>
        <w:t xml:space="preserve"> Fort- und Weiterbildungen</w:t>
      </w:r>
      <w:r w:rsidR="00BB7202">
        <w:rPr>
          <w:szCs w:val="24"/>
        </w:rPr>
        <w:t xml:space="preserve"> </w:t>
      </w:r>
      <w:r w:rsidR="00AE6E5A">
        <w:rPr>
          <w:szCs w:val="24"/>
        </w:rPr>
        <w:t xml:space="preserve">viele </w:t>
      </w:r>
      <w:r w:rsidR="00095069">
        <w:rPr>
          <w:szCs w:val="24"/>
        </w:rPr>
        <w:t xml:space="preserve">Hürden überwinden kann und sich so die </w:t>
      </w:r>
      <w:r>
        <w:rPr>
          <w:szCs w:val="24"/>
        </w:rPr>
        <w:t>Behandlung von Migranten im stationären Kontext</w:t>
      </w:r>
      <w:r w:rsidR="00095069">
        <w:rPr>
          <w:szCs w:val="24"/>
        </w:rPr>
        <w:t xml:space="preserve"> verbessert</w:t>
      </w:r>
      <w:r w:rsidR="00D73147">
        <w:rPr>
          <w:szCs w:val="24"/>
        </w:rPr>
        <w:t xml:space="preserve">. </w:t>
      </w:r>
    </w:p>
    <w:p w:rsidR="00C67310" w:rsidRDefault="00354130" w:rsidP="00B85D3F">
      <w:pPr>
        <w:spacing w:line="360" w:lineRule="auto"/>
        <w:rPr>
          <w:szCs w:val="24"/>
        </w:rPr>
      </w:pPr>
      <w:r>
        <w:rPr>
          <w:szCs w:val="24"/>
        </w:rPr>
        <w:t>„</w:t>
      </w:r>
      <w:r w:rsidR="008904C9">
        <w:rPr>
          <w:szCs w:val="24"/>
        </w:rPr>
        <w:t>Kultur ist neben Gender, Bildung, Religion</w:t>
      </w:r>
      <w:r w:rsidR="00CF10AB">
        <w:rPr>
          <w:szCs w:val="24"/>
        </w:rPr>
        <w:t xml:space="preserve"> oder</w:t>
      </w:r>
      <w:r w:rsidR="008904C9">
        <w:rPr>
          <w:szCs w:val="24"/>
        </w:rPr>
        <w:t xml:space="preserve"> </w:t>
      </w:r>
      <w:r w:rsidR="00CF10AB">
        <w:rPr>
          <w:szCs w:val="24"/>
        </w:rPr>
        <w:t>s</w:t>
      </w:r>
      <w:r w:rsidR="008904C9">
        <w:rPr>
          <w:szCs w:val="24"/>
        </w:rPr>
        <w:t>oziale</w:t>
      </w:r>
      <w:r w:rsidR="00CF10AB">
        <w:rPr>
          <w:szCs w:val="24"/>
        </w:rPr>
        <w:t>r</w:t>
      </w:r>
      <w:r w:rsidR="008904C9">
        <w:rPr>
          <w:szCs w:val="24"/>
        </w:rPr>
        <w:t xml:space="preserve"> Schicht nur ein Kriterium, das uns prägt. </w:t>
      </w:r>
      <w:r w:rsidR="00C67310">
        <w:rPr>
          <w:szCs w:val="24"/>
        </w:rPr>
        <w:t>Entscheidend ist die Kombination dieser verschiedenen Merkmale. Diese kann sich hemmend oder förderlich auf die Aktivierung von Selbstmanagement-Kompetenzen auswirken</w:t>
      </w:r>
      <w:r w:rsidR="008904C9">
        <w:rPr>
          <w:szCs w:val="24"/>
        </w:rPr>
        <w:t xml:space="preserve">“, so Prof. Dr. Dr. </w:t>
      </w:r>
      <w:r w:rsidR="00CF10AB">
        <w:rPr>
          <w:szCs w:val="24"/>
        </w:rPr>
        <w:t xml:space="preserve">Hürrem </w:t>
      </w:r>
      <w:r w:rsidR="008904C9">
        <w:rPr>
          <w:szCs w:val="24"/>
        </w:rPr>
        <w:t>Tezcan-Güntekin von der Alice-Salomon</w:t>
      </w:r>
      <w:r w:rsidR="00CF10AB">
        <w:rPr>
          <w:szCs w:val="24"/>
        </w:rPr>
        <w:t>-</w:t>
      </w:r>
      <w:r w:rsidR="008904C9">
        <w:rPr>
          <w:szCs w:val="24"/>
        </w:rPr>
        <w:t xml:space="preserve">Hochschule Berlin. </w:t>
      </w:r>
      <w:r w:rsidR="00CF10AB">
        <w:rPr>
          <w:szCs w:val="24"/>
        </w:rPr>
        <w:t>„</w:t>
      </w:r>
      <w:r w:rsidR="00BB17ED">
        <w:rPr>
          <w:szCs w:val="24"/>
        </w:rPr>
        <w:t xml:space="preserve">Wenn wir Diversität anerkennen, erleben wir viel Gemeinsames. </w:t>
      </w:r>
      <w:r w:rsidR="0040468F">
        <w:rPr>
          <w:szCs w:val="24"/>
        </w:rPr>
        <w:t xml:space="preserve">Das heißt </w:t>
      </w:r>
      <w:r w:rsidR="00CF10AB">
        <w:rPr>
          <w:szCs w:val="24"/>
        </w:rPr>
        <w:t xml:space="preserve">aber </w:t>
      </w:r>
      <w:r w:rsidR="0040468F">
        <w:rPr>
          <w:szCs w:val="24"/>
        </w:rPr>
        <w:t>nicht, dass für alle das gleiche gilt. D</w:t>
      </w:r>
      <w:r w:rsidR="00BB17ED">
        <w:rPr>
          <w:szCs w:val="24"/>
        </w:rPr>
        <w:t xml:space="preserve">er Zugang zu den einzelnen Zielgruppen </w:t>
      </w:r>
      <w:r w:rsidR="0040468F">
        <w:rPr>
          <w:szCs w:val="24"/>
        </w:rPr>
        <w:t xml:space="preserve">bleibt </w:t>
      </w:r>
      <w:r w:rsidR="00BB17ED">
        <w:rPr>
          <w:szCs w:val="24"/>
        </w:rPr>
        <w:t>individuell</w:t>
      </w:r>
      <w:r w:rsidR="0040468F">
        <w:rPr>
          <w:szCs w:val="24"/>
        </w:rPr>
        <w:t>.</w:t>
      </w:r>
      <w:r w:rsidR="00CF10AB">
        <w:rPr>
          <w:szCs w:val="24"/>
        </w:rPr>
        <w:t>“</w:t>
      </w:r>
    </w:p>
    <w:p w:rsidR="00BB7202" w:rsidRDefault="00BB7202" w:rsidP="00BB7202">
      <w:pPr>
        <w:autoSpaceDE w:val="0"/>
        <w:autoSpaceDN w:val="0"/>
        <w:adjustRightInd w:val="0"/>
        <w:spacing w:after="0" w:line="360" w:lineRule="auto"/>
        <w:rPr>
          <w:rStyle w:val="berschrift2Zchn"/>
        </w:rPr>
      </w:pPr>
      <w:r>
        <w:rPr>
          <w:rStyle w:val="berschrift2Zchn"/>
        </w:rPr>
        <w:t>Kultursensible Information</w:t>
      </w:r>
      <w:r w:rsidR="00F96365">
        <w:rPr>
          <w:rStyle w:val="berschrift2Zchn"/>
        </w:rPr>
        <w:t>en</w:t>
      </w:r>
      <w:r>
        <w:rPr>
          <w:rStyle w:val="berschrift2Zchn"/>
        </w:rPr>
        <w:t xml:space="preserve"> und Beratung der DAlzG</w:t>
      </w:r>
    </w:p>
    <w:p w:rsidR="00636BD9" w:rsidRDefault="00BB17ED" w:rsidP="00B85D3F">
      <w:pPr>
        <w:spacing w:line="360" w:lineRule="auto"/>
        <w:rPr>
          <w:szCs w:val="24"/>
        </w:rPr>
      </w:pPr>
      <w:r>
        <w:rPr>
          <w:szCs w:val="24"/>
        </w:rPr>
        <w:t>Durch die</w:t>
      </w:r>
      <w:r w:rsidR="00354130">
        <w:rPr>
          <w:szCs w:val="24"/>
        </w:rPr>
        <w:t xml:space="preserve"> Demenz </w:t>
      </w:r>
      <w:r>
        <w:rPr>
          <w:szCs w:val="24"/>
        </w:rPr>
        <w:t xml:space="preserve">nimmt </w:t>
      </w:r>
      <w:r w:rsidR="00CF10AB">
        <w:rPr>
          <w:szCs w:val="24"/>
        </w:rPr>
        <w:t xml:space="preserve">auch </w:t>
      </w:r>
      <w:r>
        <w:rPr>
          <w:szCs w:val="24"/>
        </w:rPr>
        <w:t xml:space="preserve">die </w:t>
      </w:r>
      <w:r w:rsidR="00354130" w:rsidRPr="00392AC6">
        <w:rPr>
          <w:szCs w:val="24"/>
        </w:rPr>
        <w:t>Sprachkompetenz</w:t>
      </w:r>
      <w:r w:rsidR="008904C9">
        <w:rPr>
          <w:szCs w:val="24"/>
        </w:rPr>
        <w:t xml:space="preserve"> </w:t>
      </w:r>
      <w:r>
        <w:rPr>
          <w:szCs w:val="24"/>
        </w:rPr>
        <w:t>ab und</w:t>
      </w:r>
      <w:r w:rsidR="008904C9">
        <w:rPr>
          <w:szCs w:val="24"/>
        </w:rPr>
        <w:t xml:space="preserve"> </w:t>
      </w:r>
      <w:r w:rsidR="00354130" w:rsidRPr="00392AC6">
        <w:rPr>
          <w:szCs w:val="24"/>
        </w:rPr>
        <w:t xml:space="preserve">die Muttersprache </w:t>
      </w:r>
      <w:r w:rsidR="00354130">
        <w:rPr>
          <w:szCs w:val="24"/>
        </w:rPr>
        <w:t xml:space="preserve">gewinnt </w:t>
      </w:r>
      <w:r w:rsidR="008904C9">
        <w:rPr>
          <w:szCs w:val="24"/>
        </w:rPr>
        <w:t xml:space="preserve">zunehmend </w:t>
      </w:r>
      <w:r w:rsidR="00354130">
        <w:rPr>
          <w:szCs w:val="24"/>
        </w:rPr>
        <w:t xml:space="preserve">an Bedeutung. </w:t>
      </w:r>
      <w:r>
        <w:rPr>
          <w:szCs w:val="24"/>
        </w:rPr>
        <w:t xml:space="preserve">Daniel Ruprecht </w:t>
      </w:r>
      <w:r w:rsidR="00CF10AB">
        <w:rPr>
          <w:szCs w:val="24"/>
        </w:rPr>
        <w:t xml:space="preserve">von der DAlzG </w:t>
      </w:r>
      <w:r>
        <w:rPr>
          <w:szCs w:val="24"/>
        </w:rPr>
        <w:t xml:space="preserve">stellte die Internetseite </w:t>
      </w:r>
      <w:hyperlink r:id="rId10" w:history="1">
        <w:r w:rsidRPr="00D47E6B">
          <w:rPr>
            <w:rStyle w:val="Hyperlink"/>
            <w:szCs w:val="24"/>
          </w:rPr>
          <w:t>www.demenz-und-migration</w:t>
        </w:r>
      </w:hyperlink>
      <w:r>
        <w:rPr>
          <w:szCs w:val="24"/>
        </w:rPr>
        <w:t xml:space="preserve"> vor, auf der Menschen in türkischer, polnischer und russischer Sprache Information und Aufklärung über Demenz </w:t>
      </w:r>
      <w:r w:rsidR="00CF10AB">
        <w:rPr>
          <w:szCs w:val="24"/>
        </w:rPr>
        <w:t>erhalten</w:t>
      </w:r>
      <w:r>
        <w:rPr>
          <w:szCs w:val="24"/>
        </w:rPr>
        <w:t xml:space="preserve">. „Wenn es um Gefühle geht, sprechen auch Angehörige, die sehr gut </w:t>
      </w:r>
      <w:r>
        <w:rPr>
          <w:szCs w:val="24"/>
        </w:rPr>
        <w:lastRenderedPageBreak/>
        <w:t>Deutsch sprechen, plötzlich wieder türkisch“</w:t>
      </w:r>
      <w:r w:rsidR="00CF10AB">
        <w:rPr>
          <w:szCs w:val="24"/>
        </w:rPr>
        <w:t>,</w:t>
      </w:r>
      <w:r>
        <w:rPr>
          <w:szCs w:val="24"/>
        </w:rPr>
        <w:t xml:space="preserve"> berichtet Güllü Kuzu über die türkisch</w:t>
      </w:r>
      <w:r w:rsidR="00CF10AB">
        <w:rPr>
          <w:szCs w:val="24"/>
        </w:rPr>
        <w:t>sprachige</w:t>
      </w:r>
      <w:r>
        <w:rPr>
          <w:szCs w:val="24"/>
        </w:rPr>
        <w:t xml:space="preserve"> Beratung</w:t>
      </w:r>
      <w:r w:rsidR="00CF10AB">
        <w:rPr>
          <w:szCs w:val="24"/>
        </w:rPr>
        <w:t xml:space="preserve"> der DAlzG</w:t>
      </w:r>
      <w:r>
        <w:rPr>
          <w:szCs w:val="24"/>
        </w:rPr>
        <w:t xml:space="preserve">, die jeden Mittwoch von 10:00 </w:t>
      </w:r>
      <w:r w:rsidR="00CF10AB">
        <w:rPr>
          <w:szCs w:val="24"/>
        </w:rPr>
        <w:t>bis</w:t>
      </w:r>
      <w:r>
        <w:rPr>
          <w:szCs w:val="24"/>
        </w:rPr>
        <w:t xml:space="preserve"> 12:00 Uhr angeboten wird. Menschen aufsuchen, Multiplikatoren finden und diese schulen</w:t>
      </w:r>
      <w:r w:rsidR="00F64C73">
        <w:rPr>
          <w:szCs w:val="24"/>
        </w:rPr>
        <w:t>: Da</w:t>
      </w:r>
      <w:r w:rsidR="00CF10AB">
        <w:rPr>
          <w:szCs w:val="24"/>
        </w:rPr>
        <w:t>s</w:t>
      </w:r>
      <w:r>
        <w:rPr>
          <w:szCs w:val="24"/>
        </w:rPr>
        <w:t xml:space="preserve"> ist der Ansatz von </w:t>
      </w:r>
      <w:r w:rsidR="00636BD9">
        <w:rPr>
          <w:szCs w:val="24"/>
        </w:rPr>
        <w:t>„</w:t>
      </w:r>
      <w:r>
        <w:rPr>
          <w:szCs w:val="24"/>
        </w:rPr>
        <w:t>Demenz Partner kultursensibel</w:t>
      </w:r>
      <w:r w:rsidR="00636BD9">
        <w:rPr>
          <w:szCs w:val="24"/>
        </w:rPr>
        <w:t>“</w:t>
      </w:r>
      <w:r>
        <w:rPr>
          <w:szCs w:val="24"/>
        </w:rPr>
        <w:t xml:space="preserve">. </w:t>
      </w:r>
      <w:r w:rsidR="0040468F">
        <w:rPr>
          <w:szCs w:val="24"/>
        </w:rPr>
        <w:t>„</w:t>
      </w:r>
      <w:r>
        <w:rPr>
          <w:szCs w:val="24"/>
        </w:rPr>
        <w:t>Nur wenn Menschen wissen, dass Demenz eine Krankheit ist, kann die Angst vor der Krankheit abnehmen</w:t>
      </w:r>
      <w:r w:rsidR="0040468F">
        <w:rPr>
          <w:szCs w:val="24"/>
        </w:rPr>
        <w:t>“</w:t>
      </w:r>
      <w:r w:rsidR="00636BD9">
        <w:rPr>
          <w:szCs w:val="24"/>
        </w:rPr>
        <w:t xml:space="preserve">, ist Saskia Weiß überzeugt, die das Projekt </w:t>
      </w:r>
      <w:r w:rsidR="00CF10AB">
        <w:rPr>
          <w:szCs w:val="24"/>
        </w:rPr>
        <w:t xml:space="preserve">der DAlzG </w:t>
      </w:r>
      <w:r w:rsidR="00636BD9">
        <w:rPr>
          <w:szCs w:val="24"/>
        </w:rPr>
        <w:t xml:space="preserve">vorstellte. </w:t>
      </w:r>
    </w:p>
    <w:p w:rsidR="00F96365" w:rsidRPr="00FE2431" w:rsidRDefault="00D47539" w:rsidP="00FE2431">
      <w:pPr>
        <w:rPr>
          <w:rStyle w:val="berschrift2Zchn"/>
          <w:rFonts w:ascii="Source Sans Pro" w:hAnsi="Source Sans Pro"/>
          <w:b w:val="0"/>
          <w:color w:val="000000" w:themeColor="text1"/>
          <w:sz w:val="24"/>
          <w:szCs w:val="24"/>
        </w:rPr>
      </w:pPr>
      <w:r>
        <w:rPr>
          <w:rStyle w:val="berschrift2Zchn"/>
          <w:rFonts w:ascii="Source Sans Pro" w:hAnsi="Source Sans Pro"/>
          <w:b w:val="0"/>
          <w:color w:val="000000" w:themeColor="text1"/>
          <w:sz w:val="24"/>
          <w:szCs w:val="24"/>
        </w:rPr>
        <w:t>D</w:t>
      </w:r>
      <w:r w:rsidR="00FE2431" w:rsidRPr="00FE2431">
        <w:rPr>
          <w:rStyle w:val="berschrift2Zchn"/>
          <w:rFonts w:ascii="Source Sans Pro" w:hAnsi="Source Sans Pro"/>
          <w:b w:val="0"/>
          <w:color w:val="000000" w:themeColor="text1"/>
          <w:sz w:val="24"/>
          <w:szCs w:val="24"/>
        </w:rPr>
        <w:t xml:space="preserve">ie Vertreterinnen verschiedener Angebote </w:t>
      </w:r>
      <w:r w:rsidR="00734115">
        <w:rPr>
          <w:rStyle w:val="berschrift2Zchn"/>
          <w:rFonts w:ascii="Source Sans Pro" w:hAnsi="Source Sans Pro"/>
          <w:b w:val="0"/>
          <w:color w:val="000000" w:themeColor="text1"/>
          <w:sz w:val="24"/>
          <w:szCs w:val="24"/>
        </w:rPr>
        <w:t xml:space="preserve">wie „Brückenbauerinnen“, Tagespflege „Ma </w:t>
      </w:r>
      <w:proofErr w:type="spellStart"/>
      <w:r w:rsidR="00734115">
        <w:rPr>
          <w:rStyle w:val="berschrift2Zchn"/>
          <w:rFonts w:ascii="Source Sans Pro" w:hAnsi="Source Sans Pro"/>
          <w:b w:val="0"/>
          <w:color w:val="000000" w:themeColor="text1"/>
          <w:sz w:val="24"/>
          <w:szCs w:val="24"/>
        </w:rPr>
        <w:t>Maison</w:t>
      </w:r>
      <w:proofErr w:type="spellEnd"/>
      <w:r w:rsidR="00734115">
        <w:rPr>
          <w:rStyle w:val="berschrift2Zchn"/>
          <w:rFonts w:ascii="Source Sans Pro" w:hAnsi="Source Sans Pro"/>
          <w:b w:val="0"/>
          <w:color w:val="000000" w:themeColor="text1"/>
          <w:sz w:val="24"/>
          <w:szCs w:val="24"/>
        </w:rPr>
        <w:t>“ und „</w:t>
      </w:r>
      <w:proofErr w:type="spellStart"/>
      <w:r w:rsidR="00734115">
        <w:rPr>
          <w:rStyle w:val="berschrift2Zchn"/>
          <w:rFonts w:ascii="Source Sans Pro" w:hAnsi="Source Sans Pro"/>
          <w:b w:val="0"/>
          <w:color w:val="000000" w:themeColor="text1"/>
          <w:sz w:val="24"/>
          <w:szCs w:val="24"/>
        </w:rPr>
        <w:t>DeMigranz</w:t>
      </w:r>
      <w:proofErr w:type="spellEnd"/>
      <w:r w:rsidR="00734115">
        <w:rPr>
          <w:rStyle w:val="berschrift2Zchn"/>
          <w:rFonts w:ascii="Source Sans Pro" w:hAnsi="Source Sans Pro"/>
          <w:b w:val="0"/>
          <w:color w:val="000000" w:themeColor="text1"/>
          <w:sz w:val="24"/>
          <w:szCs w:val="24"/>
        </w:rPr>
        <w:t xml:space="preserve">“ </w:t>
      </w:r>
      <w:r w:rsidRPr="00FE2431">
        <w:rPr>
          <w:rStyle w:val="berschrift2Zchn"/>
          <w:rFonts w:ascii="Source Sans Pro" w:hAnsi="Source Sans Pro"/>
          <w:b w:val="0"/>
          <w:color w:val="000000" w:themeColor="text1"/>
          <w:sz w:val="24"/>
          <w:szCs w:val="24"/>
        </w:rPr>
        <w:t xml:space="preserve">machten </w:t>
      </w:r>
      <w:r w:rsidR="00FE2431" w:rsidRPr="00FE2431">
        <w:rPr>
          <w:rStyle w:val="berschrift2Zchn"/>
          <w:rFonts w:ascii="Source Sans Pro" w:hAnsi="Source Sans Pro"/>
          <w:b w:val="0"/>
          <w:color w:val="000000" w:themeColor="text1"/>
          <w:sz w:val="24"/>
          <w:szCs w:val="24"/>
        </w:rPr>
        <w:t>deutlich</w:t>
      </w:r>
      <w:r>
        <w:rPr>
          <w:rStyle w:val="berschrift2Zchn"/>
          <w:rFonts w:ascii="Source Sans Pro" w:hAnsi="Source Sans Pro"/>
          <w:b w:val="0"/>
          <w:color w:val="000000" w:themeColor="text1"/>
          <w:sz w:val="24"/>
          <w:szCs w:val="24"/>
        </w:rPr>
        <w:t>:</w:t>
      </w:r>
      <w:r w:rsidRPr="00D47539">
        <w:rPr>
          <w:rStyle w:val="berschrift2Zchn"/>
          <w:rFonts w:ascii="Source Sans Pro" w:hAnsi="Source Sans Pro"/>
          <w:b w:val="0"/>
          <w:color w:val="000000" w:themeColor="text1"/>
          <w:sz w:val="24"/>
          <w:szCs w:val="24"/>
        </w:rPr>
        <w:t xml:space="preserve"> </w:t>
      </w:r>
      <w:r w:rsidRPr="00FE2431">
        <w:rPr>
          <w:rStyle w:val="berschrift2Zchn"/>
          <w:rFonts w:ascii="Source Sans Pro" w:hAnsi="Source Sans Pro"/>
          <w:b w:val="0"/>
          <w:color w:val="000000" w:themeColor="text1"/>
          <w:sz w:val="24"/>
          <w:szCs w:val="24"/>
        </w:rPr>
        <w:t>Vielfalt bedeutet mehr Lebensfreude</w:t>
      </w:r>
      <w:r>
        <w:rPr>
          <w:rStyle w:val="berschrift2Zchn"/>
          <w:rFonts w:ascii="Source Sans Pro" w:hAnsi="Source Sans Pro"/>
          <w:b w:val="0"/>
          <w:color w:val="000000" w:themeColor="text1"/>
          <w:sz w:val="24"/>
          <w:szCs w:val="24"/>
        </w:rPr>
        <w:t xml:space="preserve"> und Vernetzung ist wichtig</w:t>
      </w:r>
      <w:r w:rsidRPr="00FE2431">
        <w:rPr>
          <w:rStyle w:val="berschrift2Zchn"/>
          <w:rFonts w:ascii="Source Sans Pro" w:hAnsi="Source Sans Pro"/>
          <w:b w:val="0"/>
          <w:color w:val="000000" w:themeColor="text1"/>
          <w:sz w:val="24"/>
          <w:szCs w:val="24"/>
        </w:rPr>
        <w:t>.</w:t>
      </w:r>
      <w:bookmarkStart w:id="0" w:name="_GoBack"/>
      <w:bookmarkEnd w:id="0"/>
    </w:p>
    <w:p w:rsidR="007C66FC" w:rsidRDefault="007C66FC" w:rsidP="002E21B1">
      <w:pPr>
        <w:autoSpaceDE w:val="0"/>
        <w:autoSpaceDN w:val="0"/>
        <w:adjustRightInd w:val="0"/>
        <w:spacing w:line="360" w:lineRule="auto"/>
        <w:rPr>
          <w:szCs w:val="24"/>
        </w:rPr>
      </w:pPr>
      <w:r>
        <w:rPr>
          <w:szCs w:val="24"/>
        </w:rPr>
        <w:t>Die Fachtagung wurde vo</w:t>
      </w:r>
      <w:r w:rsidR="009E1700">
        <w:rPr>
          <w:szCs w:val="24"/>
        </w:rPr>
        <w:t xml:space="preserve">m BMFSFJ </w:t>
      </w:r>
      <w:r>
        <w:rPr>
          <w:szCs w:val="24"/>
        </w:rPr>
        <w:t xml:space="preserve">finanziell </w:t>
      </w:r>
      <w:r w:rsidR="00A54CF0">
        <w:rPr>
          <w:szCs w:val="24"/>
        </w:rPr>
        <w:t>unterstützt</w:t>
      </w:r>
      <w:r>
        <w:rPr>
          <w:szCs w:val="24"/>
        </w:rPr>
        <w:t>.</w:t>
      </w:r>
    </w:p>
    <w:p w:rsidR="00421C52" w:rsidRDefault="00AE6E5A" w:rsidP="00AE6E5A">
      <w:pPr>
        <w:autoSpaceDE w:val="0"/>
        <w:autoSpaceDN w:val="0"/>
        <w:adjustRightInd w:val="0"/>
        <w:spacing w:after="0" w:line="360" w:lineRule="auto"/>
        <w:rPr>
          <w:rStyle w:val="berschrift2Zchn"/>
        </w:rPr>
      </w:pPr>
      <w:r>
        <w:rPr>
          <w:rStyle w:val="berschrift2Zchn"/>
        </w:rPr>
        <w:t>Material</w:t>
      </w:r>
    </w:p>
    <w:p w:rsidR="00421C52" w:rsidRDefault="00421C52" w:rsidP="00421C52">
      <w:pPr>
        <w:autoSpaceDE w:val="0"/>
        <w:autoSpaceDN w:val="0"/>
        <w:adjustRightInd w:val="0"/>
        <w:spacing w:line="360" w:lineRule="auto"/>
        <w:rPr>
          <w:szCs w:val="24"/>
        </w:rPr>
      </w:pPr>
      <w:r>
        <w:rPr>
          <w:szCs w:val="24"/>
        </w:rPr>
        <w:t xml:space="preserve">Ausführliche Informationen erhalten Sie auf der Internetseite </w:t>
      </w:r>
      <w:hyperlink r:id="rId11" w:history="1">
        <w:r w:rsidRPr="00375723">
          <w:rPr>
            <w:rStyle w:val="Hyperlink"/>
            <w:szCs w:val="24"/>
          </w:rPr>
          <w:t>www.demenz-und-migration.de</w:t>
        </w:r>
      </w:hyperlink>
      <w:r>
        <w:rPr>
          <w:szCs w:val="24"/>
        </w:rPr>
        <w:t xml:space="preserve">. Hier finden Sie Material auf Deutsch, Polnisch, Türkisch und Russisch. Weiterhin gibt es dort </w:t>
      </w:r>
      <w:proofErr w:type="spellStart"/>
      <w:r>
        <w:rPr>
          <w:szCs w:val="24"/>
        </w:rPr>
        <w:t>Erklärfilme</w:t>
      </w:r>
      <w:proofErr w:type="spellEnd"/>
      <w:r>
        <w:rPr>
          <w:szCs w:val="24"/>
        </w:rPr>
        <w:t xml:space="preserve"> in den vier Sprachen zu den Themen</w:t>
      </w:r>
      <w:r w:rsidRPr="00421C52">
        <w:rPr>
          <w:szCs w:val="24"/>
        </w:rPr>
        <w:t xml:space="preserve"> „Was ist Demenz?“, „Diagnose und Behandlung“, „Vorsorge treffen“, „Kommunikation und Umgang“ und „Verändertes Verhalten“.</w:t>
      </w:r>
    </w:p>
    <w:p w:rsidR="009D0977" w:rsidRDefault="009D0977" w:rsidP="00170C8C">
      <w:pPr>
        <w:autoSpaceDE w:val="0"/>
        <w:autoSpaceDN w:val="0"/>
        <w:adjustRightInd w:val="0"/>
        <w:spacing w:after="0" w:line="360" w:lineRule="auto"/>
        <w:rPr>
          <w:rStyle w:val="berschrift2Zchn"/>
        </w:rPr>
      </w:pPr>
      <w:r>
        <w:rPr>
          <w:rStyle w:val="berschrift2Zchn"/>
        </w:rPr>
        <w:t>Hintergrund</w:t>
      </w:r>
    </w:p>
    <w:p w:rsidR="00AE17A6" w:rsidRDefault="009E1700" w:rsidP="00AE17A6">
      <w:pPr>
        <w:autoSpaceDE w:val="0"/>
        <w:autoSpaceDN w:val="0"/>
        <w:adjustRightInd w:val="0"/>
        <w:rPr>
          <w:szCs w:val="24"/>
        </w:rPr>
      </w:pPr>
      <w:r>
        <w:rPr>
          <w:szCs w:val="24"/>
        </w:rPr>
        <w:t xml:space="preserve">108.000 Menschen von den </w:t>
      </w:r>
      <w:r w:rsidR="00AE17A6" w:rsidRPr="00AE17A6">
        <w:rPr>
          <w:szCs w:val="24"/>
        </w:rPr>
        <w:t>etwa 1,7 Millionen Menschen mit Demenzerkrankungen</w:t>
      </w:r>
      <w:r w:rsidR="00910F81">
        <w:rPr>
          <w:szCs w:val="24"/>
        </w:rPr>
        <w:t xml:space="preserve"> in Deutschland</w:t>
      </w:r>
      <w:r>
        <w:rPr>
          <w:szCs w:val="24"/>
        </w:rPr>
        <w:t xml:space="preserve"> haben einen Migrationshintergrund. </w:t>
      </w:r>
      <w:r w:rsidR="00AE17A6" w:rsidRPr="00AE17A6">
        <w:rPr>
          <w:szCs w:val="24"/>
        </w:rPr>
        <w:t xml:space="preserve">Ungefähr 60 Prozent </w:t>
      </w:r>
      <w:r w:rsidR="00910F81">
        <w:rPr>
          <w:szCs w:val="24"/>
        </w:rPr>
        <w:t xml:space="preserve">der Betroffenen </w:t>
      </w:r>
      <w:r w:rsidR="00AE17A6" w:rsidRPr="00AE17A6">
        <w:rPr>
          <w:szCs w:val="24"/>
        </w:rPr>
        <w:t>haben eine Demenz vom Typ Alzheimer. Die Zahl der Demenz</w:t>
      </w:r>
      <w:r w:rsidR="000D2D2C">
        <w:rPr>
          <w:szCs w:val="24"/>
        </w:rPr>
        <w:t>er</w:t>
      </w:r>
      <w:r w:rsidR="00AE17A6" w:rsidRPr="00AE17A6">
        <w:rPr>
          <w:szCs w:val="24"/>
        </w:rPr>
        <w:t>krank</w:t>
      </w:r>
      <w:r w:rsidR="000D2D2C">
        <w:rPr>
          <w:szCs w:val="24"/>
        </w:rPr>
        <w:t>t</w:t>
      </w:r>
      <w:r w:rsidR="00AE17A6" w:rsidRPr="00AE17A6">
        <w:rPr>
          <w:szCs w:val="24"/>
        </w:rPr>
        <w:t>en wird bis 2050 auf 3 Millionen steigen, sofern kein Durchbruch in der Therapie gelingt.</w:t>
      </w:r>
    </w:p>
    <w:p w:rsidR="00AE6E5A" w:rsidRDefault="00AE6E5A" w:rsidP="00AE17A6">
      <w:pPr>
        <w:autoSpaceDE w:val="0"/>
        <w:autoSpaceDN w:val="0"/>
        <w:adjustRightInd w:val="0"/>
        <w:rPr>
          <w:szCs w:val="24"/>
        </w:rPr>
      </w:pPr>
    </w:p>
    <w:p w:rsidR="009D0977" w:rsidRDefault="009D0977" w:rsidP="009D0977">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AE17A6" w:rsidRDefault="00AE17A6" w:rsidP="00AE17A6">
      <w:pPr>
        <w:autoSpaceDE w:val="0"/>
        <w:autoSpaceDN w:val="0"/>
        <w:adjustRightInd w:val="0"/>
        <w:rPr>
          <w:rFonts w:cs="Arial"/>
          <w:iCs/>
        </w:rPr>
      </w:pPr>
      <w:r w:rsidRPr="004F3CAE">
        <w:rPr>
          <w:rFonts w:cs="Arial"/>
          <w:iCs/>
        </w:rPr>
        <w:t xml:space="preserve">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Pr="000860DC">
        <w:rPr>
          <w:rFonts w:cs="Arial"/>
          <w:iCs/>
        </w:rPr>
        <w:t xml:space="preserve"> </w:t>
      </w:r>
    </w:p>
    <w:p w:rsidR="009D0977" w:rsidRPr="00B23C43" w:rsidRDefault="009D0977" w:rsidP="00B23C43">
      <w:pPr>
        <w:autoSpaceDE w:val="0"/>
        <w:autoSpaceDN w:val="0"/>
        <w:adjustRightInd w:val="0"/>
        <w:spacing w:after="0"/>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AE17A6">
        <w:rPr>
          <w:rFonts w:cs="Arial"/>
          <w:iCs/>
        </w:rPr>
        <w:t>, Annika Koch</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2" w:history="1">
        <w:r w:rsidRPr="00D6309B">
          <w:rPr>
            <w:rFonts w:cs="Arial"/>
            <w:iCs/>
            <w:color w:val="0000FF"/>
            <w:u w:val="single"/>
          </w:rPr>
          <w:t>info@deutsche-alzheimer.de</w:t>
        </w:r>
      </w:hyperlink>
      <w:r w:rsidR="00936AB8">
        <w:rPr>
          <w:rFonts w:cs="Arial"/>
          <w:iCs/>
          <w:color w:val="333333"/>
        </w:rPr>
        <w:t xml:space="preserve">, </w:t>
      </w:r>
      <w:r w:rsidRPr="00D6309B">
        <w:rPr>
          <w:rFonts w:cs="Arial"/>
          <w:iCs/>
          <w:color w:val="333333"/>
        </w:rPr>
        <w:t>Internet</w:t>
      </w:r>
      <w:r>
        <w:rPr>
          <w:rFonts w:cs="Arial"/>
          <w:iCs/>
          <w:color w:val="333333"/>
        </w:rPr>
        <w:t xml:space="preserve">: </w:t>
      </w:r>
      <w:hyperlink r:id="rId13" w:history="1">
        <w:r w:rsidRPr="003D0AE4">
          <w:rPr>
            <w:rStyle w:val="Hyperlink"/>
            <w:rFonts w:eastAsiaTheme="majorEastAsia" w:cs="Arial"/>
            <w:iCs/>
          </w:rPr>
          <w:t>www.deutsche-alzheimer.de</w:t>
        </w:r>
      </w:hyperlink>
      <w:r>
        <w:rPr>
          <w:rFonts w:cs="Arial"/>
          <w:iCs/>
          <w:color w:val="333333"/>
        </w:rPr>
        <w:t xml:space="preserve"> </w:t>
      </w:r>
    </w:p>
    <w:sectPr w:rsidR="009D0977" w:rsidRPr="00B23C43" w:rsidSect="000777AB">
      <w:headerReference w:type="default" r:id="rId14"/>
      <w:footerReference w:type="default" r:id="rId15"/>
      <w:headerReference w:type="first" r:id="rId16"/>
      <w:footerReference w:type="first" r:id="rId17"/>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8F" w:rsidRDefault="0039608F" w:rsidP="007F0D72">
      <w:r>
        <w:separator/>
      </w:r>
    </w:p>
  </w:endnote>
  <w:endnote w:type="continuationSeparator" w:id="0">
    <w:p w:rsidR="0039608F" w:rsidRDefault="0039608F"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26" w:rsidRPr="001F2A93" w:rsidRDefault="00936AB8" w:rsidP="001F2A93">
    <w:pPr>
      <w:pStyle w:val="Fuzeile"/>
      <w:framePr w:w="8369" w:h="799" w:hRule="exact" w:wrap="notBeside" w:vAnchor="text" w:hAnchor="page" w:x="1135" w:y="-1190" w:anchorLock="1"/>
      <w:rPr>
        <w:sz w:val="18"/>
        <w:szCs w:val="18"/>
      </w:rPr>
    </w:pPr>
    <w:r>
      <w:rPr>
        <w:sz w:val="18"/>
        <w:szCs w:val="18"/>
      </w:rPr>
      <w:t xml:space="preserve">PM </w:t>
    </w:r>
    <w:r w:rsidR="007C66FC">
      <w:rPr>
        <w:sz w:val="18"/>
        <w:szCs w:val="18"/>
      </w:rPr>
      <w:t xml:space="preserve">Fachtagung </w:t>
    </w:r>
    <w:r w:rsidR="00DA1E48">
      <w:rPr>
        <w:sz w:val="18"/>
        <w:szCs w:val="18"/>
      </w:rPr>
      <w:t>„</w:t>
    </w:r>
    <w:r w:rsidR="007C66FC">
      <w:rPr>
        <w:sz w:val="18"/>
        <w:szCs w:val="18"/>
      </w:rPr>
      <w:t xml:space="preserve">Demenz und </w:t>
    </w:r>
    <w:r w:rsidR="00AE6E5A">
      <w:rPr>
        <w:sz w:val="18"/>
        <w:szCs w:val="18"/>
      </w:rPr>
      <w:t>Migration</w:t>
    </w:r>
    <w:r w:rsidR="001F2A93">
      <w:rPr>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A8" w:rsidRPr="00CA7F93" w:rsidRDefault="001B02A8" w:rsidP="001B02A8">
    <w:pPr>
      <w:pStyle w:val="Fuzeile"/>
      <w:framePr w:w="8369" w:h="799" w:hRule="exact" w:wrap="notBeside" w:vAnchor="text" w:hAnchor="page" w:x="1135" w:y="-1190" w:anchorLock="1"/>
      <w:rPr>
        <w:sz w:val="18"/>
        <w:szCs w:val="18"/>
      </w:rPr>
    </w:pPr>
    <w:r>
      <w:rPr>
        <w:sz w:val="18"/>
        <w:szCs w:val="18"/>
      </w:rPr>
      <w:t xml:space="preserve">PM </w:t>
    </w:r>
    <w:r w:rsidR="007C66FC">
      <w:rPr>
        <w:sz w:val="18"/>
        <w:szCs w:val="18"/>
      </w:rPr>
      <w:t>Fachtagung</w:t>
    </w:r>
    <w:r w:rsidR="00F30363">
      <w:rPr>
        <w:sz w:val="18"/>
        <w:szCs w:val="18"/>
      </w:rPr>
      <w:t xml:space="preserve"> </w:t>
    </w:r>
    <w:r>
      <w:rPr>
        <w:sz w:val="18"/>
        <w:szCs w:val="18"/>
      </w:rPr>
      <w:t>„</w:t>
    </w:r>
    <w:r w:rsidR="007C66FC">
      <w:rPr>
        <w:sz w:val="18"/>
        <w:szCs w:val="18"/>
      </w:rPr>
      <w:t xml:space="preserve">Demenz und </w:t>
    </w:r>
    <w:r w:rsidR="008904C9">
      <w:rPr>
        <w:sz w:val="18"/>
        <w:szCs w:val="18"/>
      </w:rPr>
      <w:t>Migration</w:t>
    </w:r>
    <w:r>
      <w:rPr>
        <w:sz w:val="18"/>
        <w:szCs w:val="18"/>
      </w:rPr>
      <w:t>“</w:t>
    </w:r>
  </w:p>
  <w:p w:rsidR="005506F7" w:rsidRPr="001B02A8" w:rsidRDefault="005506F7" w:rsidP="001B02A8">
    <w:pPr>
      <w:pStyle w:val="Fuzeile"/>
      <w:framePr w:wrap="notBesid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8F" w:rsidRDefault="0039608F" w:rsidP="007F0D72">
      <w:r>
        <w:separator/>
      </w:r>
    </w:p>
  </w:footnote>
  <w:footnote w:type="continuationSeparator" w:id="0">
    <w:p w:rsidR="0039608F" w:rsidRDefault="0039608F"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C0EB2E6" wp14:editId="7AF1E4D6">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589"/>
    <w:multiLevelType w:val="hybridMultilevel"/>
    <w:tmpl w:val="21FAF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2F07FEC"/>
    <w:multiLevelType w:val="hybridMultilevel"/>
    <w:tmpl w:val="A6CEA1DA"/>
    <w:lvl w:ilvl="0" w:tplc="B2D2938C">
      <w:start w:val="1"/>
      <w:numFmt w:val="bullet"/>
      <w:lvlText w:val=""/>
      <w:lvlJc w:val="left"/>
      <w:pPr>
        <w:tabs>
          <w:tab w:val="num" w:pos="720"/>
        </w:tabs>
        <w:ind w:left="720" w:hanging="360"/>
      </w:pPr>
      <w:rPr>
        <w:rFonts w:ascii="Wingdings" w:hAnsi="Wingdings" w:hint="default"/>
      </w:rPr>
    </w:lvl>
    <w:lvl w:ilvl="1" w:tplc="DA382394" w:tentative="1">
      <w:start w:val="1"/>
      <w:numFmt w:val="bullet"/>
      <w:lvlText w:val=""/>
      <w:lvlJc w:val="left"/>
      <w:pPr>
        <w:tabs>
          <w:tab w:val="num" w:pos="1440"/>
        </w:tabs>
        <w:ind w:left="1440" w:hanging="360"/>
      </w:pPr>
      <w:rPr>
        <w:rFonts w:ascii="Wingdings" w:hAnsi="Wingdings" w:hint="default"/>
      </w:rPr>
    </w:lvl>
    <w:lvl w:ilvl="2" w:tplc="3698E53C" w:tentative="1">
      <w:start w:val="1"/>
      <w:numFmt w:val="bullet"/>
      <w:lvlText w:val=""/>
      <w:lvlJc w:val="left"/>
      <w:pPr>
        <w:tabs>
          <w:tab w:val="num" w:pos="2160"/>
        </w:tabs>
        <w:ind w:left="2160" w:hanging="360"/>
      </w:pPr>
      <w:rPr>
        <w:rFonts w:ascii="Wingdings" w:hAnsi="Wingdings" w:hint="default"/>
      </w:rPr>
    </w:lvl>
    <w:lvl w:ilvl="3" w:tplc="F6166C7C" w:tentative="1">
      <w:start w:val="1"/>
      <w:numFmt w:val="bullet"/>
      <w:lvlText w:val=""/>
      <w:lvlJc w:val="left"/>
      <w:pPr>
        <w:tabs>
          <w:tab w:val="num" w:pos="2880"/>
        </w:tabs>
        <w:ind w:left="2880" w:hanging="360"/>
      </w:pPr>
      <w:rPr>
        <w:rFonts w:ascii="Wingdings" w:hAnsi="Wingdings" w:hint="default"/>
      </w:rPr>
    </w:lvl>
    <w:lvl w:ilvl="4" w:tplc="45229F58" w:tentative="1">
      <w:start w:val="1"/>
      <w:numFmt w:val="bullet"/>
      <w:lvlText w:val=""/>
      <w:lvlJc w:val="left"/>
      <w:pPr>
        <w:tabs>
          <w:tab w:val="num" w:pos="3600"/>
        </w:tabs>
        <w:ind w:left="3600" w:hanging="360"/>
      </w:pPr>
      <w:rPr>
        <w:rFonts w:ascii="Wingdings" w:hAnsi="Wingdings" w:hint="default"/>
      </w:rPr>
    </w:lvl>
    <w:lvl w:ilvl="5" w:tplc="92D69854" w:tentative="1">
      <w:start w:val="1"/>
      <w:numFmt w:val="bullet"/>
      <w:lvlText w:val=""/>
      <w:lvlJc w:val="left"/>
      <w:pPr>
        <w:tabs>
          <w:tab w:val="num" w:pos="4320"/>
        </w:tabs>
        <w:ind w:left="4320" w:hanging="360"/>
      </w:pPr>
      <w:rPr>
        <w:rFonts w:ascii="Wingdings" w:hAnsi="Wingdings" w:hint="default"/>
      </w:rPr>
    </w:lvl>
    <w:lvl w:ilvl="6" w:tplc="77E4D2C6" w:tentative="1">
      <w:start w:val="1"/>
      <w:numFmt w:val="bullet"/>
      <w:lvlText w:val=""/>
      <w:lvlJc w:val="left"/>
      <w:pPr>
        <w:tabs>
          <w:tab w:val="num" w:pos="5040"/>
        </w:tabs>
        <w:ind w:left="5040" w:hanging="360"/>
      </w:pPr>
      <w:rPr>
        <w:rFonts w:ascii="Wingdings" w:hAnsi="Wingdings" w:hint="default"/>
      </w:rPr>
    </w:lvl>
    <w:lvl w:ilvl="7" w:tplc="7DFA4858" w:tentative="1">
      <w:start w:val="1"/>
      <w:numFmt w:val="bullet"/>
      <w:lvlText w:val=""/>
      <w:lvlJc w:val="left"/>
      <w:pPr>
        <w:tabs>
          <w:tab w:val="num" w:pos="5760"/>
        </w:tabs>
        <w:ind w:left="5760" w:hanging="360"/>
      </w:pPr>
      <w:rPr>
        <w:rFonts w:ascii="Wingdings" w:hAnsi="Wingdings" w:hint="default"/>
      </w:rPr>
    </w:lvl>
    <w:lvl w:ilvl="8" w:tplc="DBD4F6A6" w:tentative="1">
      <w:start w:val="1"/>
      <w:numFmt w:val="bullet"/>
      <w:lvlText w:val=""/>
      <w:lvlJc w:val="left"/>
      <w:pPr>
        <w:tabs>
          <w:tab w:val="num" w:pos="6480"/>
        </w:tabs>
        <w:ind w:left="6480" w:hanging="360"/>
      </w:pPr>
      <w:rPr>
        <w:rFonts w:ascii="Wingdings" w:hAnsi="Wingdings" w:hint="default"/>
      </w:rPr>
    </w:lvl>
  </w:abstractNum>
  <w:abstractNum w:abstractNumId="2">
    <w:nsid w:val="35B3533D"/>
    <w:multiLevelType w:val="hybridMultilevel"/>
    <w:tmpl w:val="1974BDD6"/>
    <w:lvl w:ilvl="0" w:tplc="37DC5910">
      <w:start w:val="1"/>
      <w:numFmt w:val="bullet"/>
      <w:lvlText w:val=""/>
      <w:lvlJc w:val="left"/>
      <w:pPr>
        <w:tabs>
          <w:tab w:val="num" w:pos="720"/>
        </w:tabs>
        <w:ind w:left="720" w:hanging="360"/>
      </w:pPr>
      <w:rPr>
        <w:rFonts w:ascii="Wingdings" w:hAnsi="Wingdings" w:hint="default"/>
      </w:rPr>
    </w:lvl>
    <w:lvl w:ilvl="1" w:tplc="3C74BBF2" w:tentative="1">
      <w:start w:val="1"/>
      <w:numFmt w:val="bullet"/>
      <w:lvlText w:val=""/>
      <w:lvlJc w:val="left"/>
      <w:pPr>
        <w:tabs>
          <w:tab w:val="num" w:pos="1440"/>
        </w:tabs>
        <w:ind w:left="1440" w:hanging="360"/>
      </w:pPr>
      <w:rPr>
        <w:rFonts w:ascii="Wingdings" w:hAnsi="Wingdings" w:hint="default"/>
      </w:rPr>
    </w:lvl>
    <w:lvl w:ilvl="2" w:tplc="DB68B26C" w:tentative="1">
      <w:start w:val="1"/>
      <w:numFmt w:val="bullet"/>
      <w:lvlText w:val=""/>
      <w:lvlJc w:val="left"/>
      <w:pPr>
        <w:tabs>
          <w:tab w:val="num" w:pos="2160"/>
        </w:tabs>
        <w:ind w:left="2160" w:hanging="360"/>
      </w:pPr>
      <w:rPr>
        <w:rFonts w:ascii="Wingdings" w:hAnsi="Wingdings" w:hint="default"/>
      </w:rPr>
    </w:lvl>
    <w:lvl w:ilvl="3" w:tplc="5216A8D0" w:tentative="1">
      <w:start w:val="1"/>
      <w:numFmt w:val="bullet"/>
      <w:lvlText w:val=""/>
      <w:lvlJc w:val="left"/>
      <w:pPr>
        <w:tabs>
          <w:tab w:val="num" w:pos="2880"/>
        </w:tabs>
        <w:ind w:left="2880" w:hanging="360"/>
      </w:pPr>
      <w:rPr>
        <w:rFonts w:ascii="Wingdings" w:hAnsi="Wingdings" w:hint="default"/>
      </w:rPr>
    </w:lvl>
    <w:lvl w:ilvl="4" w:tplc="E62CC1B2" w:tentative="1">
      <w:start w:val="1"/>
      <w:numFmt w:val="bullet"/>
      <w:lvlText w:val=""/>
      <w:lvlJc w:val="left"/>
      <w:pPr>
        <w:tabs>
          <w:tab w:val="num" w:pos="3600"/>
        </w:tabs>
        <w:ind w:left="3600" w:hanging="360"/>
      </w:pPr>
      <w:rPr>
        <w:rFonts w:ascii="Wingdings" w:hAnsi="Wingdings" w:hint="default"/>
      </w:rPr>
    </w:lvl>
    <w:lvl w:ilvl="5" w:tplc="4404DC56" w:tentative="1">
      <w:start w:val="1"/>
      <w:numFmt w:val="bullet"/>
      <w:lvlText w:val=""/>
      <w:lvlJc w:val="left"/>
      <w:pPr>
        <w:tabs>
          <w:tab w:val="num" w:pos="4320"/>
        </w:tabs>
        <w:ind w:left="4320" w:hanging="360"/>
      </w:pPr>
      <w:rPr>
        <w:rFonts w:ascii="Wingdings" w:hAnsi="Wingdings" w:hint="default"/>
      </w:rPr>
    </w:lvl>
    <w:lvl w:ilvl="6" w:tplc="91004D62" w:tentative="1">
      <w:start w:val="1"/>
      <w:numFmt w:val="bullet"/>
      <w:lvlText w:val=""/>
      <w:lvlJc w:val="left"/>
      <w:pPr>
        <w:tabs>
          <w:tab w:val="num" w:pos="5040"/>
        </w:tabs>
        <w:ind w:left="5040" w:hanging="360"/>
      </w:pPr>
      <w:rPr>
        <w:rFonts w:ascii="Wingdings" w:hAnsi="Wingdings" w:hint="default"/>
      </w:rPr>
    </w:lvl>
    <w:lvl w:ilvl="7" w:tplc="0B32F9F6" w:tentative="1">
      <w:start w:val="1"/>
      <w:numFmt w:val="bullet"/>
      <w:lvlText w:val=""/>
      <w:lvlJc w:val="left"/>
      <w:pPr>
        <w:tabs>
          <w:tab w:val="num" w:pos="5760"/>
        </w:tabs>
        <w:ind w:left="5760" w:hanging="360"/>
      </w:pPr>
      <w:rPr>
        <w:rFonts w:ascii="Wingdings" w:hAnsi="Wingdings" w:hint="default"/>
      </w:rPr>
    </w:lvl>
    <w:lvl w:ilvl="8" w:tplc="16B6977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12895"/>
    <w:rsid w:val="0004598B"/>
    <w:rsid w:val="00055160"/>
    <w:rsid w:val="0006451F"/>
    <w:rsid w:val="00065E71"/>
    <w:rsid w:val="000777AB"/>
    <w:rsid w:val="00084AD0"/>
    <w:rsid w:val="00095069"/>
    <w:rsid w:val="00096B1E"/>
    <w:rsid w:val="000A5BA7"/>
    <w:rsid w:val="000D2D2C"/>
    <w:rsid w:val="000E2B39"/>
    <w:rsid w:val="000E2BC7"/>
    <w:rsid w:val="00106426"/>
    <w:rsid w:val="00111AFC"/>
    <w:rsid w:val="00116903"/>
    <w:rsid w:val="0012145F"/>
    <w:rsid w:val="00121893"/>
    <w:rsid w:val="0012561B"/>
    <w:rsid w:val="00140541"/>
    <w:rsid w:val="0014397B"/>
    <w:rsid w:val="00150D00"/>
    <w:rsid w:val="00166BC5"/>
    <w:rsid w:val="00170C8C"/>
    <w:rsid w:val="001851BA"/>
    <w:rsid w:val="0019028F"/>
    <w:rsid w:val="001A7519"/>
    <w:rsid w:val="001A7B7E"/>
    <w:rsid w:val="001B02A8"/>
    <w:rsid w:val="001C6D98"/>
    <w:rsid w:val="001D51AD"/>
    <w:rsid w:val="001F2A93"/>
    <w:rsid w:val="00201D2D"/>
    <w:rsid w:val="0021573E"/>
    <w:rsid w:val="00221074"/>
    <w:rsid w:val="002256B7"/>
    <w:rsid w:val="00230F05"/>
    <w:rsid w:val="00231245"/>
    <w:rsid w:val="00264B57"/>
    <w:rsid w:val="002650EE"/>
    <w:rsid w:val="002667D0"/>
    <w:rsid w:val="00282AFB"/>
    <w:rsid w:val="002A2B9E"/>
    <w:rsid w:val="002B2564"/>
    <w:rsid w:val="002B4DDC"/>
    <w:rsid w:val="002D0A87"/>
    <w:rsid w:val="002E21B1"/>
    <w:rsid w:val="002E4225"/>
    <w:rsid w:val="0030058D"/>
    <w:rsid w:val="003011C8"/>
    <w:rsid w:val="00323F3D"/>
    <w:rsid w:val="003309E8"/>
    <w:rsid w:val="00334F16"/>
    <w:rsid w:val="00337EDA"/>
    <w:rsid w:val="00340971"/>
    <w:rsid w:val="00342643"/>
    <w:rsid w:val="00345E9F"/>
    <w:rsid w:val="00353934"/>
    <w:rsid w:val="00354130"/>
    <w:rsid w:val="00367D84"/>
    <w:rsid w:val="003847E3"/>
    <w:rsid w:val="00392AC6"/>
    <w:rsid w:val="0039608F"/>
    <w:rsid w:val="003B1485"/>
    <w:rsid w:val="003B1882"/>
    <w:rsid w:val="003C702B"/>
    <w:rsid w:val="003E617A"/>
    <w:rsid w:val="003F2AE3"/>
    <w:rsid w:val="0040468F"/>
    <w:rsid w:val="00421C52"/>
    <w:rsid w:val="00430593"/>
    <w:rsid w:val="0043464E"/>
    <w:rsid w:val="004350AF"/>
    <w:rsid w:val="00435B3F"/>
    <w:rsid w:val="0043771A"/>
    <w:rsid w:val="00437D40"/>
    <w:rsid w:val="00475156"/>
    <w:rsid w:val="00496717"/>
    <w:rsid w:val="00521127"/>
    <w:rsid w:val="0052145A"/>
    <w:rsid w:val="005506F7"/>
    <w:rsid w:val="00584494"/>
    <w:rsid w:val="0059118D"/>
    <w:rsid w:val="005E2CB5"/>
    <w:rsid w:val="00636BD9"/>
    <w:rsid w:val="00665576"/>
    <w:rsid w:val="006666BA"/>
    <w:rsid w:val="00680347"/>
    <w:rsid w:val="006A61F7"/>
    <w:rsid w:val="006B6EFB"/>
    <w:rsid w:val="006E4E69"/>
    <w:rsid w:val="007115F3"/>
    <w:rsid w:val="00734115"/>
    <w:rsid w:val="0074242E"/>
    <w:rsid w:val="0074273D"/>
    <w:rsid w:val="00743B59"/>
    <w:rsid w:val="00745D85"/>
    <w:rsid w:val="007732DF"/>
    <w:rsid w:val="007847C3"/>
    <w:rsid w:val="00793D10"/>
    <w:rsid w:val="007A4049"/>
    <w:rsid w:val="007C66FC"/>
    <w:rsid w:val="007D5217"/>
    <w:rsid w:val="007D6DAE"/>
    <w:rsid w:val="007E2159"/>
    <w:rsid w:val="007F0D72"/>
    <w:rsid w:val="007F11A9"/>
    <w:rsid w:val="007F4E1C"/>
    <w:rsid w:val="00804817"/>
    <w:rsid w:val="00822D38"/>
    <w:rsid w:val="00842AD6"/>
    <w:rsid w:val="00853442"/>
    <w:rsid w:val="00855B95"/>
    <w:rsid w:val="008610EC"/>
    <w:rsid w:val="00874AB7"/>
    <w:rsid w:val="008904C9"/>
    <w:rsid w:val="008A01BB"/>
    <w:rsid w:val="008B5D58"/>
    <w:rsid w:val="008C34E6"/>
    <w:rsid w:val="008C4ECF"/>
    <w:rsid w:val="008D58A5"/>
    <w:rsid w:val="008E2DC8"/>
    <w:rsid w:val="0090259D"/>
    <w:rsid w:val="00905D91"/>
    <w:rsid w:val="00910F81"/>
    <w:rsid w:val="00936AB8"/>
    <w:rsid w:val="00974C65"/>
    <w:rsid w:val="00977769"/>
    <w:rsid w:val="00993CDF"/>
    <w:rsid w:val="009B41FB"/>
    <w:rsid w:val="009C5B56"/>
    <w:rsid w:val="009D035E"/>
    <w:rsid w:val="009D0977"/>
    <w:rsid w:val="009E1700"/>
    <w:rsid w:val="00A12BF1"/>
    <w:rsid w:val="00A178FC"/>
    <w:rsid w:val="00A227CD"/>
    <w:rsid w:val="00A54CF0"/>
    <w:rsid w:val="00A55166"/>
    <w:rsid w:val="00A627C3"/>
    <w:rsid w:val="00A77D5C"/>
    <w:rsid w:val="00A973CF"/>
    <w:rsid w:val="00AC76CB"/>
    <w:rsid w:val="00AD76B7"/>
    <w:rsid w:val="00AE17A6"/>
    <w:rsid w:val="00AE19B2"/>
    <w:rsid w:val="00AE6E5A"/>
    <w:rsid w:val="00AF104E"/>
    <w:rsid w:val="00AF2290"/>
    <w:rsid w:val="00AF7D40"/>
    <w:rsid w:val="00B2165A"/>
    <w:rsid w:val="00B23C43"/>
    <w:rsid w:val="00B33C67"/>
    <w:rsid w:val="00B37D6D"/>
    <w:rsid w:val="00B85D3F"/>
    <w:rsid w:val="00BB17ED"/>
    <w:rsid w:val="00BB2339"/>
    <w:rsid w:val="00BB7202"/>
    <w:rsid w:val="00BD45AF"/>
    <w:rsid w:val="00BF0C68"/>
    <w:rsid w:val="00C00592"/>
    <w:rsid w:val="00C13E1D"/>
    <w:rsid w:val="00C21987"/>
    <w:rsid w:val="00C27880"/>
    <w:rsid w:val="00C33343"/>
    <w:rsid w:val="00C45D5E"/>
    <w:rsid w:val="00C47196"/>
    <w:rsid w:val="00C664C3"/>
    <w:rsid w:val="00C67310"/>
    <w:rsid w:val="00C85B09"/>
    <w:rsid w:val="00CA211C"/>
    <w:rsid w:val="00CA6EA2"/>
    <w:rsid w:val="00CA7F93"/>
    <w:rsid w:val="00CB4B5F"/>
    <w:rsid w:val="00CC5060"/>
    <w:rsid w:val="00CD4697"/>
    <w:rsid w:val="00CE6A54"/>
    <w:rsid w:val="00CF10AB"/>
    <w:rsid w:val="00D00711"/>
    <w:rsid w:val="00D271DF"/>
    <w:rsid w:val="00D307C6"/>
    <w:rsid w:val="00D47539"/>
    <w:rsid w:val="00D66F78"/>
    <w:rsid w:val="00D73147"/>
    <w:rsid w:val="00D85B30"/>
    <w:rsid w:val="00D85C6D"/>
    <w:rsid w:val="00D85DE4"/>
    <w:rsid w:val="00D96CEC"/>
    <w:rsid w:val="00DA1E48"/>
    <w:rsid w:val="00DC6EE0"/>
    <w:rsid w:val="00DD188D"/>
    <w:rsid w:val="00DD25E7"/>
    <w:rsid w:val="00DE313F"/>
    <w:rsid w:val="00DE5473"/>
    <w:rsid w:val="00DF7031"/>
    <w:rsid w:val="00E0610E"/>
    <w:rsid w:val="00E206B5"/>
    <w:rsid w:val="00E21FC4"/>
    <w:rsid w:val="00E34B96"/>
    <w:rsid w:val="00E41896"/>
    <w:rsid w:val="00E7042D"/>
    <w:rsid w:val="00E77A7C"/>
    <w:rsid w:val="00EA3822"/>
    <w:rsid w:val="00EA5251"/>
    <w:rsid w:val="00EB4ABC"/>
    <w:rsid w:val="00EB7451"/>
    <w:rsid w:val="00EC5100"/>
    <w:rsid w:val="00ED06DC"/>
    <w:rsid w:val="00ED4375"/>
    <w:rsid w:val="00EF02BA"/>
    <w:rsid w:val="00EF10E9"/>
    <w:rsid w:val="00EF49BB"/>
    <w:rsid w:val="00F10B9F"/>
    <w:rsid w:val="00F21692"/>
    <w:rsid w:val="00F249F3"/>
    <w:rsid w:val="00F30363"/>
    <w:rsid w:val="00F3646B"/>
    <w:rsid w:val="00F45852"/>
    <w:rsid w:val="00F64C73"/>
    <w:rsid w:val="00F64F51"/>
    <w:rsid w:val="00F7208F"/>
    <w:rsid w:val="00F81FBD"/>
    <w:rsid w:val="00F820E3"/>
    <w:rsid w:val="00F85479"/>
    <w:rsid w:val="00F95841"/>
    <w:rsid w:val="00F96365"/>
    <w:rsid w:val="00FD26B9"/>
    <w:rsid w:val="00FD75A2"/>
    <w:rsid w:val="00FE0565"/>
    <w:rsid w:val="00FE2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paragraph" w:styleId="Listenabsatz">
    <w:name w:val="List Paragraph"/>
    <w:basedOn w:val="Standard"/>
    <w:uiPriority w:val="34"/>
    <w:qFormat/>
    <w:rsid w:val="001F2A93"/>
    <w:pPr>
      <w:ind w:left="720"/>
      <w:contextualSpacing/>
    </w:pPr>
  </w:style>
  <w:style w:type="character" w:styleId="Kommentarzeichen">
    <w:name w:val="annotation reference"/>
    <w:basedOn w:val="Absatz-Standardschriftart"/>
    <w:uiPriority w:val="99"/>
    <w:semiHidden/>
    <w:unhideWhenUsed/>
    <w:rsid w:val="00FE0565"/>
    <w:rPr>
      <w:sz w:val="16"/>
      <w:szCs w:val="16"/>
    </w:rPr>
  </w:style>
  <w:style w:type="paragraph" w:styleId="Kommentartext">
    <w:name w:val="annotation text"/>
    <w:basedOn w:val="Standard"/>
    <w:link w:val="KommentartextZchn"/>
    <w:uiPriority w:val="99"/>
    <w:semiHidden/>
    <w:unhideWhenUsed/>
    <w:rsid w:val="00FE05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0565"/>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E0565"/>
    <w:rPr>
      <w:b/>
      <w:bCs/>
    </w:rPr>
  </w:style>
  <w:style w:type="character" w:customStyle="1" w:styleId="KommentarthemaZchn">
    <w:name w:val="Kommentarthema Zchn"/>
    <w:basedOn w:val="KommentartextZchn"/>
    <w:link w:val="Kommentarthema"/>
    <w:uiPriority w:val="99"/>
    <w:semiHidden/>
    <w:rsid w:val="00FE0565"/>
    <w:rPr>
      <w:rFonts w:ascii="Source Sans Pro" w:eastAsia="Times New Roman" w:hAnsi="Source Sans Pro"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paragraph" w:styleId="Listenabsatz">
    <w:name w:val="List Paragraph"/>
    <w:basedOn w:val="Standard"/>
    <w:uiPriority w:val="34"/>
    <w:qFormat/>
    <w:rsid w:val="001F2A93"/>
    <w:pPr>
      <w:ind w:left="720"/>
      <w:contextualSpacing/>
    </w:pPr>
  </w:style>
  <w:style w:type="character" w:styleId="Kommentarzeichen">
    <w:name w:val="annotation reference"/>
    <w:basedOn w:val="Absatz-Standardschriftart"/>
    <w:uiPriority w:val="99"/>
    <w:semiHidden/>
    <w:unhideWhenUsed/>
    <w:rsid w:val="00FE0565"/>
    <w:rPr>
      <w:sz w:val="16"/>
      <w:szCs w:val="16"/>
    </w:rPr>
  </w:style>
  <w:style w:type="paragraph" w:styleId="Kommentartext">
    <w:name w:val="annotation text"/>
    <w:basedOn w:val="Standard"/>
    <w:link w:val="KommentartextZchn"/>
    <w:uiPriority w:val="99"/>
    <w:semiHidden/>
    <w:unhideWhenUsed/>
    <w:rsid w:val="00FE05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0565"/>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E0565"/>
    <w:rPr>
      <w:b/>
      <w:bCs/>
    </w:rPr>
  </w:style>
  <w:style w:type="character" w:customStyle="1" w:styleId="KommentarthemaZchn">
    <w:name w:val="Kommentarthema Zchn"/>
    <w:basedOn w:val="KommentartextZchn"/>
    <w:link w:val="Kommentarthema"/>
    <w:uiPriority w:val="99"/>
    <w:semiHidden/>
    <w:rsid w:val="00FE0565"/>
    <w:rPr>
      <w:rFonts w:ascii="Source Sans Pro" w:eastAsia="Times New Roman" w:hAnsi="Source Sans Pro"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207">
      <w:bodyDiv w:val="1"/>
      <w:marLeft w:val="0"/>
      <w:marRight w:val="0"/>
      <w:marTop w:val="0"/>
      <w:marBottom w:val="0"/>
      <w:divBdr>
        <w:top w:val="none" w:sz="0" w:space="0" w:color="auto"/>
        <w:left w:val="none" w:sz="0" w:space="0" w:color="auto"/>
        <w:bottom w:val="none" w:sz="0" w:space="0" w:color="auto"/>
        <w:right w:val="none" w:sz="0" w:space="0" w:color="auto"/>
      </w:divBdr>
    </w:div>
    <w:div w:id="766776869">
      <w:bodyDiv w:val="1"/>
      <w:marLeft w:val="0"/>
      <w:marRight w:val="0"/>
      <w:marTop w:val="0"/>
      <w:marBottom w:val="0"/>
      <w:divBdr>
        <w:top w:val="none" w:sz="0" w:space="0" w:color="auto"/>
        <w:left w:val="none" w:sz="0" w:space="0" w:color="auto"/>
        <w:bottom w:val="none" w:sz="0" w:space="0" w:color="auto"/>
        <w:right w:val="none" w:sz="0" w:space="0" w:color="auto"/>
      </w:divBdr>
      <w:divsChild>
        <w:div w:id="336539142">
          <w:marLeft w:val="446"/>
          <w:marRight w:val="0"/>
          <w:marTop w:val="0"/>
          <w:marBottom w:val="0"/>
          <w:divBdr>
            <w:top w:val="none" w:sz="0" w:space="0" w:color="auto"/>
            <w:left w:val="none" w:sz="0" w:space="0" w:color="auto"/>
            <w:bottom w:val="none" w:sz="0" w:space="0" w:color="auto"/>
            <w:right w:val="none" w:sz="0" w:space="0" w:color="auto"/>
          </w:divBdr>
        </w:div>
      </w:divsChild>
    </w:div>
    <w:div w:id="831068298">
      <w:bodyDiv w:val="1"/>
      <w:marLeft w:val="0"/>
      <w:marRight w:val="0"/>
      <w:marTop w:val="0"/>
      <w:marBottom w:val="0"/>
      <w:divBdr>
        <w:top w:val="none" w:sz="0" w:space="0" w:color="auto"/>
        <w:left w:val="none" w:sz="0" w:space="0" w:color="auto"/>
        <w:bottom w:val="none" w:sz="0" w:space="0" w:color="auto"/>
        <w:right w:val="none" w:sz="0" w:space="0" w:color="auto"/>
      </w:divBdr>
    </w:div>
    <w:div w:id="906838993">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339387502">
      <w:bodyDiv w:val="1"/>
      <w:marLeft w:val="0"/>
      <w:marRight w:val="0"/>
      <w:marTop w:val="0"/>
      <w:marBottom w:val="0"/>
      <w:divBdr>
        <w:top w:val="none" w:sz="0" w:space="0" w:color="auto"/>
        <w:left w:val="none" w:sz="0" w:space="0" w:color="auto"/>
        <w:bottom w:val="none" w:sz="0" w:space="0" w:color="auto"/>
        <w:right w:val="none" w:sz="0" w:space="0" w:color="auto"/>
      </w:divBdr>
      <w:divsChild>
        <w:div w:id="1449885250">
          <w:marLeft w:val="446"/>
          <w:marRight w:val="0"/>
          <w:marTop w:val="0"/>
          <w:marBottom w:val="0"/>
          <w:divBdr>
            <w:top w:val="none" w:sz="0" w:space="0" w:color="auto"/>
            <w:left w:val="none" w:sz="0" w:space="0" w:color="auto"/>
            <w:bottom w:val="none" w:sz="0" w:space="0" w:color="auto"/>
            <w:right w:val="none" w:sz="0" w:space="0" w:color="auto"/>
          </w:divBdr>
        </w:div>
      </w:divsChild>
    </w:div>
    <w:div w:id="1717005633">
      <w:bodyDiv w:val="1"/>
      <w:marLeft w:val="0"/>
      <w:marRight w:val="0"/>
      <w:marTop w:val="0"/>
      <w:marBottom w:val="0"/>
      <w:divBdr>
        <w:top w:val="none" w:sz="0" w:space="0" w:color="auto"/>
        <w:left w:val="none" w:sz="0" w:space="0" w:color="auto"/>
        <w:bottom w:val="none" w:sz="0" w:space="0" w:color="auto"/>
        <w:right w:val="none" w:sz="0" w:space="0" w:color="auto"/>
      </w:divBdr>
      <w:divsChild>
        <w:div w:id="75515168">
          <w:marLeft w:val="446"/>
          <w:marRight w:val="0"/>
          <w:marTop w:val="0"/>
          <w:marBottom w:val="0"/>
          <w:divBdr>
            <w:top w:val="none" w:sz="0" w:space="0" w:color="auto"/>
            <w:left w:val="none" w:sz="0" w:space="0" w:color="auto"/>
            <w:bottom w:val="none" w:sz="0" w:space="0" w:color="auto"/>
            <w:right w:val="none" w:sz="0" w:space="0" w:color="auto"/>
          </w:divBdr>
        </w:div>
      </w:divsChild>
    </w:div>
    <w:div w:id="20722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utsche-alzheime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deutsche-alzheimer.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menz-und-migration.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emenz-und-migrati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2402-12C8-4649-9CAB-41731A38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DAlzG_Briefbogen_2018_11_13.dotx</Template>
  <TotalTime>0</TotalTime>
  <Pages>4</Pages>
  <Words>697</Words>
  <Characters>4393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Susanna Saxl, Deutsche Alzheimer Gesellschaft</cp:lastModifiedBy>
  <cp:revision>25</cp:revision>
  <cp:lastPrinted>2019-09-09T13:46:00Z</cp:lastPrinted>
  <dcterms:created xsi:type="dcterms:W3CDTF">2019-12-03T13:15:00Z</dcterms:created>
  <dcterms:modified xsi:type="dcterms:W3CDTF">2019-12-04T15:40:00Z</dcterms:modified>
</cp:coreProperties>
</file>