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P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48AD3AD" w14:textId="77777777" w:rsidR="003A2117" w:rsidRDefault="008D192A" w:rsidP="003A2117">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380B8EE3" w14:textId="77777777" w:rsidR="00CE6322" w:rsidRPr="00926A1F" w:rsidRDefault="00CE6322" w:rsidP="00CE6322">
      <w:pPr>
        <w:rPr>
          <w:rFonts w:cs="Arial"/>
          <w:b/>
          <w:szCs w:val="22"/>
          <w:lang w:eastAsia="ja-JP"/>
        </w:rPr>
      </w:pPr>
      <w:r w:rsidRPr="00926A1F">
        <w:rPr>
          <w:rFonts w:cs="Arial"/>
          <w:b/>
          <w:szCs w:val="22"/>
          <w:lang w:eastAsia="ja-JP"/>
        </w:rPr>
        <w:t>Stürme, Starkregen</w:t>
      </w:r>
      <w:r>
        <w:rPr>
          <w:rFonts w:cs="Arial"/>
          <w:b/>
          <w:szCs w:val="22"/>
          <w:lang w:eastAsia="ja-JP"/>
        </w:rPr>
        <w:t>, Hagel</w:t>
      </w:r>
      <w:r w:rsidRPr="00926A1F">
        <w:rPr>
          <w:rFonts w:cs="Arial"/>
          <w:b/>
          <w:szCs w:val="22"/>
          <w:lang w:eastAsia="ja-JP"/>
        </w:rPr>
        <w:t xml:space="preserve"> und Überschwemmungen - ist mein Haus fit für den Klimawandel?</w:t>
      </w:r>
    </w:p>
    <w:p w14:paraId="2E7579ED" w14:textId="77777777" w:rsidR="00CE6322" w:rsidRPr="00926A1F" w:rsidRDefault="00CE6322" w:rsidP="00CE6322">
      <w:pPr>
        <w:rPr>
          <w:rFonts w:cs="Arial"/>
          <w:szCs w:val="22"/>
          <w:lang w:eastAsia="ja-JP"/>
        </w:rPr>
      </w:pPr>
    </w:p>
    <w:p w14:paraId="6BD33C4E" w14:textId="77777777" w:rsidR="00CE6322" w:rsidRPr="00926A1F" w:rsidRDefault="00CE6322" w:rsidP="00CE6322">
      <w:pPr>
        <w:rPr>
          <w:rFonts w:cs="Arial"/>
          <w:szCs w:val="22"/>
          <w:lang w:eastAsia="ja-JP"/>
        </w:rPr>
      </w:pPr>
      <w:r w:rsidRPr="00926A1F">
        <w:rPr>
          <w:rFonts w:cs="Arial"/>
          <w:szCs w:val="22"/>
          <w:lang w:eastAsia="ja-JP"/>
        </w:rPr>
        <w:t xml:space="preserve">Häufiger Starkregen, Überschwemmungen und Stürme sind Kennzeichen des Klimawandels, die auch auf Hausbesitzer Auswirkungen haben. Prognosen gehen davon </w:t>
      </w:r>
      <w:r>
        <w:rPr>
          <w:rFonts w:cs="Arial"/>
          <w:szCs w:val="22"/>
          <w:lang w:eastAsia="ja-JP"/>
        </w:rPr>
        <w:t xml:space="preserve">aus, dass </w:t>
      </w:r>
      <w:r w:rsidRPr="00926A1F">
        <w:rPr>
          <w:rFonts w:cs="Arial"/>
          <w:szCs w:val="22"/>
          <w:lang w:eastAsia="ja-JP"/>
        </w:rPr>
        <w:t xml:space="preserve">Starkregen in Zukunft zunehmen </w:t>
      </w:r>
      <w:r>
        <w:rPr>
          <w:rFonts w:cs="Arial"/>
          <w:szCs w:val="22"/>
          <w:lang w:eastAsia="ja-JP"/>
        </w:rPr>
        <w:t>wird. Davon sind auch viele Hausbesitzer betroffen.</w:t>
      </w:r>
      <w:r w:rsidRPr="00926A1F">
        <w:rPr>
          <w:rFonts w:cs="Arial"/>
          <w:szCs w:val="22"/>
          <w:lang w:eastAsia="ja-JP"/>
        </w:rPr>
        <w:t xml:space="preserve"> Was können zukünftige Bauherren tun, um ihr Haus fit für den Klimawandel zu machen? Wie können bestehende Häuser optimiert werden? Wir haben die wichtigsten </w:t>
      </w:r>
      <w:r>
        <w:rPr>
          <w:rFonts w:cs="Arial"/>
          <w:szCs w:val="22"/>
          <w:lang w:eastAsia="ja-JP"/>
        </w:rPr>
        <w:t>Maßnahmen</w:t>
      </w:r>
      <w:r w:rsidRPr="00926A1F">
        <w:rPr>
          <w:rFonts w:cs="Arial"/>
          <w:szCs w:val="22"/>
          <w:lang w:eastAsia="ja-JP"/>
        </w:rPr>
        <w:t xml:space="preserve"> zusammengestellt, damit Sie Ihr Haus </w:t>
      </w:r>
      <w:r>
        <w:rPr>
          <w:rFonts w:cs="Arial"/>
          <w:szCs w:val="22"/>
          <w:lang w:eastAsia="ja-JP"/>
        </w:rPr>
        <w:t xml:space="preserve">vor den Auswirkungen extremer Wetterlagen schützen </w:t>
      </w:r>
      <w:r w:rsidRPr="00926A1F">
        <w:rPr>
          <w:rFonts w:cs="Arial"/>
          <w:szCs w:val="22"/>
          <w:lang w:eastAsia="ja-JP"/>
        </w:rPr>
        <w:t>können.</w:t>
      </w:r>
    </w:p>
    <w:p w14:paraId="21BD79EB" w14:textId="77777777" w:rsidR="00CE6322" w:rsidRPr="00926A1F" w:rsidRDefault="00CE6322" w:rsidP="00CE6322">
      <w:pPr>
        <w:rPr>
          <w:rFonts w:cs="Arial"/>
          <w:szCs w:val="22"/>
          <w:lang w:eastAsia="ja-JP"/>
        </w:rPr>
      </w:pPr>
    </w:p>
    <w:p w14:paraId="7CFAF054" w14:textId="77777777" w:rsidR="00CE6322" w:rsidRPr="00926A1F" w:rsidRDefault="00CE6322" w:rsidP="00CE6322">
      <w:pPr>
        <w:rPr>
          <w:rFonts w:cs="Arial"/>
          <w:b/>
          <w:szCs w:val="22"/>
          <w:lang w:eastAsia="ja-JP"/>
        </w:rPr>
      </w:pPr>
      <w:r w:rsidRPr="00926A1F">
        <w:rPr>
          <w:rFonts w:cs="Arial"/>
          <w:b/>
          <w:szCs w:val="22"/>
          <w:lang w:eastAsia="ja-JP"/>
        </w:rPr>
        <w:t>1</w:t>
      </w:r>
      <w:r>
        <w:rPr>
          <w:rFonts w:cs="Arial"/>
          <w:b/>
          <w:szCs w:val="22"/>
          <w:lang w:eastAsia="ja-JP"/>
        </w:rPr>
        <w:t>. Grundstück - Hausplanung</w:t>
      </w:r>
      <w:r w:rsidRPr="00926A1F">
        <w:rPr>
          <w:rFonts w:cs="Arial"/>
          <w:b/>
          <w:szCs w:val="22"/>
          <w:lang w:eastAsia="ja-JP"/>
        </w:rPr>
        <w:t xml:space="preserve"> </w:t>
      </w:r>
    </w:p>
    <w:p w14:paraId="41E2BD0D" w14:textId="77777777" w:rsidR="00CE6322" w:rsidRPr="00926A1F" w:rsidRDefault="00CE6322" w:rsidP="00CE6322">
      <w:pPr>
        <w:rPr>
          <w:rFonts w:cs="Arial"/>
          <w:szCs w:val="22"/>
          <w:lang w:eastAsia="ja-JP"/>
        </w:rPr>
      </w:pPr>
      <w:r>
        <w:rPr>
          <w:rFonts w:cs="Arial"/>
          <w:szCs w:val="22"/>
          <w:lang w:eastAsia="ja-JP"/>
        </w:rPr>
        <w:t xml:space="preserve">Bei der Entscheidung für ein Grundstück können bereits mögliche Risikofaktoren wie Starkwetterlagen einkalkuliert und bei der Planung für das Haus berücksichtigt werden. Dies gilt ebenso für Hanglagen oder die Nähe von Flüssen. Der Deutsche Wetterdienst stellt beispielsweise Landkarten mit entsprechenden Informationen zur Verfügung, die man für die Hausplanung zu Rate ziehen kann. </w:t>
      </w:r>
    </w:p>
    <w:p w14:paraId="327B835A" w14:textId="77777777" w:rsidR="00CE6322" w:rsidRPr="00926A1F" w:rsidRDefault="00CE6322" w:rsidP="00CE6322">
      <w:pPr>
        <w:rPr>
          <w:rFonts w:cs="Arial"/>
          <w:szCs w:val="22"/>
          <w:lang w:eastAsia="ja-JP"/>
        </w:rPr>
      </w:pPr>
    </w:p>
    <w:p w14:paraId="476ACF30" w14:textId="77777777" w:rsidR="00CE6322" w:rsidRPr="00926A1F" w:rsidRDefault="00CE6322" w:rsidP="00CE6322">
      <w:pPr>
        <w:rPr>
          <w:rFonts w:cs="Arial"/>
          <w:b/>
          <w:szCs w:val="22"/>
          <w:lang w:eastAsia="ja-JP"/>
        </w:rPr>
      </w:pPr>
      <w:r w:rsidRPr="00926A1F">
        <w:rPr>
          <w:rFonts w:cs="Arial"/>
          <w:b/>
          <w:szCs w:val="22"/>
          <w:lang w:eastAsia="ja-JP"/>
        </w:rPr>
        <w:t>2</w:t>
      </w:r>
      <w:r>
        <w:rPr>
          <w:rFonts w:cs="Arial"/>
          <w:b/>
          <w:szCs w:val="22"/>
          <w:lang w:eastAsia="ja-JP"/>
        </w:rPr>
        <w:t xml:space="preserve">. </w:t>
      </w:r>
      <w:r w:rsidRPr="00926A1F">
        <w:rPr>
          <w:rFonts w:cs="Arial"/>
          <w:b/>
          <w:szCs w:val="22"/>
          <w:lang w:eastAsia="ja-JP"/>
        </w:rPr>
        <w:t xml:space="preserve">Baustoffe </w:t>
      </w:r>
    </w:p>
    <w:p w14:paraId="679B46D1" w14:textId="11FC708F" w:rsidR="00CE6322" w:rsidRPr="00926A1F" w:rsidRDefault="00CE6322" w:rsidP="00CE6322">
      <w:pPr>
        <w:rPr>
          <w:rFonts w:cs="Arial"/>
          <w:szCs w:val="22"/>
          <w:lang w:eastAsia="ja-JP"/>
        </w:rPr>
      </w:pPr>
      <w:r>
        <w:rPr>
          <w:rFonts w:cs="Arial"/>
          <w:szCs w:val="22"/>
          <w:lang w:eastAsia="ja-JP"/>
        </w:rPr>
        <w:t>Bei den Baustoffen spielen</w:t>
      </w:r>
      <w:r w:rsidRPr="00926A1F">
        <w:rPr>
          <w:rFonts w:cs="Arial"/>
          <w:szCs w:val="22"/>
          <w:lang w:eastAsia="ja-JP"/>
        </w:rPr>
        <w:t xml:space="preserve"> Standhaftigkeit und Trock</w:t>
      </w:r>
      <w:r>
        <w:rPr>
          <w:rFonts w:cs="Arial"/>
          <w:szCs w:val="22"/>
          <w:lang w:eastAsia="ja-JP"/>
        </w:rPr>
        <w:t xml:space="preserve">enfähigkeit </w:t>
      </w:r>
      <w:r w:rsidRPr="00926A1F">
        <w:rPr>
          <w:rFonts w:cs="Arial"/>
          <w:szCs w:val="22"/>
          <w:lang w:eastAsia="ja-JP"/>
        </w:rPr>
        <w:t xml:space="preserve">eine Rolle. </w:t>
      </w:r>
      <w:r w:rsidR="00390C6D">
        <w:rPr>
          <w:rFonts w:cs="Arial"/>
          <w:szCs w:val="22"/>
          <w:lang w:eastAsia="ja-JP"/>
        </w:rPr>
        <w:t>Massiv</w:t>
      </w:r>
      <w:r w:rsidRPr="00926A1F">
        <w:rPr>
          <w:rFonts w:cs="Arial"/>
          <w:szCs w:val="22"/>
          <w:lang w:eastAsia="ja-JP"/>
        </w:rPr>
        <w:t xml:space="preserve">häuser sind resistenter gegen Feuchtigkeit als Holzständerbau, denn Mauerwerkswände trocknen nach einem Hochwasserschaden leichter. Die Häuser von Town &amp; Country Haus </w:t>
      </w:r>
      <w:r w:rsidR="00390C6D">
        <w:rPr>
          <w:rFonts w:cs="Arial"/>
          <w:szCs w:val="22"/>
          <w:lang w:eastAsia="ja-JP"/>
        </w:rPr>
        <w:t>sind</w:t>
      </w:r>
      <w:r>
        <w:rPr>
          <w:rFonts w:cs="Arial"/>
          <w:szCs w:val="22"/>
          <w:lang w:eastAsia="ja-JP"/>
        </w:rPr>
        <w:t xml:space="preserve"> aus stabilem </w:t>
      </w:r>
      <w:proofErr w:type="spellStart"/>
      <w:r>
        <w:rPr>
          <w:rFonts w:cs="Arial"/>
          <w:szCs w:val="22"/>
          <w:lang w:eastAsia="ja-JP"/>
        </w:rPr>
        <w:t>Ytong</w:t>
      </w:r>
      <w:proofErr w:type="spellEnd"/>
      <w:r>
        <w:rPr>
          <w:rFonts w:cs="Arial"/>
          <w:szCs w:val="22"/>
          <w:lang w:eastAsia="ja-JP"/>
        </w:rPr>
        <w:t xml:space="preserve"> Porenbeton </w:t>
      </w:r>
      <w:r w:rsidRPr="00926A1F">
        <w:rPr>
          <w:rFonts w:cs="Arial"/>
          <w:szCs w:val="22"/>
          <w:lang w:eastAsia="ja-JP"/>
        </w:rPr>
        <w:t xml:space="preserve">und geben den besten Schutz. </w:t>
      </w:r>
      <w:proofErr w:type="spellStart"/>
      <w:r w:rsidR="00390C6D">
        <w:rPr>
          <w:rFonts w:cs="Arial"/>
          <w:szCs w:val="22"/>
          <w:lang w:eastAsia="ja-JP"/>
        </w:rPr>
        <w:t>Ytong</w:t>
      </w:r>
      <w:proofErr w:type="spellEnd"/>
      <w:r>
        <w:rPr>
          <w:rFonts w:cs="Arial"/>
          <w:szCs w:val="22"/>
          <w:lang w:eastAsia="ja-JP"/>
        </w:rPr>
        <w:t xml:space="preserve"> ist ein</w:t>
      </w:r>
      <w:r w:rsidRPr="00926A1F">
        <w:rPr>
          <w:rFonts w:cs="Arial"/>
          <w:szCs w:val="22"/>
          <w:lang w:eastAsia="ja-JP"/>
        </w:rPr>
        <w:t xml:space="preserve"> natürlicher Baustoff</w:t>
      </w:r>
      <w:r>
        <w:rPr>
          <w:rFonts w:cs="Arial"/>
          <w:szCs w:val="22"/>
          <w:lang w:eastAsia="ja-JP"/>
        </w:rPr>
        <w:t>, der alle Anforderungen an energieeffizientes</w:t>
      </w:r>
      <w:r w:rsidRPr="00E803B8">
        <w:rPr>
          <w:rFonts w:cs="Arial"/>
          <w:szCs w:val="22"/>
          <w:lang w:eastAsia="ja-JP"/>
        </w:rPr>
        <w:t xml:space="preserve"> und w</w:t>
      </w:r>
      <w:r>
        <w:rPr>
          <w:rFonts w:cs="Arial"/>
          <w:szCs w:val="22"/>
          <w:lang w:eastAsia="ja-JP"/>
        </w:rPr>
        <w:t>ohngesundes</w:t>
      </w:r>
      <w:r w:rsidRPr="00E803B8">
        <w:rPr>
          <w:rFonts w:cs="Arial"/>
          <w:szCs w:val="22"/>
          <w:lang w:eastAsia="ja-JP"/>
        </w:rPr>
        <w:t xml:space="preserve"> Bauen erfüllt. Außerdem sorgt der Baustoff für guten Schall- und Brandschutz sowie für ein angenehmes Raumklima bei Hitze und Kälte. </w:t>
      </w:r>
    </w:p>
    <w:p w14:paraId="4AF8ACB9" w14:textId="77777777" w:rsidR="00CE6322" w:rsidRPr="00926A1F" w:rsidRDefault="00CE6322" w:rsidP="00CE6322">
      <w:pPr>
        <w:rPr>
          <w:rFonts w:cs="Arial"/>
          <w:szCs w:val="22"/>
          <w:lang w:eastAsia="ja-JP"/>
        </w:rPr>
      </w:pPr>
    </w:p>
    <w:p w14:paraId="41070528" w14:textId="77777777" w:rsidR="00CE6322" w:rsidRPr="00926A1F" w:rsidRDefault="00CE6322" w:rsidP="00CE6322">
      <w:pPr>
        <w:rPr>
          <w:rFonts w:cs="Arial"/>
          <w:szCs w:val="22"/>
          <w:lang w:eastAsia="ja-JP"/>
        </w:rPr>
      </w:pPr>
      <w:r w:rsidRPr="00926A1F">
        <w:rPr>
          <w:rFonts w:cs="Arial"/>
          <w:szCs w:val="22"/>
          <w:lang w:eastAsia="ja-JP"/>
        </w:rPr>
        <w:t>Hagelschauer k</w:t>
      </w:r>
      <w:r>
        <w:rPr>
          <w:rFonts w:cs="Arial"/>
          <w:szCs w:val="22"/>
          <w:lang w:eastAsia="ja-JP"/>
        </w:rPr>
        <w:t>önnen</w:t>
      </w:r>
      <w:r w:rsidRPr="00926A1F">
        <w:rPr>
          <w:rFonts w:cs="Arial"/>
          <w:szCs w:val="22"/>
          <w:lang w:eastAsia="ja-JP"/>
        </w:rPr>
        <w:t xml:space="preserve"> am Dach große Schäden hinterlassen. Daher sollten Dachziegel mit Sturmklammern verlegt oder Dacheindeckungen e</w:t>
      </w:r>
      <w:r>
        <w:rPr>
          <w:rFonts w:cs="Arial"/>
          <w:szCs w:val="22"/>
          <w:lang w:eastAsia="ja-JP"/>
        </w:rPr>
        <w:t>ingeplant werden, um dem Hagel W</w:t>
      </w:r>
      <w:r w:rsidRPr="00926A1F">
        <w:rPr>
          <w:rFonts w:cs="Arial"/>
          <w:szCs w:val="22"/>
          <w:lang w:eastAsia="ja-JP"/>
        </w:rPr>
        <w:t>iderstand zu leisten und Hagelschäden vorzubeugen.</w:t>
      </w:r>
    </w:p>
    <w:p w14:paraId="455DA21A" w14:textId="77777777" w:rsidR="00CE6322" w:rsidRPr="00926A1F" w:rsidRDefault="00CE6322" w:rsidP="00CE6322">
      <w:pPr>
        <w:rPr>
          <w:rFonts w:cs="Arial"/>
          <w:szCs w:val="22"/>
          <w:lang w:eastAsia="ja-JP"/>
        </w:rPr>
      </w:pPr>
    </w:p>
    <w:p w14:paraId="34209FBB" w14:textId="77777777" w:rsidR="00CE6322" w:rsidRPr="00926A1F" w:rsidRDefault="00CE6322" w:rsidP="00CE6322">
      <w:pPr>
        <w:rPr>
          <w:rFonts w:cs="Arial"/>
          <w:b/>
          <w:szCs w:val="22"/>
          <w:lang w:eastAsia="ja-JP"/>
        </w:rPr>
      </w:pPr>
      <w:r>
        <w:rPr>
          <w:rFonts w:cs="Arial"/>
          <w:b/>
          <w:szCs w:val="22"/>
          <w:lang w:eastAsia="ja-JP"/>
        </w:rPr>
        <w:t>3.</w:t>
      </w:r>
      <w:r w:rsidRPr="00926A1F">
        <w:rPr>
          <w:rFonts w:cs="Arial"/>
          <w:b/>
          <w:szCs w:val="22"/>
          <w:lang w:eastAsia="ja-JP"/>
        </w:rPr>
        <w:t xml:space="preserve"> Bauweise </w:t>
      </w:r>
    </w:p>
    <w:p w14:paraId="629C8C11" w14:textId="77777777" w:rsidR="00CE6322" w:rsidRPr="00926A1F" w:rsidRDefault="00CE6322" w:rsidP="00CE6322">
      <w:pPr>
        <w:rPr>
          <w:rFonts w:cs="Arial"/>
          <w:szCs w:val="22"/>
          <w:lang w:eastAsia="ja-JP"/>
        </w:rPr>
      </w:pPr>
      <w:r w:rsidRPr="00926A1F">
        <w:rPr>
          <w:rFonts w:cs="Arial"/>
          <w:szCs w:val="22"/>
          <w:lang w:eastAsia="ja-JP"/>
        </w:rPr>
        <w:t xml:space="preserve">Bei Starkregen und Überschwemmungen kann Grundwasser in den Keller oder durch die Kanalisation eintreten. Der derzeitige Trend, auf den Keller zu verzichten, ist bereits eine Präventivmaßnahme, da nicht zusätzliche Kellerabdichtungen und wasserdichter Beton vorgesehen werden müssen. </w:t>
      </w:r>
      <w:r>
        <w:rPr>
          <w:rFonts w:cs="Arial"/>
          <w:szCs w:val="22"/>
          <w:lang w:eastAsia="ja-JP"/>
        </w:rPr>
        <w:t>Bei Räumen, die unter der Straß</w:t>
      </w:r>
      <w:r w:rsidRPr="00926A1F">
        <w:rPr>
          <w:rFonts w:cs="Arial"/>
          <w:szCs w:val="22"/>
          <w:lang w:eastAsia="ja-JP"/>
        </w:rPr>
        <w:t>enkante liegen, verhindern Rückstausicherungen wie Rückstauklappen und –</w:t>
      </w:r>
      <w:proofErr w:type="spellStart"/>
      <w:r w:rsidRPr="00926A1F">
        <w:rPr>
          <w:rFonts w:cs="Arial"/>
          <w:szCs w:val="22"/>
          <w:lang w:eastAsia="ja-JP"/>
        </w:rPr>
        <w:t>ventile</w:t>
      </w:r>
      <w:proofErr w:type="spellEnd"/>
      <w:r w:rsidRPr="00926A1F">
        <w:rPr>
          <w:rFonts w:cs="Arial"/>
          <w:szCs w:val="22"/>
          <w:lang w:eastAsia="ja-JP"/>
        </w:rPr>
        <w:t xml:space="preserve"> das Eintreten von Wasser durch die Kanalisation. </w:t>
      </w:r>
    </w:p>
    <w:p w14:paraId="2AB65ECA" w14:textId="77777777" w:rsidR="00CE6322" w:rsidRPr="00926A1F" w:rsidRDefault="00CE6322" w:rsidP="00CE6322">
      <w:pPr>
        <w:rPr>
          <w:rFonts w:cs="Arial"/>
          <w:szCs w:val="22"/>
          <w:lang w:eastAsia="ja-JP"/>
        </w:rPr>
      </w:pPr>
    </w:p>
    <w:p w14:paraId="315F3377" w14:textId="77777777" w:rsidR="00CE6322" w:rsidRPr="00926A1F" w:rsidRDefault="00CE6322" w:rsidP="00CE6322">
      <w:pPr>
        <w:rPr>
          <w:rFonts w:cs="Arial"/>
          <w:b/>
          <w:szCs w:val="22"/>
          <w:lang w:eastAsia="ja-JP"/>
        </w:rPr>
      </w:pPr>
      <w:r>
        <w:rPr>
          <w:rFonts w:cs="Arial"/>
          <w:b/>
          <w:szCs w:val="22"/>
          <w:lang w:eastAsia="ja-JP"/>
        </w:rPr>
        <w:t>4. regelmäßige Kontrollen am Haus</w:t>
      </w:r>
    </w:p>
    <w:p w14:paraId="2C462C08" w14:textId="0B8C733C" w:rsidR="00CE6322" w:rsidRPr="00926A1F" w:rsidRDefault="00CE6322" w:rsidP="00CE6322">
      <w:pPr>
        <w:tabs>
          <w:tab w:val="left" w:pos="220"/>
          <w:tab w:val="left" w:pos="720"/>
        </w:tabs>
        <w:rPr>
          <w:rFonts w:cs="Arial"/>
          <w:szCs w:val="22"/>
          <w:lang w:eastAsia="ja-JP"/>
        </w:rPr>
      </w:pPr>
      <w:r w:rsidRPr="00926A1F">
        <w:rPr>
          <w:rFonts w:cs="Arial"/>
          <w:szCs w:val="22"/>
          <w:lang w:eastAsia="ja-JP"/>
        </w:rPr>
        <w:t>Im Alltag können einfache Maßnahmen zu</w:t>
      </w:r>
      <w:r>
        <w:rPr>
          <w:rFonts w:cs="Arial"/>
          <w:szCs w:val="22"/>
          <w:lang w:eastAsia="ja-JP"/>
        </w:rPr>
        <w:t>r</w:t>
      </w:r>
      <w:r w:rsidRPr="00926A1F">
        <w:rPr>
          <w:rFonts w:cs="Arial"/>
          <w:szCs w:val="22"/>
          <w:lang w:eastAsia="ja-JP"/>
        </w:rPr>
        <w:t xml:space="preserve"> Sicherheit beitragen</w:t>
      </w:r>
      <w:r>
        <w:rPr>
          <w:rFonts w:cs="Arial"/>
          <w:szCs w:val="22"/>
          <w:lang w:eastAsia="ja-JP"/>
        </w:rPr>
        <w:t xml:space="preserve">: </w:t>
      </w:r>
      <w:r w:rsidRPr="00926A1F">
        <w:rPr>
          <w:rFonts w:cs="Arial"/>
          <w:szCs w:val="22"/>
          <w:lang w:eastAsia="ja-JP"/>
        </w:rPr>
        <w:t>Markisen bei Regen und Sturm einfahren</w:t>
      </w:r>
      <w:r>
        <w:rPr>
          <w:rFonts w:cs="Arial"/>
          <w:szCs w:val="22"/>
          <w:lang w:eastAsia="ja-JP"/>
        </w:rPr>
        <w:t>, d</w:t>
      </w:r>
      <w:r w:rsidRPr="00926A1F">
        <w:rPr>
          <w:rFonts w:cs="Arial"/>
          <w:szCs w:val="22"/>
          <w:lang w:eastAsia="ja-JP"/>
        </w:rPr>
        <w:t xml:space="preserve">ie Befestigung von Dachziegeln und Dachrinnen </w:t>
      </w:r>
      <w:r w:rsidR="00390C6D">
        <w:rPr>
          <w:rFonts w:cs="Arial"/>
          <w:szCs w:val="22"/>
          <w:lang w:eastAsia="ja-JP"/>
        </w:rPr>
        <w:t>regelmäßig überprüf</w:t>
      </w:r>
      <w:r>
        <w:rPr>
          <w:rFonts w:cs="Arial"/>
          <w:szCs w:val="22"/>
          <w:lang w:eastAsia="ja-JP"/>
        </w:rPr>
        <w:t xml:space="preserve">en, </w:t>
      </w:r>
      <w:r w:rsidRPr="00926A1F">
        <w:rPr>
          <w:rFonts w:cs="Arial"/>
          <w:szCs w:val="22"/>
          <w:lang w:eastAsia="ja-JP"/>
        </w:rPr>
        <w:t xml:space="preserve">Dachrinnen </w:t>
      </w:r>
      <w:r>
        <w:rPr>
          <w:rFonts w:cs="Arial"/>
          <w:szCs w:val="22"/>
          <w:lang w:eastAsia="ja-JP"/>
        </w:rPr>
        <w:t xml:space="preserve">reinigen, damit sie nicht verstopfen und bei einem Blitzschlag </w:t>
      </w:r>
      <w:r w:rsidRPr="00926A1F">
        <w:rPr>
          <w:rFonts w:cs="Arial"/>
          <w:szCs w:val="22"/>
          <w:lang w:eastAsia="ja-JP"/>
        </w:rPr>
        <w:t xml:space="preserve">das </w:t>
      </w:r>
      <w:r>
        <w:rPr>
          <w:rFonts w:cs="Arial"/>
          <w:szCs w:val="22"/>
          <w:lang w:eastAsia="ja-JP"/>
        </w:rPr>
        <w:t>Haus auf Schäden überprüf</w:t>
      </w:r>
      <w:r w:rsidRPr="00926A1F">
        <w:rPr>
          <w:rFonts w:cs="Arial"/>
          <w:szCs w:val="22"/>
          <w:lang w:eastAsia="ja-JP"/>
        </w:rPr>
        <w:t xml:space="preserve">en. </w:t>
      </w:r>
    </w:p>
    <w:p w14:paraId="1B13F38B" w14:textId="77777777" w:rsidR="00CE6322" w:rsidRPr="00926A1F" w:rsidRDefault="00CE6322" w:rsidP="00CE6322">
      <w:pPr>
        <w:tabs>
          <w:tab w:val="left" w:pos="220"/>
          <w:tab w:val="left" w:pos="720"/>
        </w:tabs>
        <w:rPr>
          <w:rFonts w:cs="Arial"/>
          <w:szCs w:val="22"/>
          <w:lang w:eastAsia="ja-JP"/>
        </w:rPr>
      </w:pPr>
    </w:p>
    <w:p w14:paraId="6772DDA8" w14:textId="77777777" w:rsidR="00CE6322" w:rsidRPr="00926A1F" w:rsidRDefault="00CE6322" w:rsidP="00CE6322">
      <w:pPr>
        <w:tabs>
          <w:tab w:val="left" w:pos="220"/>
          <w:tab w:val="left" w:pos="720"/>
        </w:tabs>
        <w:rPr>
          <w:rFonts w:cs="Arial"/>
          <w:b/>
          <w:szCs w:val="22"/>
          <w:lang w:eastAsia="ja-JP"/>
        </w:rPr>
      </w:pPr>
      <w:r w:rsidRPr="00926A1F">
        <w:rPr>
          <w:rFonts w:cs="Arial"/>
          <w:b/>
          <w:szCs w:val="22"/>
          <w:lang w:eastAsia="ja-JP"/>
        </w:rPr>
        <w:t xml:space="preserve">Fazit: </w:t>
      </w:r>
      <w:r>
        <w:rPr>
          <w:rFonts w:cs="Arial"/>
          <w:b/>
          <w:szCs w:val="22"/>
          <w:lang w:eastAsia="ja-JP"/>
        </w:rPr>
        <w:t>Vorsorgen hilft</w:t>
      </w:r>
    </w:p>
    <w:p w14:paraId="3CAE5EC8" w14:textId="77777777" w:rsidR="00CE6322" w:rsidRPr="00926A1F" w:rsidRDefault="00CE6322" w:rsidP="00CE6322">
      <w:pPr>
        <w:tabs>
          <w:tab w:val="left" w:pos="220"/>
          <w:tab w:val="left" w:pos="720"/>
        </w:tabs>
        <w:rPr>
          <w:rFonts w:cs="Arial"/>
          <w:szCs w:val="22"/>
          <w:lang w:eastAsia="ja-JP"/>
        </w:rPr>
      </w:pPr>
      <w:r w:rsidRPr="00926A1F">
        <w:rPr>
          <w:rFonts w:cs="Arial"/>
          <w:szCs w:val="22"/>
          <w:lang w:eastAsia="ja-JP"/>
        </w:rPr>
        <w:t>Durch gezielte Maßnahmen können Sie Neubauten vor Klima</w:t>
      </w:r>
      <w:r>
        <w:rPr>
          <w:rFonts w:cs="Arial"/>
          <w:szCs w:val="22"/>
          <w:lang w:eastAsia="ja-JP"/>
        </w:rPr>
        <w:t xml:space="preserve">gefahren </w:t>
      </w:r>
      <w:r w:rsidRPr="00926A1F">
        <w:rPr>
          <w:rFonts w:cs="Arial"/>
          <w:szCs w:val="22"/>
          <w:lang w:eastAsia="ja-JP"/>
        </w:rPr>
        <w:t>schützen. Bei bestehenden Gebäuden können nachträgliche Verbess</w:t>
      </w:r>
      <w:r>
        <w:rPr>
          <w:rFonts w:cs="Arial"/>
          <w:szCs w:val="22"/>
          <w:lang w:eastAsia="ja-JP"/>
        </w:rPr>
        <w:t xml:space="preserve">erungen und regelmäßige Checks die Sicherheit erhöhen. </w:t>
      </w:r>
      <w:r w:rsidRPr="00926A1F">
        <w:rPr>
          <w:rFonts w:cs="Arial"/>
          <w:szCs w:val="22"/>
          <w:lang w:eastAsia="ja-JP"/>
        </w:rPr>
        <w:t>Zudem kann jeder Bauherr durch energiesparendes Bauen die Energiekosten senken und einen Beitrag zum Umwelt- und Klimaschutz leisten. Der Staat fördert den Bau von Town &amp; Country Energiesparhäusern mit finanzieller Unterstützung.</w:t>
      </w:r>
    </w:p>
    <w:p w14:paraId="0876F5F4" w14:textId="77777777" w:rsidR="00CE6322" w:rsidRPr="00926A1F" w:rsidRDefault="00CE6322" w:rsidP="00CE6322">
      <w:pPr>
        <w:tabs>
          <w:tab w:val="left" w:pos="220"/>
          <w:tab w:val="left" w:pos="720"/>
        </w:tabs>
        <w:rPr>
          <w:rFonts w:cs="Arial"/>
          <w:szCs w:val="22"/>
          <w:lang w:eastAsia="ja-JP"/>
        </w:rPr>
      </w:pPr>
    </w:p>
    <w:p w14:paraId="56C63634" w14:textId="77777777" w:rsidR="00CE6322" w:rsidRPr="00926A1F" w:rsidRDefault="00CE6322" w:rsidP="00CE6322">
      <w:pPr>
        <w:rPr>
          <w:rFonts w:cs="Arial"/>
          <w:szCs w:val="22"/>
        </w:rPr>
      </w:pPr>
    </w:p>
    <w:p w14:paraId="0D1A5B4F" w14:textId="77777777" w:rsidR="00CE6322" w:rsidRPr="00926A1F" w:rsidRDefault="00CE6322" w:rsidP="00CE6322">
      <w:pPr>
        <w:rPr>
          <w:rFonts w:cs="Arial"/>
          <w:szCs w:val="22"/>
        </w:rPr>
      </w:pPr>
      <w:r w:rsidRPr="00926A1F">
        <w:rPr>
          <w:rFonts w:cs="Arial"/>
          <w:szCs w:val="22"/>
        </w:rPr>
        <w:t>Quellen:</w:t>
      </w:r>
    </w:p>
    <w:p w14:paraId="472DA730" w14:textId="77777777" w:rsidR="00CE6322" w:rsidRPr="00926A1F" w:rsidRDefault="00CE6322" w:rsidP="00CE6322">
      <w:pPr>
        <w:rPr>
          <w:rFonts w:cs="Arial"/>
          <w:szCs w:val="22"/>
        </w:rPr>
      </w:pPr>
      <w:hyperlink r:id="rId9" w:history="1">
        <w:r w:rsidRPr="00926A1F">
          <w:rPr>
            <w:rStyle w:val="Link"/>
            <w:rFonts w:cs="Arial"/>
            <w:szCs w:val="22"/>
          </w:rPr>
          <w:t>http://www.immobilien-journal.de/bauen/oekologisches-bauen/veraenderte-umwelteinfluesse-bei-privaten-bauvorhaben-im-blick-haben/</w:t>
        </w:r>
      </w:hyperlink>
    </w:p>
    <w:p w14:paraId="3D73ACD6" w14:textId="77777777" w:rsidR="00CE6322" w:rsidRPr="00926A1F" w:rsidRDefault="00CE6322" w:rsidP="00CE6322">
      <w:pPr>
        <w:rPr>
          <w:rFonts w:cs="Arial"/>
          <w:szCs w:val="22"/>
        </w:rPr>
      </w:pPr>
    </w:p>
    <w:p w14:paraId="19BA63C3" w14:textId="77777777" w:rsidR="00CE6322" w:rsidRPr="00926A1F" w:rsidRDefault="00CE6322" w:rsidP="0025348B">
      <w:pPr>
        <w:spacing w:line="240" w:lineRule="auto"/>
        <w:rPr>
          <w:rFonts w:cs="Arial"/>
          <w:szCs w:val="22"/>
        </w:rPr>
      </w:pPr>
      <w:r w:rsidRPr="00926A1F">
        <w:rPr>
          <w:rFonts w:cs="Arial"/>
          <w:szCs w:val="22"/>
        </w:rPr>
        <w:t>GDV – Gesamtverband der Deutschen Versicherungswirtschaft e.V.</w:t>
      </w:r>
    </w:p>
    <w:p w14:paraId="1E91F766" w14:textId="77777777" w:rsidR="00CE6322" w:rsidRPr="00926A1F" w:rsidRDefault="00CE6322" w:rsidP="0025348B">
      <w:pPr>
        <w:spacing w:line="240" w:lineRule="auto"/>
        <w:rPr>
          <w:rFonts w:cs="Arial"/>
          <w:szCs w:val="22"/>
        </w:rPr>
      </w:pPr>
      <w:r>
        <w:rPr>
          <w:rFonts w:cs="Arial"/>
          <w:szCs w:val="22"/>
        </w:rPr>
        <w:t>Naturgefahr</w:t>
      </w:r>
      <w:r w:rsidRPr="00926A1F">
        <w:rPr>
          <w:rFonts w:cs="Arial"/>
          <w:szCs w:val="22"/>
        </w:rPr>
        <w:t>enreport 2016</w:t>
      </w:r>
    </w:p>
    <w:p w14:paraId="60CCC970" w14:textId="77777777" w:rsidR="00CE6322" w:rsidRPr="00926A1F" w:rsidRDefault="00CE6322" w:rsidP="0025348B">
      <w:pPr>
        <w:spacing w:line="240" w:lineRule="auto"/>
        <w:rPr>
          <w:rFonts w:cs="Arial"/>
          <w:szCs w:val="22"/>
        </w:rPr>
      </w:pPr>
      <w:r w:rsidRPr="00926A1F">
        <w:rPr>
          <w:rFonts w:cs="Arial"/>
          <w:szCs w:val="22"/>
        </w:rPr>
        <w:t>http://www.gdv.de/naturgefahren/</w:t>
      </w:r>
    </w:p>
    <w:p w14:paraId="2B58AF2C" w14:textId="77777777" w:rsidR="00CE6322" w:rsidRPr="00926A1F" w:rsidRDefault="00CE6322" w:rsidP="0025348B">
      <w:pPr>
        <w:spacing w:line="240" w:lineRule="auto"/>
        <w:rPr>
          <w:rFonts w:cs="Arial"/>
          <w:szCs w:val="22"/>
        </w:rPr>
      </w:pPr>
      <w:hyperlink r:id="rId10" w:history="1">
        <w:r w:rsidRPr="00926A1F">
          <w:rPr>
            <w:rFonts w:cs="Arial"/>
            <w:szCs w:val="22"/>
          </w:rPr>
          <w:t>http://www.gdv.de/wp-content/uploads/2016/09/GDV_Faktenblatt_Klimastudie_2011_2016.pdf</w:t>
        </w:r>
      </w:hyperlink>
    </w:p>
    <w:p w14:paraId="0444EA87" w14:textId="77777777" w:rsidR="00CE6322" w:rsidRPr="00926A1F" w:rsidRDefault="00CE6322" w:rsidP="0025348B">
      <w:pPr>
        <w:spacing w:line="240" w:lineRule="auto"/>
        <w:rPr>
          <w:rFonts w:cs="Arial"/>
          <w:szCs w:val="22"/>
        </w:rPr>
      </w:pPr>
    </w:p>
    <w:p w14:paraId="649D95BF" w14:textId="77777777" w:rsidR="00390C6D" w:rsidRDefault="00390C6D" w:rsidP="0025348B">
      <w:pPr>
        <w:spacing w:line="240" w:lineRule="auto"/>
        <w:rPr>
          <w:rFonts w:cs="Arial"/>
          <w:szCs w:val="22"/>
        </w:rPr>
      </w:pPr>
    </w:p>
    <w:p w14:paraId="62E5F1B7" w14:textId="77777777" w:rsidR="00CE6322" w:rsidRPr="00926A1F" w:rsidRDefault="00CE6322" w:rsidP="0025348B">
      <w:pPr>
        <w:spacing w:line="240" w:lineRule="auto"/>
        <w:rPr>
          <w:rFonts w:cs="Arial"/>
          <w:szCs w:val="22"/>
        </w:rPr>
      </w:pPr>
      <w:proofErr w:type="spellStart"/>
      <w:r>
        <w:rPr>
          <w:rFonts w:cs="Arial"/>
          <w:szCs w:val="22"/>
        </w:rPr>
        <w:t>Kilmascout</w:t>
      </w:r>
      <w:proofErr w:type="spellEnd"/>
    </w:p>
    <w:p w14:paraId="2A76EDEC" w14:textId="77777777" w:rsidR="00CE6322" w:rsidRPr="00926A1F" w:rsidRDefault="00CE6322" w:rsidP="0025348B">
      <w:pPr>
        <w:spacing w:line="240" w:lineRule="auto"/>
        <w:rPr>
          <w:rFonts w:cs="Arial"/>
          <w:szCs w:val="22"/>
        </w:rPr>
      </w:pPr>
      <w:hyperlink r:id="rId11" w:history="1">
        <w:r w:rsidRPr="00926A1F">
          <w:rPr>
            <w:rStyle w:val="Link"/>
            <w:rFonts w:cs="Arial"/>
            <w:szCs w:val="22"/>
          </w:rPr>
          <w:t>http://www.klimascout.de/buerger/index.php?title=Betroffene:_Hausbesitzer</w:t>
        </w:r>
      </w:hyperlink>
    </w:p>
    <w:p w14:paraId="2F92348D" w14:textId="77777777" w:rsidR="00CE6322" w:rsidRPr="00926A1F" w:rsidRDefault="00CE6322" w:rsidP="0025348B">
      <w:pPr>
        <w:spacing w:line="240" w:lineRule="auto"/>
        <w:rPr>
          <w:rFonts w:cs="Arial"/>
          <w:szCs w:val="22"/>
        </w:rPr>
      </w:pPr>
      <w:bookmarkStart w:id="0" w:name="_GoBack"/>
      <w:bookmarkEnd w:id="0"/>
    </w:p>
    <w:p w14:paraId="2460F60F" w14:textId="77777777" w:rsidR="0098546E" w:rsidRPr="00C8007D" w:rsidRDefault="0098546E" w:rsidP="009F0A93"/>
    <w:p w14:paraId="36CC6CE0" w14:textId="77777777" w:rsidR="005A2547" w:rsidRDefault="005A2547" w:rsidP="005A2547">
      <w:pPr>
        <w:widowControl/>
        <w:tabs>
          <w:tab w:val="clear" w:pos="567"/>
          <w:tab w:val="left" w:pos="708"/>
        </w:tabs>
        <w:overflowPunct/>
        <w:autoSpaceDE/>
        <w:adjustRightInd/>
        <w:spacing w:line="240" w:lineRule="auto"/>
        <w:jc w:val="left"/>
        <w:rPr>
          <w:rFonts w:eastAsia="Calibri" w:cs="Arial"/>
          <w:b/>
          <w:bCs/>
          <w:sz w:val="20"/>
        </w:rPr>
      </w:pPr>
      <w:r>
        <w:rPr>
          <w:rFonts w:eastAsia="Calibri" w:cs="Arial"/>
          <w:b/>
          <w:bCs/>
          <w:sz w:val="20"/>
        </w:rPr>
        <w:t xml:space="preserve">Über Town &amp; Country: </w:t>
      </w:r>
    </w:p>
    <w:p w14:paraId="5B799588"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 xml:space="preserve">Das 1997 in </w:t>
      </w:r>
      <w:proofErr w:type="spellStart"/>
      <w:r w:rsidRPr="00150097">
        <w:rPr>
          <w:rFonts w:eastAsia="Calibri" w:cs="Arial"/>
          <w:i/>
          <w:iCs/>
          <w:sz w:val="20"/>
        </w:rPr>
        <w:t>Behringen</w:t>
      </w:r>
      <w:proofErr w:type="spellEnd"/>
      <w:r w:rsidRPr="00150097">
        <w:rPr>
          <w:rFonts w:eastAsia="Calibri" w:cs="Arial"/>
          <w:i/>
          <w:iCs/>
          <w:sz w:val="20"/>
        </w:rPr>
        <w:t xml:space="preserve"> (Thüringen) gegründete Unternehmen Town &amp; Country Haus ist die führende Massivhausmarke Deutschlands.</w:t>
      </w:r>
    </w:p>
    <w:p w14:paraId="626A592C"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Im Jahr 2016 verkaufte Town &amp; Country Haus mit über 300 Franchise</w:t>
      </w:r>
      <w:r w:rsidRPr="00150097">
        <w:rPr>
          <w:rFonts w:ascii="Cambria Math" w:eastAsia="Calibri" w:hAnsi="Cambria Math" w:cs="Cambria Math"/>
          <w:i/>
          <w:iCs/>
          <w:sz w:val="20"/>
        </w:rPr>
        <w:t>‐</w:t>
      </w:r>
      <w:r w:rsidRPr="00150097">
        <w:rPr>
          <w:rFonts w:eastAsia="Calibri" w:cs="Arial"/>
          <w:i/>
          <w:iCs/>
          <w:sz w:val="20"/>
        </w:rPr>
        <w:t>Partnern 4.188 Häuser und erreichte einen Auftragseingang</w:t>
      </w:r>
      <w:r w:rsidR="0098546E">
        <w:rPr>
          <w:rFonts w:eastAsia="Calibri" w:cs="Arial"/>
          <w:i/>
          <w:iCs/>
          <w:sz w:val="20"/>
        </w:rPr>
        <w:t xml:space="preserve"> </w:t>
      </w:r>
      <w:r w:rsidRPr="00150097">
        <w:rPr>
          <w:rFonts w:eastAsia="Calibri" w:cs="Arial"/>
          <w:i/>
          <w:iCs/>
          <w:sz w:val="20"/>
        </w:rPr>
        <w:t xml:space="preserve">von 772,5 </w:t>
      </w:r>
      <w:proofErr w:type="spellStart"/>
      <w:r w:rsidRPr="00150097">
        <w:rPr>
          <w:rFonts w:eastAsia="Calibri" w:cs="Arial"/>
          <w:i/>
          <w:iCs/>
          <w:sz w:val="20"/>
        </w:rPr>
        <w:t>Mio</w:t>
      </w:r>
      <w:proofErr w:type="spellEnd"/>
      <w:r w:rsidRPr="00150097">
        <w:rPr>
          <w:rFonts w:eastAsia="Calibri" w:cs="Arial"/>
          <w:i/>
          <w:iCs/>
          <w:sz w:val="20"/>
        </w:rPr>
        <w:t xml:space="preserve"> Euro. Town &amp; Country Haus ist Deutschlands meistgebautes Markenhaus.</w:t>
      </w:r>
    </w:p>
    <w:p w14:paraId="24EBD3DD"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36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150097">
        <w:rPr>
          <w:rFonts w:ascii="Cambria Math" w:eastAsia="Calibri" w:hAnsi="Cambria Math" w:cs="Cambria Math"/>
          <w:i/>
          <w:iCs/>
          <w:sz w:val="20"/>
        </w:rPr>
        <w:t>‐</w:t>
      </w:r>
      <w:r w:rsidRPr="00150097">
        <w:rPr>
          <w:rFonts w:eastAsia="Calibri" w:cs="Arial"/>
          <w:i/>
          <w:iCs/>
          <w:sz w:val="20"/>
        </w:rPr>
        <w:t>Schutzbriefes, der das Risiko des Bauherrn vor, während und nach dem Hausbau reduziert.</w:t>
      </w:r>
    </w:p>
    <w:p w14:paraId="062B87D3"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Für seine Leistungen wurde Town &amp; Country Haus mehrfach ausgezeichnet: So erhielt das Unternehmen zuletzt 2013 den „Deutschen Franchise</w:t>
      </w:r>
      <w:r w:rsidRPr="00150097">
        <w:rPr>
          <w:rFonts w:ascii="Cambria Math" w:eastAsia="Calibri" w:hAnsi="Cambria Math" w:cs="Cambria Math"/>
          <w:i/>
          <w:iCs/>
          <w:sz w:val="20"/>
        </w:rPr>
        <w:t>‐</w:t>
      </w:r>
      <w:r w:rsidRPr="00150097">
        <w:rPr>
          <w:rFonts w:eastAsia="Calibri" w:cs="Arial"/>
          <w:i/>
          <w:iCs/>
          <w:sz w:val="20"/>
        </w:rPr>
        <w:t>Preis“. Für seine Nachhaltigkeitsbemühungen wurde Town &amp; Country Haus zudem mit dem „Green Franchise</w:t>
      </w:r>
      <w:r w:rsidRPr="00150097">
        <w:rPr>
          <w:rFonts w:ascii="Cambria Math" w:eastAsia="Calibri" w:hAnsi="Cambria Math" w:cs="Cambria Math"/>
          <w:i/>
          <w:iCs/>
          <w:sz w:val="20"/>
        </w:rPr>
        <w:t>‐</w:t>
      </w:r>
      <w:r w:rsidRPr="00150097">
        <w:rPr>
          <w:rFonts w:eastAsia="Calibri" w:cs="Arial"/>
          <w:i/>
          <w:iCs/>
          <w:sz w:val="20"/>
        </w:rPr>
        <w:t>Award“ ausgezeichnet. 2014 wurde Town &amp; Country Haus mit dem Preis „TOP 100“ der innovativsten Unternehmen im deutschen Mittelstand ausgezeichnet.</w:t>
      </w:r>
    </w:p>
    <w:p w14:paraId="4F066884" w14:textId="77777777" w:rsidR="005A2547" w:rsidRDefault="00150097" w:rsidP="00150097">
      <w:pPr>
        <w:widowControl/>
        <w:tabs>
          <w:tab w:val="clear" w:pos="567"/>
          <w:tab w:val="left" w:pos="708"/>
        </w:tabs>
        <w:overflowPunct/>
        <w:autoSpaceDE/>
        <w:adjustRightInd/>
        <w:spacing w:line="240" w:lineRule="auto"/>
        <w:rPr>
          <w:rFonts w:eastAsia="Calibri" w:cs="Arial"/>
          <w:i/>
          <w:sz w:val="20"/>
        </w:rPr>
      </w:pPr>
      <w:r w:rsidRPr="00150097">
        <w:rPr>
          <w:rFonts w:eastAsia="Calibri" w:cs="Arial"/>
          <w:i/>
          <w:iCs/>
          <w:sz w:val="20"/>
        </w:rPr>
        <w:t>Zudem wurde Town &amp; Country Haus bei zahlreichen Wettbewerben nominiert.</w:t>
      </w:r>
    </w:p>
    <w:p w14:paraId="43E47901" w14:textId="77777777" w:rsidR="001B2A56" w:rsidRDefault="001B2A56" w:rsidP="007B7B17">
      <w:pPr>
        <w:widowControl/>
        <w:tabs>
          <w:tab w:val="clear" w:pos="567"/>
          <w:tab w:val="left" w:pos="708"/>
        </w:tabs>
        <w:overflowPunct/>
        <w:autoSpaceDE/>
        <w:adjustRightInd/>
        <w:spacing w:line="240" w:lineRule="auto"/>
        <w:rPr>
          <w:rFonts w:eastAsia="Calibri" w:cs="Arial"/>
          <w:b/>
          <w:i/>
          <w:sz w:val="20"/>
        </w:rPr>
      </w:pPr>
    </w:p>
    <w:p w14:paraId="2F02E82B" w14:textId="77777777" w:rsidR="005A2547" w:rsidRDefault="005A2547" w:rsidP="007B7B17">
      <w:pPr>
        <w:widowControl/>
        <w:tabs>
          <w:tab w:val="clear" w:pos="567"/>
          <w:tab w:val="left" w:pos="708"/>
        </w:tabs>
        <w:overflowPunct/>
        <w:autoSpaceDE/>
        <w:adjustRightInd/>
        <w:spacing w:line="240" w:lineRule="auto"/>
        <w:rPr>
          <w:rFonts w:eastAsia="Calibri" w:cs="Arial"/>
          <w:b/>
          <w:i/>
          <w:sz w:val="20"/>
        </w:rPr>
      </w:pPr>
    </w:p>
    <w:p w14:paraId="1D917411" w14:textId="5684B91A" w:rsidR="007B7B17" w:rsidRDefault="007B7B17" w:rsidP="007B7B17">
      <w:pPr>
        <w:widowControl/>
        <w:tabs>
          <w:tab w:val="clear" w:pos="567"/>
          <w:tab w:val="left" w:pos="708"/>
        </w:tabs>
        <w:overflowPunct/>
        <w:autoSpaceDE/>
        <w:adjustRightInd/>
        <w:spacing w:line="240" w:lineRule="auto"/>
        <w:rPr>
          <w:rFonts w:eastAsia="Calibri" w:cs="Arial"/>
          <w:i/>
          <w:sz w:val="20"/>
        </w:rPr>
      </w:pPr>
      <w:r>
        <w:rPr>
          <w:rFonts w:eastAsia="Calibri" w:cs="Arial"/>
          <w:b/>
          <w:bCs/>
          <w:i/>
          <w:sz w:val="20"/>
        </w:rPr>
        <w:t>Firmenkontakt:</w:t>
      </w:r>
      <w:r>
        <w:rPr>
          <w:rFonts w:eastAsia="Calibri" w:cs="Arial"/>
          <w:b/>
          <w:bCs/>
          <w:i/>
          <w:sz w:val="20"/>
        </w:rPr>
        <w:br/>
      </w:r>
      <w:r>
        <w:rPr>
          <w:rFonts w:eastAsia="Calibri" w:cs="Arial"/>
          <w:i/>
          <w:sz w:val="20"/>
        </w:rPr>
        <w:t xml:space="preserve">Sebastian Reif </w:t>
      </w:r>
      <w:r>
        <w:rPr>
          <w:rFonts w:eastAsia="Calibri" w:cs="Arial"/>
          <w:i/>
          <w:sz w:val="20"/>
        </w:rPr>
        <w:br/>
        <w:t xml:space="preserve">Town &amp; Country Haus Lizenzgeber GmbH </w:t>
      </w:r>
      <w:r>
        <w:rPr>
          <w:rFonts w:eastAsia="Calibri" w:cs="Arial"/>
          <w:i/>
          <w:sz w:val="20"/>
        </w:rPr>
        <w:br/>
        <w:t xml:space="preserve">Hauptstr. 90 E </w:t>
      </w:r>
      <w:r>
        <w:rPr>
          <w:rFonts w:eastAsia="Calibri" w:cs="Arial"/>
          <w:i/>
          <w:sz w:val="20"/>
        </w:rPr>
        <w:br/>
        <w:t xml:space="preserve">99820 </w:t>
      </w:r>
      <w:proofErr w:type="spellStart"/>
      <w:r>
        <w:rPr>
          <w:rFonts w:eastAsia="Calibri" w:cs="Arial"/>
          <w:i/>
          <w:sz w:val="20"/>
        </w:rPr>
        <w:t>Hörselberg-Hainich</w:t>
      </w:r>
      <w:proofErr w:type="spellEnd"/>
      <w:r>
        <w:rPr>
          <w:rFonts w:eastAsia="Calibri" w:cs="Arial"/>
          <w:i/>
          <w:sz w:val="20"/>
        </w:rPr>
        <w:t xml:space="preserve"> OT </w:t>
      </w:r>
      <w:proofErr w:type="spellStart"/>
      <w:r>
        <w:rPr>
          <w:rFonts w:eastAsia="Calibri" w:cs="Arial"/>
          <w:i/>
          <w:sz w:val="20"/>
        </w:rPr>
        <w:t>Behringen</w:t>
      </w:r>
      <w:proofErr w:type="spellEnd"/>
      <w:r>
        <w:rPr>
          <w:rFonts w:eastAsia="Calibri" w:cs="Arial"/>
          <w:i/>
          <w:sz w:val="20"/>
        </w:rPr>
        <w:t xml:space="preserve"> </w:t>
      </w:r>
      <w:r>
        <w:rPr>
          <w:rFonts w:eastAsia="Calibri" w:cs="Arial"/>
          <w:i/>
          <w:sz w:val="20"/>
        </w:rPr>
        <w:br/>
        <w:t xml:space="preserve">Tel. 036254-7 5 0 </w:t>
      </w:r>
      <w:r>
        <w:rPr>
          <w:rFonts w:eastAsia="Calibri" w:cs="Arial"/>
          <w:i/>
          <w:sz w:val="20"/>
        </w:rPr>
        <w:br/>
        <w:t>Fax 036254-7 5 140</w:t>
      </w:r>
      <w:r>
        <w:rPr>
          <w:rFonts w:eastAsia="Calibri" w:cs="Arial"/>
          <w:i/>
          <w:sz w:val="20"/>
        </w:rPr>
        <w:br/>
        <w:t xml:space="preserve">E-Mail </w:t>
      </w:r>
      <w:hyperlink r:id="rId12" w:history="1">
        <w:r w:rsidR="000B7992" w:rsidRPr="004F4649">
          <w:rPr>
            <w:rStyle w:val="Link"/>
            <w:rFonts w:eastAsia="Calibri" w:cs="Arial"/>
            <w:i/>
            <w:sz w:val="20"/>
          </w:rPr>
          <w:t>presse</w:t>
        </w:r>
        <w:r w:rsidR="000B7992" w:rsidRPr="004F4649">
          <w:rPr>
            <w:rStyle w:val="Link"/>
            <w:rFonts w:eastAsia="Calibri" w:cs="Arial"/>
            <w:i/>
            <w:sz w:val="20"/>
          </w:rPr>
          <w:t>@tc.</w:t>
        </w:r>
        <w:r w:rsidR="000B7992" w:rsidRPr="004F4649">
          <w:rPr>
            <w:rStyle w:val="Link"/>
            <w:rFonts w:eastAsia="Calibri" w:cs="Arial"/>
            <w:i/>
            <w:sz w:val="20"/>
          </w:rPr>
          <w:t>de</w:t>
        </w:r>
      </w:hyperlink>
      <w:r>
        <w:rPr>
          <w:rFonts w:eastAsia="Calibri" w:cs="Arial"/>
          <w:i/>
          <w:sz w:val="20"/>
        </w:rPr>
        <w:br/>
      </w:r>
      <w:hyperlink r:id="rId13" w:history="1">
        <w:r>
          <w:rPr>
            <w:rStyle w:val="Link"/>
            <w:rFonts w:eastAsia="Calibri" w:cs="Arial"/>
            <w:i/>
            <w:sz w:val="20"/>
          </w:rPr>
          <w:t>www.HausAusstellung.de</w:t>
        </w:r>
      </w:hyperlink>
    </w:p>
    <w:p w14:paraId="701E7DB9" w14:textId="77777777" w:rsidR="0064059F" w:rsidRPr="00C46056" w:rsidRDefault="0064059F" w:rsidP="00C46056">
      <w:pPr>
        <w:rPr>
          <w:rFonts w:cs="Arial"/>
          <w:sz w:val="23"/>
          <w:szCs w:val="23"/>
        </w:rPr>
      </w:pPr>
    </w:p>
    <w:sectPr w:rsidR="0064059F" w:rsidRPr="00C46056" w:rsidSect="00174595">
      <w:footerReference w:type="default" r:id="rId14"/>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C7CA8" w14:textId="77777777" w:rsidR="007F3962" w:rsidRDefault="007F3962">
      <w:r>
        <w:separator/>
      </w:r>
    </w:p>
  </w:endnote>
  <w:endnote w:type="continuationSeparator" w:id="0">
    <w:p w14:paraId="3C09DF92" w14:textId="77777777" w:rsidR="007F3962" w:rsidRDefault="007F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EA325" w14:textId="77777777" w:rsidR="007F3962" w:rsidRDefault="007F3962">
      <w:r>
        <w:separator/>
      </w:r>
    </w:p>
  </w:footnote>
  <w:footnote w:type="continuationSeparator" w:id="0">
    <w:p w14:paraId="787CCF96" w14:textId="77777777" w:rsidR="007F3962" w:rsidRDefault="007F39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48B"/>
    <w:rsid w:val="00253784"/>
    <w:rsid w:val="00257526"/>
    <w:rsid w:val="00261343"/>
    <w:rsid w:val="00264498"/>
    <w:rsid w:val="00265B5A"/>
    <w:rsid w:val="00266483"/>
    <w:rsid w:val="00270033"/>
    <w:rsid w:val="002703A0"/>
    <w:rsid w:val="00270D2F"/>
    <w:rsid w:val="00276790"/>
    <w:rsid w:val="002771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33D3"/>
    <w:rsid w:val="0030607D"/>
    <w:rsid w:val="00306E2F"/>
    <w:rsid w:val="00310B5B"/>
    <w:rsid w:val="00314793"/>
    <w:rsid w:val="0031619A"/>
    <w:rsid w:val="003229ED"/>
    <w:rsid w:val="00323FA8"/>
    <w:rsid w:val="00326D74"/>
    <w:rsid w:val="003419BA"/>
    <w:rsid w:val="00346F0B"/>
    <w:rsid w:val="00347797"/>
    <w:rsid w:val="00360423"/>
    <w:rsid w:val="00372A2A"/>
    <w:rsid w:val="00373A43"/>
    <w:rsid w:val="00382BFC"/>
    <w:rsid w:val="00390C6D"/>
    <w:rsid w:val="003A2117"/>
    <w:rsid w:val="003A4831"/>
    <w:rsid w:val="003B17DA"/>
    <w:rsid w:val="003C14A8"/>
    <w:rsid w:val="003C2D09"/>
    <w:rsid w:val="003E16AA"/>
    <w:rsid w:val="003E1FC8"/>
    <w:rsid w:val="003F2BD3"/>
    <w:rsid w:val="003F70FB"/>
    <w:rsid w:val="00402CBF"/>
    <w:rsid w:val="004048F1"/>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69F1"/>
    <w:rsid w:val="00766BB0"/>
    <w:rsid w:val="00774B10"/>
    <w:rsid w:val="007771C0"/>
    <w:rsid w:val="00782E32"/>
    <w:rsid w:val="00787649"/>
    <w:rsid w:val="00787A20"/>
    <w:rsid w:val="00790829"/>
    <w:rsid w:val="007A2DEC"/>
    <w:rsid w:val="007B2426"/>
    <w:rsid w:val="007B68B8"/>
    <w:rsid w:val="007B7B17"/>
    <w:rsid w:val="007C5BD1"/>
    <w:rsid w:val="007D15F0"/>
    <w:rsid w:val="007E0E70"/>
    <w:rsid w:val="007E1881"/>
    <w:rsid w:val="007E7DCB"/>
    <w:rsid w:val="007F3962"/>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507B6"/>
    <w:rsid w:val="00951ECD"/>
    <w:rsid w:val="00957411"/>
    <w:rsid w:val="00966126"/>
    <w:rsid w:val="00972DA3"/>
    <w:rsid w:val="00976070"/>
    <w:rsid w:val="0097637F"/>
    <w:rsid w:val="0098546E"/>
    <w:rsid w:val="00990B56"/>
    <w:rsid w:val="0099153A"/>
    <w:rsid w:val="00993782"/>
    <w:rsid w:val="009966C0"/>
    <w:rsid w:val="009A3E1F"/>
    <w:rsid w:val="009B75BC"/>
    <w:rsid w:val="009D1D44"/>
    <w:rsid w:val="009D618E"/>
    <w:rsid w:val="009E7096"/>
    <w:rsid w:val="009F0A93"/>
    <w:rsid w:val="009F17C5"/>
    <w:rsid w:val="009F73E5"/>
    <w:rsid w:val="00A03C5E"/>
    <w:rsid w:val="00A23CC0"/>
    <w:rsid w:val="00A35283"/>
    <w:rsid w:val="00A3730B"/>
    <w:rsid w:val="00A56075"/>
    <w:rsid w:val="00A574BC"/>
    <w:rsid w:val="00A63C8D"/>
    <w:rsid w:val="00A64AFE"/>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73B06"/>
    <w:rsid w:val="00B73CC4"/>
    <w:rsid w:val="00B907D9"/>
    <w:rsid w:val="00B911D0"/>
    <w:rsid w:val="00B96DAC"/>
    <w:rsid w:val="00BA097C"/>
    <w:rsid w:val="00BA2C98"/>
    <w:rsid w:val="00BB5D22"/>
    <w:rsid w:val="00BC2D96"/>
    <w:rsid w:val="00BD7E23"/>
    <w:rsid w:val="00BE1785"/>
    <w:rsid w:val="00BE7ABA"/>
    <w:rsid w:val="00BF06DD"/>
    <w:rsid w:val="00BF1EBB"/>
    <w:rsid w:val="00BF4F2C"/>
    <w:rsid w:val="00C11C4C"/>
    <w:rsid w:val="00C21395"/>
    <w:rsid w:val="00C27869"/>
    <w:rsid w:val="00C32A86"/>
    <w:rsid w:val="00C34A5D"/>
    <w:rsid w:val="00C35F70"/>
    <w:rsid w:val="00C35F9B"/>
    <w:rsid w:val="00C417B2"/>
    <w:rsid w:val="00C442E5"/>
    <w:rsid w:val="00C456E5"/>
    <w:rsid w:val="00C46056"/>
    <w:rsid w:val="00C47A3A"/>
    <w:rsid w:val="00C52011"/>
    <w:rsid w:val="00C652BA"/>
    <w:rsid w:val="00C6715E"/>
    <w:rsid w:val="00C712CF"/>
    <w:rsid w:val="00C731C1"/>
    <w:rsid w:val="00C8007D"/>
    <w:rsid w:val="00C8236F"/>
    <w:rsid w:val="00C83369"/>
    <w:rsid w:val="00C87415"/>
    <w:rsid w:val="00C87D38"/>
    <w:rsid w:val="00C93902"/>
    <w:rsid w:val="00C94CF2"/>
    <w:rsid w:val="00C96520"/>
    <w:rsid w:val="00CA04D1"/>
    <w:rsid w:val="00CA22C5"/>
    <w:rsid w:val="00CC38C5"/>
    <w:rsid w:val="00CC63B9"/>
    <w:rsid w:val="00CC764B"/>
    <w:rsid w:val="00CD2F4D"/>
    <w:rsid w:val="00CD4A5B"/>
    <w:rsid w:val="00CD6CFA"/>
    <w:rsid w:val="00CE0317"/>
    <w:rsid w:val="00CE395F"/>
    <w:rsid w:val="00CE489E"/>
    <w:rsid w:val="00CE6322"/>
    <w:rsid w:val="00CF3B5B"/>
    <w:rsid w:val="00CF433A"/>
    <w:rsid w:val="00D04247"/>
    <w:rsid w:val="00D17949"/>
    <w:rsid w:val="00D209C9"/>
    <w:rsid w:val="00D2333D"/>
    <w:rsid w:val="00D44739"/>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limascout.de/buerger/index.php?title=Betroffene:_Hausbesitzer" TargetMode="External"/><Relationship Id="rId12" Type="http://schemas.openxmlformats.org/officeDocument/2006/relationships/hyperlink" Target="mailto:presse@tc.de" TargetMode="External"/><Relationship Id="rId13" Type="http://schemas.openxmlformats.org/officeDocument/2006/relationships/hyperlink" Target="http://www.HausAusstellung.de"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immobilien-journal.de/bauen/oekologisches-bauen/veraenderte-umwelteinfluesse-bei-privaten-bauvorhaben-im-blick-haben/" TargetMode="External"/><Relationship Id="rId10" Type="http://schemas.openxmlformats.org/officeDocument/2006/relationships/hyperlink" Target="http://www.gdv.de/wp-content/uploads/2016/09/GDV_Faktenblatt_Klimastudie_2011_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283C9-AC0B-CB47-B6E4-F5121B6F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C:\Users\Barton Schinke\AppData\Roaming\Microsoft\Templates\110\TCPM_2017-02.dotx</Template>
  <TotalTime>0</TotalTime>
  <Pages>3</Pages>
  <Words>724</Words>
  <Characters>4562</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5276</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Karin Poppe</cp:lastModifiedBy>
  <cp:revision>4</cp:revision>
  <cp:lastPrinted>2017-06-08T11:34:00Z</cp:lastPrinted>
  <dcterms:created xsi:type="dcterms:W3CDTF">2017-07-04T09:47:00Z</dcterms:created>
  <dcterms:modified xsi:type="dcterms:W3CDTF">2017-07-04T09:55:00Z</dcterms:modified>
</cp:coreProperties>
</file>