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FE" w:rsidRDefault="005A6722" w:rsidP="002407C7">
      <w:pPr>
        <w:rPr>
          <w:rFonts w:ascii="Calibri" w:hAnsi="Calibri"/>
          <w:sz w:val="24"/>
          <w:szCs w:val="24"/>
        </w:rPr>
      </w:pPr>
      <w:r w:rsidRPr="005A6722">
        <w:rPr>
          <w:b/>
          <w:sz w:val="52"/>
          <w:szCs w:val="52"/>
        </w:rPr>
        <w:t>B</w:t>
      </w:r>
      <w:r w:rsidRPr="005A6722">
        <w:rPr>
          <w:rFonts w:cs="Times New Roman"/>
          <w:b/>
          <w:sz w:val="52"/>
          <w:szCs w:val="52"/>
        </w:rPr>
        <w:t>unnfradrag</w:t>
      </w:r>
      <w:r w:rsidR="002407C7">
        <w:rPr>
          <w:rFonts w:cs="Times New Roman"/>
          <w:b/>
          <w:sz w:val="52"/>
          <w:szCs w:val="52"/>
        </w:rPr>
        <w:t xml:space="preserve"> på eiendomsskatt</w:t>
      </w:r>
      <w:r w:rsidR="001A2292">
        <w:rPr>
          <w:rFonts w:cs="Times New Roman"/>
          <w:b/>
          <w:sz w:val="52"/>
          <w:szCs w:val="52"/>
        </w:rPr>
        <w:br/>
      </w:r>
      <w:r w:rsidR="002407C7" w:rsidRPr="005F744E">
        <w:rPr>
          <w:rFonts w:ascii="Calibri" w:hAnsi="Calibri"/>
          <w:sz w:val="24"/>
          <w:szCs w:val="24"/>
        </w:rPr>
        <w:t xml:space="preserve">Noen kommuner har redusert grunnlaget for eiendomsskatten på boliger ved å gi et bunnfradrag på taksten. Metoden for beregning av eiendomsskatt er i prinsippet takst minus bunnfradrag ganget med skattepromille. </w:t>
      </w:r>
      <w:r w:rsidR="002407C7">
        <w:rPr>
          <w:rFonts w:ascii="Calibri" w:hAnsi="Calibri"/>
          <w:sz w:val="24"/>
          <w:szCs w:val="24"/>
        </w:rPr>
        <w:t>Flertallet av kommunene som har innført eiendomsskatt på bolig har ikke bunnfradrag. Oslo kommune har innført et bunnfradrag på 4 millioner kroner og skiller seg klart ut blant kommunene som har innført bunnfradrag på eiendomsskatt på bolig.</w:t>
      </w:r>
    </w:p>
    <w:p w:rsidR="007A3752" w:rsidRDefault="009A6281" w:rsidP="00ED17DA">
      <w:pPr>
        <w:tabs>
          <w:tab w:val="left" w:pos="-720"/>
        </w:tabs>
        <w:suppressAutoHyphens/>
        <w:rPr>
          <w:color w:val="000000"/>
          <w:sz w:val="24"/>
          <w:szCs w:val="24"/>
        </w:rPr>
      </w:pPr>
      <w:r>
        <w:rPr>
          <w:noProof/>
          <w:lang w:eastAsia="nb-NO"/>
        </w:rPr>
        <w:drawing>
          <wp:inline distT="0" distB="0" distL="0" distR="0" wp14:anchorId="53FE68C1" wp14:editId="62088292">
            <wp:extent cx="5760720" cy="3555282"/>
            <wp:effectExtent l="0" t="0" r="11430" b="2667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9A4" w:rsidRDefault="008041D2" w:rsidP="00ED17DA">
      <w:pPr>
        <w:tabs>
          <w:tab w:val="left" w:pos="-720"/>
        </w:tabs>
        <w:suppressAutoHyphens/>
        <w:rPr>
          <w:color w:val="000000"/>
          <w:sz w:val="24"/>
          <w:szCs w:val="24"/>
        </w:rPr>
      </w:pPr>
      <w:r>
        <w:rPr>
          <w:noProof/>
          <w:lang w:eastAsia="nb-NO"/>
        </w:rPr>
        <w:drawing>
          <wp:inline distT="0" distB="0" distL="0" distR="0" wp14:anchorId="52DCBE49" wp14:editId="4443CBBE">
            <wp:extent cx="5760720" cy="3170776"/>
            <wp:effectExtent l="0" t="0" r="11430" b="1079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4783" w:rsidRPr="0096215C" w:rsidRDefault="00F24F1E" w:rsidP="00ED17DA">
      <w:pPr>
        <w:tabs>
          <w:tab w:val="left" w:pos="-720"/>
        </w:tabs>
        <w:suppressAutoHyphens/>
        <w:rPr>
          <w:color w:val="000000"/>
          <w:sz w:val="24"/>
          <w:szCs w:val="24"/>
        </w:rPr>
      </w:pPr>
      <w:r>
        <w:rPr>
          <w:b/>
          <w:sz w:val="52"/>
          <w:szCs w:val="52"/>
        </w:rPr>
        <w:lastRenderedPageBreak/>
        <w:t>U</w:t>
      </w:r>
      <w:r w:rsidR="00B438FF">
        <w:rPr>
          <w:b/>
          <w:sz w:val="52"/>
          <w:szCs w:val="52"/>
        </w:rPr>
        <w:t>vanlig med b</w:t>
      </w:r>
      <w:r w:rsidR="00B438FF" w:rsidRPr="005A6722">
        <w:rPr>
          <w:rFonts w:cs="Times New Roman"/>
          <w:b/>
          <w:sz w:val="52"/>
          <w:szCs w:val="52"/>
        </w:rPr>
        <w:t>unnfradrag</w:t>
      </w:r>
      <w:r w:rsidR="00B438FF">
        <w:rPr>
          <w:rFonts w:cs="Times New Roman"/>
          <w:b/>
          <w:sz w:val="52"/>
          <w:szCs w:val="52"/>
        </w:rPr>
        <w:t xml:space="preserve"> </w:t>
      </w:r>
      <w:r w:rsidR="00685A84">
        <w:rPr>
          <w:rFonts w:cs="Times New Roman"/>
          <w:b/>
          <w:sz w:val="52"/>
          <w:szCs w:val="52"/>
        </w:rPr>
        <w:br/>
      </w:r>
      <w:r w:rsidR="00F64783">
        <w:rPr>
          <w:color w:val="000000"/>
          <w:sz w:val="24"/>
          <w:szCs w:val="24"/>
        </w:rPr>
        <w:t xml:space="preserve">158 av landets 428 kommuner </w:t>
      </w:r>
      <w:r>
        <w:rPr>
          <w:color w:val="000000"/>
          <w:sz w:val="24"/>
          <w:szCs w:val="24"/>
        </w:rPr>
        <w:t xml:space="preserve">som </w:t>
      </w:r>
      <w:r w:rsidR="00F64783">
        <w:rPr>
          <w:color w:val="000000"/>
          <w:sz w:val="24"/>
          <w:szCs w:val="24"/>
        </w:rPr>
        <w:t xml:space="preserve">har ikke eiendomsskatt på bolig. </w:t>
      </w:r>
      <w:r>
        <w:rPr>
          <w:color w:val="000000"/>
          <w:sz w:val="24"/>
          <w:szCs w:val="24"/>
        </w:rPr>
        <w:t xml:space="preserve">174 kommuner </w:t>
      </w:r>
      <w:r w:rsidR="000B34E3">
        <w:rPr>
          <w:color w:val="000000"/>
          <w:sz w:val="24"/>
          <w:szCs w:val="24"/>
        </w:rPr>
        <w:t>med</w:t>
      </w:r>
      <w:r w:rsidR="0096215C">
        <w:rPr>
          <w:color w:val="000000"/>
          <w:sz w:val="24"/>
          <w:szCs w:val="24"/>
        </w:rPr>
        <w:t xml:space="preserve"> eiendomsskatt på bolig</w:t>
      </w:r>
      <w:r>
        <w:rPr>
          <w:color w:val="000000"/>
          <w:sz w:val="24"/>
          <w:szCs w:val="24"/>
        </w:rPr>
        <w:t xml:space="preserve"> bruker ikke bunnfradrag. Dette vil si at for til sammen 78 prosent av norske kommuner gjelder ikke problematikken med bunnfradrag</w:t>
      </w:r>
      <w:r w:rsidR="0096215C">
        <w:rPr>
          <w:color w:val="000000"/>
          <w:sz w:val="24"/>
          <w:szCs w:val="24"/>
        </w:rPr>
        <w:t xml:space="preserve">. </w:t>
      </w:r>
      <w:r>
        <w:rPr>
          <w:color w:val="000000"/>
          <w:sz w:val="24"/>
          <w:szCs w:val="24"/>
        </w:rPr>
        <w:t>Av de få kommunene som bruker bunnfradrag på taksten ved beregning av eiendomsskatt på bolig, opererer de fleste med lave bunnfradrag. S</w:t>
      </w:r>
      <w:r w:rsidR="00160AB8">
        <w:rPr>
          <w:color w:val="000000"/>
          <w:sz w:val="24"/>
          <w:szCs w:val="24"/>
        </w:rPr>
        <w:t>vært få kommu</w:t>
      </w:r>
      <w:r>
        <w:rPr>
          <w:color w:val="000000"/>
          <w:sz w:val="24"/>
          <w:szCs w:val="24"/>
        </w:rPr>
        <w:t xml:space="preserve">ner har høye bunnfradrag. </w:t>
      </w:r>
      <w:r w:rsidR="00160AB8">
        <w:rPr>
          <w:color w:val="000000"/>
          <w:sz w:val="24"/>
          <w:szCs w:val="24"/>
        </w:rPr>
        <w:t>Oslos bunnfradrag på 4 millioner kroner skiller seg ut fra alle landets kommuner.</w:t>
      </w:r>
    </w:p>
    <w:p w:rsidR="00FC14AD" w:rsidRDefault="008B5EEE" w:rsidP="00982468">
      <w:pPr>
        <w:rPr>
          <w:b/>
          <w:sz w:val="52"/>
          <w:szCs w:val="52"/>
        </w:rPr>
      </w:pPr>
      <w:r>
        <w:rPr>
          <w:noProof/>
          <w:lang w:eastAsia="nb-NO"/>
        </w:rPr>
        <w:drawing>
          <wp:inline distT="0" distB="0" distL="0" distR="0" wp14:anchorId="158A72DB" wp14:editId="7B650369">
            <wp:extent cx="5924550" cy="3457575"/>
            <wp:effectExtent l="0" t="0" r="19050"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695" w:rsidRDefault="00854103" w:rsidP="00F24878">
      <w:pPr>
        <w:rPr>
          <w:rFonts w:ascii="Calibri" w:hAnsi="Calibri"/>
          <w:b/>
          <w:sz w:val="52"/>
          <w:szCs w:val="52"/>
        </w:rPr>
      </w:pPr>
      <w:r>
        <w:rPr>
          <w:noProof/>
          <w:lang w:eastAsia="nb-NO"/>
        </w:rPr>
        <w:drawing>
          <wp:inline distT="0" distB="0" distL="0" distR="0" wp14:anchorId="4B1F7C02" wp14:editId="33978900">
            <wp:extent cx="5924550" cy="3267075"/>
            <wp:effectExtent l="0" t="0" r="19050" b="952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26AE" w:rsidRDefault="00BC509C" w:rsidP="00F24878">
      <w:pPr>
        <w:rPr>
          <w:rFonts w:ascii="Calibri" w:hAnsi="Calibri"/>
          <w:sz w:val="24"/>
          <w:szCs w:val="24"/>
        </w:rPr>
      </w:pPr>
      <w:r>
        <w:rPr>
          <w:rFonts w:ascii="Calibri" w:hAnsi="Calibri"/>
          <w:b/>
          <w:sz w:val="52"/>
          <w:szCs w:val="52"/>
        </w:rPr>
        <w:br w:type="page"/>
      </w:r>
      <w:r w:rsidR="00F24878" w:rsidRPr="00F24878">
        <w:rPr>
          <w:rFonts w:ascii="Calibri" w:hAnsi="Calibri"/>
          <w:b/>
          <w:sz w:val="52"/>
          <w:szCs w:val="52"/>
        </w:rPr>
        <w:lastRenderedPageBreak/>
        <w:t xml:space="preserve">Eiendomsskatt i Oslo </w:t>
      </w:r>
      <w:r w:rsidR="00F24878" w:rsidRPr="00F24878">
        <w:rPr>
          <w:rFonts w:ascii="Calibri" w:hAnsi="Calibri"/>
          <w:b/>
          <w:sz w:val="52"/>
          <w:szCs w:val="52"/>
        </w:rPr>
        <w:br/>
      </w:r>
      <w:proofErr w:type="spellStart"/>
      <w:r w:rsidR="00701A19">
        <w:rPr>
          <w:rFonts w:ascii="Calibri" w:hAnsi="Calibri"/>
          <w:sz w:val="24"/>
          <w:szCs w:val="24"/>
        </w:rPr>
        <w:t>Oslo</w:t>
      </w:r>
      <w:proofErr w:type="spellEnd"/>
      <w:r w:rsidR="00701A19">
        <w:rPr>
          <w:rFonts w:ascii="Calibri" w:hAnsi="Calibri"/>
          <w:sz w:val="24"/>
          <w:szCs w:val="24"/>
        </w:rPr>
        <w:t xml:space="preserve"> Ap garanterte ved</w:t>
      </w:r>
      <w:r w:rsidR="00F24878">
        <w:rPr>
          <w:rFonts w:ascii="Calibri" w:hAnsi="Calibri"/>
          <w:sz w:val="24"/>
          <w:szCs w:val="24"/>
        </w:rPr>
        <w:t xml:space="preserve"> </w:t>
      </w:r>
      <w:r w:rsidR="00701A19">
        <w:rPr>
          <w:rFonts w:ascii="Calibri" w:hAnsi="Calibri"/>
          <w:sz w:val="24"/>
          <w:szCs w:val="24"/>
        </w:rPr>
        <w:t>kommune</w:t>
      </w:r>
      <w:r w:rsidR="00F24878">
        <w:rPr>
          <w:rFonts w:ascii="Calibri" w:hAnsi="Calibri"/>
          <w:sz w:val="24"/>
          <w:szCs w:val="24"/>
        </w:rPr>
        <w:t>valget i 2015 at bunnfradraget ikke skulle være lavere enn 4 millioner kroner og at kun én av fem boliger ville bli pålagt eiendomsskatt.</w:t>
      </w:r>
      <w:r w:rsidR="00701A19">
        <w:rPr>
          <w:rStyle w:val="Fotnotereferanse"/>
          <w:rFonts w:ascii="Calibri" w:hAnsi="Calibri"/>
          <w:sz w:val="24"/>
          <w:szCs w:val="24"/>
        </w:rPr>
        <w:footnoteReference w:id="1"/>
      </w:r>
      <w:r w:rsidR="00D71129">
        <w:rPr>
          <w:rFonts w:ascii="Calibri" w:hAnsi="Calibri"/>
          <w:sz w:val="24"/>
          <w:szCs w:val="24"/>
        </w:rPr>
        <w:br/>
      </w:r>
      <w:r w:rsidR="00F24878" w:rsidRPr="005F744E">
        <w:rPr>
          <w:rFonts w:ascii="Calibri" w:hAnsi="Calibri"/>
          <w:sz w:val="24"/>
          <w:szCs w:val="24"/>
        </w:rPr>
        <w:t>Finansdepartementet har påpekt at bunnfradraget ikke må fungere som et generelt fritak. Uttalelser fra Finansdepartementet viser at tidligere forsøk på omgåelse av eiendomsskattelovens utskrivningsalternativ ved for høye bunnfradrag har blitt slått ned på.</w:t>
      </w:r>
      <w:r w:rsidR="00F24878">
        <w:rPr>
          <w:rFonts w:ascii="Calibri" w:hAnsi="Calibri"/>
          <w:sz w:val="24"/>
          <w:szCs w:val="24"/>
        </w:rPr>
        <w:t xml:space="preserve"> </w:t>
      </w:r>
      <w:r w:rsidR="00E7223F">
        <w:rPr>
          <w:rFonts w:ascii="Calibri" w:hAnsi="Calibri"/>
          <w:sz w:val="24"/>
          <w:szCs w:val="24"/>
        </w:rPr>
        <w:t xml:space="preserve">Det er en viktig forskjell mellom Stortingets og kommunens adgang til å beskatte. Stortinget har generell beskatningsmyndighet og kan velge å ilegge en skatt som bare rammer noen få. En slik rett har ikke kommunen. </w:t>
      </w:r>
      <w:r w:rsidR="00F24878" w:rsidRPr="005F744E">
        <w:rPr>
          <w:rFonts w:ascii="Calibri" w:hAnsi="Calibri"/>
          <w:sz w:val="24"/>
          <w:szCs w:val="24"/>
        </w:rPr>
        <w:t>Professor i skatterett Fredrik Zimmer ved Universitetet i Oslo har uttalt at det er tvilsomt om bunnfradraget på 4 millioner kroner som Oslo kommune har innført er i tråd med loven.</w:t>
      </w:r>
      <w:r w:rsidR="00F24878" w:rsidRPr="005F744E">
        <w:rPr>
          <w:rStyle w:val="Fotnotereferanse"/>
          <w:rFonts w:ascii="Calibri" w:hAnsi="Calibri"/>
          <w:sz w:val="24"/>
          <w:szCs w:val="24"/>
        </w:rPr>
        <w:footnoteReference w:id="2"/>
      </w:r>
      <w:r w:rsidR="00F24878">
        <w:rPr>
          <w:rFonts w:ascii="Calibri" w:hAnsi="Calibri"/>
          <w:sz w:val="24"/>
          <w:szCs w:val="24"/>
        </w:rPr>
        <w:t xml:space="preserve"> </w:t>
      </w:r>
    </w:p>
    <w:p w:rsidR="00F24878" w:rsidRPr="005F744E" w:rsidRDefault="00F24878" w:rsidP="00F24878">
      <w:pPr>
        <w:rPr>
          <w:rFonts w:ascii="Calibri" w:hAnsi="Calibri"/>
          <w:sz w:val="24"/>
          <w:szCs w:val="24"/>
        </w:rPr>
      </w:pPr>
      <w:r>
        <w:rPr>
          <w:rFonts w:ascii="Calibri" w:hAnsi="Calibri"/>
          <w:sz w:val="24"/>
          <w:szCs w:val="24"/>
        </w:rPr>
        <w:t xml:space="preserve">55.761 eiendommer av totalt 172.922 eiendommer i </w:t>
      </w:r>
      <w:r w:rsidR="000F26AE">
        <w:rPr>
          <w:rFonts w:ascii="Calibri" w:hAnsi="Calibri"/>
          <w:sz w:val="24"/>
          <w:szCs w:val="24"/>
        </w:rPr>
        <w:t>Oslo kommune</w:t>
      </w:r>
      <w:r>
        <w:rPr>
          <w:rFonts w:ascii="Calibri" w:hAnsi="Calibri"/>
          <w:sz w:val="24"/>
          <w:szCs w:val="24"/>
        </w:rPr>
        <w:t xml:space="preserve"> får eiendomsskatt i 2016. Dette innebærer at 32,2 prosent av eiendommene i kommunen får eiendomsskatt.</w:t>
      </w:r>
      <w:r w:rsidR="000F26AE">
        <w:rPr>
          <w:rStyle w:val="Fotnotereferanse"/>
          <w:rFonts w:ascii="Calibri" w:hAnsi="Calibri"/>
          <w:sz w:val="24"/>
          <w:szCs w:val="24"/>
        </w:rPr>
        <w:footnoteReference w:id="3"/>
      </w:r>
    </w:p>
    <w:p w:rsidR="00E4477F" w:rsidRDefault="00701A19" w:rsidP="00982468">
      <w:pPr>
        <w:rPr>
          <w:b/>
          <w:sz w:val="52"/>
          <w:szCs w:val="52"/>
        </w:rPr>
      </w:pPr>
      <w:r>
        <w:rPr>
          <w:noProof/>
          <w:lang w:eastAsia="nb-NO"/>
        </w:rPr>
        <w:drawing>
          <wp:inline distT="0" distB="0" distL="0" distR="0" wp14:anchorId="5DEC037C" wp14:editId="4CAF1352">
            <wp:extent cx="5760720" cy="3927040"/>
            <wp:effectExtent l="0" t="0" r="11430" b="1651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729A" w:rsidRDefault="0049729A" w:rsidP="00982468">
      <w:pPr>
        <w:rPr>
          <w:b/>
          <w:sz w:val="52"/>
          <w:szCs w:val="52"/>
        </w:rPr>
      </w:pPr>
      <w:r>
        <w:rPr>
          <w:b/>
          <w:sz w:val="52"/>
          <w:szCs w:val="52"/>
        </w:rPr>
        <w:br w:type="page"/>
      </w:r>
      <w:r w:rsidR="008E2FAA">
        <w:rPr>
          <w:noProof/>
          <w:lang w:eastAsia="nb-NO"/>
        </w:rPr>
        <w:lastRenderedPageBreak/>
        <w:drawing>
          <wp:inline distT="0" distB="0" distL="0" distR="0" wp14:anchorId="7AB2400E" wp14:editId="53247465">
            <wp:extent cx="5762625" cy="4067175"/>
            <wp:effectExtent l="0" t="0" r="9525" b="9525"/>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0F0B" w:rsidRDefault="00180F0B" w:rsidP="00982468">
      <w:pPr>
        <w:rPr>
          <w:b/>
          <w:sz w:val="52"/>
          <w:szCs w:val="52"/>
        </w:rPr>
      </w:pPr>
      <w:r>
        <w:rPr>
          <w:b/>
          <w:sz w:val="52"/>
          <w:szCs w:val="52"/>
        </w:rPr>
        <w:br w:type="page"/>
      </w:r>
    </w:p>
    <w:p w:rsidR="00180F0B" w:rsidRPr="001A2292" w:rsidRDefault="00180F0B" w:rsidP="00180F0B">
      <w:pPr>
        <w:rPr>
          <w:b/>
          <w:sz w:val="52"/>
          <w:szCs w:val="52"/>
        </w:rPr>
      </w:pPr>
      <w:r>
        <w:rPr>
          <w:b/>
          <w:sz w:val="52"/>
          <w:szCs w:val="52"/>
        </w:rPr>
        <w:lastRenderedPageBreak/>
        <w:t xml:space="preserve">Eiendomsskatt på bolig </w:t>
      </w:r>
      <w:r>
        <w:rPr>
          <w:b/>
          <w:sz w:val="52"/>
          <w:szCs w:val="52"/>
        </w:rPr>
        <w:br/>
      </w:r>
      <w:r w:rsidRPr="001853EC">
        <w:rPr>
          <w:sz w:val="24"/>
          <w:szCs w:val="24"/>
        </w:rPr>
        <w:t>Det er opp til hver enkelt kommune om den skal ha eiendomsskatt eller ikke. Kommunestyret avgjør etter loven om det skal skrives ut eiendomsskatt i kommunen</w:t>
      </w:r>
      <w:r>
        <w:rPr>
          <w:sz w:val="24"/>
          <w:szCs w:val="24"/>
        </w:rPr>
        <w:t>.</w:t>
      </w:r>
      <w:r w:rsidRPr="001853EC">
        <w:rPr>
          <w:rStyle w:val="Fotnotereferanse"/>
          <w:sz w:val="24"/>
          <w:szCs w:val="24"/>
        </w:rPr>
        <w:footnoteReference w:id="4"/>
      </w:r>
      <w:r w:rsidRPr="001853EC">
        <w:rPr>
          <w:sz w:val="24"/>
          <w:szCs w:val="24"/>
        </w:rPr>
        <w:t xml:space="preserve"> Vedtak om innkreving av eiendomsskatt fattes i forbindelse med kommunens budsjett mot slutten av året, etter at statsbudsjettet er saldert og kommunen ser hvilke inntekter den får kommende år. </w:t>
      </w:r>
    </w:p>
    <w:p w:rsidR="00180F0B" w:rsidRDefault="00180F0B" w:rsidP="00180F0B">
      <w:pPr>
        <w:rPr>
          <w:sz w:val="24"/>
          <w:szCs w:val="24"/>
        </w:rPr>
      </w:pPr>
      <w:r w:rsidRPr="00ED17DA">
        <w:rPr>
          <w:sz w:val="24"/>
          <w:szCs w:val="24"/>
        </w:rPr>
        <w:t>Antall kommuner som krever inn eiendomsskatt på bolig har økt betraktelig de siste årene. Av landets 428 kommuner, er det i år 270</w:t>
      </w:r>
      <w:r>
        <w:rPr>
          <w:sz w:val="24"/>
          <w:szCs w:val="24"/>
        </w:rPr>
        <w:t xml:space="preserve"> som har eiendomsskatt på </w:t>
      </w:r>
      <w:proofErr w:type="gramStart"/>
      <w:r>
        <w:rPr>
          <w:sz w:val="24"/>
          <w:szCs w:val="24"/>
        </w:rPr>
        <w:t>bolig</w:t>
      </w:r>
      <w:r w:rsidRPr="00F46893">
        <w:rPr>
          <w:sz w:val="24"/>
          <w:szCs w:val="24"/>
        </w:rPr>
        <w:t xml:space="preserve"> </w:t>
      </w:r>
      <w:r>
        <w:rPr>
          <w:sz w:val="24"/>
          <w:szCs w:val="24"/>
        </w:rPr>
        <w:t>.</w:t>
      </w:r>
      <w:proofErr w:type="gramEnd"/>
      <w:r>
        <w:rPr>
          <w:rStyle w:val="Fotnotereferanse"/>
          <w:sz w:val="24"/>
          <w:szCs w:val="24"/>
        </w:rPr>
        <w:footnoteReference w:id="5"/>
      </w:r>
    </w:p>
    <w:p w:rsidR="00180F0B" w:rsidRDefault="00180F0B" w:rsidP="00180F0B">
      <w:pPr>
        <w:rPr>
          <w:sz w:val="24"/>
          <w:szCs w:val="24"/>
        </w:rPr>
      </w:pPr>
      <w:r>
        <w:rPr>
          <w:noProof/>
          <w:lang w:eastAsia="nb-NO"/>
        </w:rPr>
        <w:drawing>
          <wp:inline distT="0" distB="0" distL="0" distR="0" wp14:anchorId="21C7F6EC" wp14:editId="0F587655">
            <wp:extent cx="5760720" cy="2645791"/>
            <wp:effectExtent l="0" t="0" r="11430" b="2159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0F0B" w:rsidRPr="00375AA8" w:rsidRDefault="00180F0B" w:rsidP="00180F0B">
      <w:pPr>
        <w:tabs>
          <w:tab w:val="left" w:pos="-720"/>
        </w:tabs>
        <w:suppressAutoHyphens/>
        <w:rPr>
          <w:b/>
          <w:snapToGrid w:val="0"/>
          <w:spacing w:val="-3"/>
          <w:sz w:val="24"/>
          <w:szCs w:val="24"/>
        </w:rPr>
      </w:pPr>
      <w:r w:rsidRPr="00375AA8">
        <w:rPr>
          <w:snapToGrid w:val="0"/>
          <w:spacing w:val="-3"/>
          <w:sz w:val="24"/>
          <w:szCs w:val="24"/>
        </w:rPr>
        <w:t xml:space="preserve">Loven gir anledning til å kreve en skatt på inntil 7 promille skatt av en eiendoms verdi og skatten kan skrives ut med en skattesats på mellom 2 og 7 promille av skattegrunnlaget. </w:t>
      </w:r>
    </w:p>
    <w:p w:rsidR="00180F0B" w:rsidRDefault="00180F0B" w:rsidP="00180F0B">
      <w:pPr>
        <w:tabs>
          <w:tab w:val="left" w:pos="-720"/>
        </w:tabs>
        <w:suppressAutoHyphens/>
        <w:rPr>
          <w:sz w:val="24"/>
          <w:szCs w:val="24"/>
        </w:rPr>
      </w:pPr>
      <w:r w:rsidRPr="00ED17DA">
        <w:rPr>
          <w:sz w:val="24"/>
          <w:szCs w:val="24"/>
        </w:rPr>
        <w:t xml:space="preserve">Takstgrunnlaget baserer seg i praksis på regler vedtatt av kommunestyret og kan variere fra en lav takst til full markedsverdi for eiendommen. Takstene skal ikke endres de første 10 årene etter en </w:t>
      </w:r>
      <w:proofErr w:type="spellStart"/>
      <w:r w:rsidRPr="00ED17DA">
        <w:rPr>
          <w:sz w:val="24"/>
          <w:szCs w:val="24"/>
        </w:rPr>
        <w:t>hovedtaksering</w:t>
      </w:r>
      <w:proofErr w:type="spellEnd"/>
      <w:r w:rsidRPr="00ED17DA">
        <w:rPr>
          <w:sz w:val="24"/>
          <w:szCs w:val="24"/>
        </w:rPr>
        <w:t xml:space="preserve">. </w:t>
      </w:r>
    </w:p>
    <w:p w:rsidR="00180F0B" w:rsidRDefault="00180F0B" w:rsidP="00180F0B">
      <w:pPr>
        <w:tabs>
          <w:tab w:val="left" w:pos="-720"/>
        </w:tabs>
        <w:suppressAutoHyphens/>
        <w:rPr>
          <w:color w:val="000000"/>
          <w:sz w:val="24"/>
          <w:szCs w:val="24"/>
        </w:rPr>
      </w:pPr>
      <w:r w:rsidRPr="004C0EAD">
        <w:rPr>
          <w:color w:val="000000"/>
          <w:sz w:val="24"/>
          <w:szCs w:val="24"/>
        </w:rPr>
        <w:t>Kommunene kan benytte ligningstakstene for boliger som grunnlag for kommunal eiendomsskatt</w:t>
      </w:r>
      <w:r>
        <w:rPr>
          <w:color w:val="000000"/>
          <w:sz w:val="24"/>
          <w:szCs w:val="24"/>
        </w:rPr>
        <w:t xml:space="preserve"> (fra </w:t>
      </w:r>
      <w:r w:rsidRPr="00ED17DA">
        <w:rPr>
          <w:sz w:val="24"/>
          <w:szCs w:val="24"/>
        </w:rPr>
        <w:t>og med skatteåret 2014</w:t>
      </w:r>
      <w:r>
        <w:rPr>
          <w:sz w:val="24"/>
          <w:szCs w:val="24"/>
        </w:rPr>
        <w:t xml:space="preserve">). </w:t>
      </w:r>
      <w:r w:rsidRPr="009A0D0A">
        <w:rPr>
          <w:color w:val="000000"/>
          <w:sz w:val="24"/>
          <w:szCs w:val="24"/>
        </w:rPr>
        <w:t xml:space="preserve">Skattedirektoratet foretar beregninger av ligningsverdi på boliger utfra data om eiendommene og oppjusterte markedspriser. Kommuner som velger å bruke ligningstakster på boliger får takstene oversendt fra Skattedirektoratet hvert år. </w:t>
      </w:r>
      <w:r w:rsidRPr="00DC5211">
        <w:rPr>
          <w:color w:val="000000"/>
          <w:sz w:val="24"/>
          <w:szCs w:val="24"/>
        </w:rPr>
        <w:t xml:space="preserve">Noen kommuner har redusert grunnlaget for eiendomsskatten på boliger ved å gi et bunnfradrag på taksten. Metoden for beregning av eiendomsskatt er i prinsippet takst minus bunnfradrag ganget med skattepromille. </w:t>
      </w:r>
    </w:p>
    <w:p w:rsidR="00180F0B" w:rsidRDefault="00180F0B" w:rsidP="00180F0B">
      <w:pPr>
        <w:tabs>
          <w:tab w:val="left" w:pos="-720"/>
        </w:tabs>
        <w:suppressAutoHyphens/>
        <w:rPr>
          <w:color w:val="000000"/>
          <w:sz w:val="24"/>
          <w:szCs w:val="24"/>
        </w:rPr>
      </w:pPr>
    </w:p>
    <w:p w:rsidR="00180F0B" w:rsidRDefault="00180F0B" w:rsidP="00180F0B">
      <w:pPr>
        <w:rPr>
          <w:rFonts w:cs="Times New Roman"/>
          <w:sz w:val="24"/>
          <w:szCs w:val="24"/>
        </w:rPr>
      </w:pPr>
      <w:r w:rsidRPr="00982468">
        <w:rPr>
          <w:b/>
          <w:sz w:val="52"/>
          <w:szCs w:val="52"/>
        </w:rPr>
        <w:lastRenderedPageBreak/>
        <w:t>Boligeiere betaler milliarder</w:t>
      </w:r>
      <w:r>
        <w:rPr>
          <w:b/>
          <w:sz w:val="52"/>
          <w:szCs w:val="52"/>
        </w:rPr>
        <w:br/>
      </w:r>
      <w:r w:rsidRPr="00F76117">
        <w:rPr>
          <w:rFonts w:eastAsia="Times New Roman" w:cs="Times New Roman"/>
          <w:sz w:val="24"/>
          <w:szCs w:val="24"/>
          <w:lang w:eastAsia="nb-NO"/>
        </w:rPr>
        <w:t>Eiendomsskatt er en skatteform med lange tradisjo</w:t>
      </w:r>
      <w:r>
        <w:rPr>
          <w:rFonts w:eastAsia="Times New Roman" w:cs="Times New Roman"/>
          <w:sz w:val="24"/>
          <w:szCs w:val="24"/>
          <w:lang w:eastAsia="nb-NO"/>
        </w:rPr>
        <w:t>ner i Norge og har vært en viktig inntektskilde for kommunene. I</w:t>
      </w:r>
      <w:r w:rsidRPr="00F76117">
        <w:rPr>
          <w:rFonts w:cs="Times New Roman"/>
          <w:sz w:val="24"/>
          <w:szCs w:val="24"/>
        </w:rPr>
        <w:t xml:space="preserve"> forarbeidene til skattelovene av 1911 begrunnet man eiendomsskatten med kommunale investeringer knyttet til fast eiendom, slik som vei, vann og kloakk. </w:t>
      </w:r>
      <w:r>
        <w:rPr>
          <w:rFonts w:cs="Times New Roman"/>
          <w:sz w:val="24"/>
          <w:szCs w:val="24"/>
        </w:rPr>
        <w:t xml:space="preserve">Eiendomsskatt kunne bare utskrives i bymessige områder som var hjemlet i Byskatteloven. </w:t>
      </w:r>
    </w:p>
    <w:p w:rsidR="00180F0B" w:rsidRDefault="00180F0B" w:rsidP="00180F0B">
      <w:pPr>
        <w:rPr>
          <w:rFonts w:cs="Times New Roman"/>
          <w:sz w:val="24"/>
          <w:szCs w:val="24"/>
        </w:rPr>
      </w:pPr>
      <w:r>
        <w:rPr>
          <w:rFonts w:cs="Times New Roman"/>
          <w:sz w:val="24"/>
          <w:szCs w:val="24"/>
        </w:rPr>
        <w:t xml:space="preserve">Kommunene fikk fra 1974 </w:t>
      </w:r>
      <w:r w:rsidRPr="00F76117">
        <w:rPr>
          <w:rFonts w:cs="Times New Roman"/>
          <w:sz w:val="24"/>
          <w:szCs w:val="24"/>
        </w:rPr>
        <w:t xml:space="preserve">hjemmel til å kreve inn avgifter fra brukerne av fast eiendom ved lov om </w:t>
      </w:r>
      <w:r>
        <w:rPr>
          <w:rFonts w:cs="Times New Roman"/>
          <w:sz w:val="24"/>
          <w:szCs w:val="24"/>
        </w:rPr>
        <w:t>vass- og kloakkavgifter</w:t>
      </w:r>
      <w:r w:rsidRPr="00F76117">
        <w:rPr>
          <w:rFonts w:cs="Times New Roman"/>
          <w:sz w:val="24"/>
          <w:szCs w:val="24"/>
        </w:rPr>
        <w:t>.  Loven bygger på selvkostprinsippet slik at brukerne skal dekke alle kostnader med vannforsyning og kloakkanlegg. I Finansdepartementets forslag til ny lov om eiendomsskatt i kommunene sto det at de nye vann- og kloakkavgiftene medførte at det ikke var mulig å begrunne eiendomsskatten med at det offentlige har utgifter til slike formål</w:t>
      </w:r>
      <w:r>
        <w:rPr>
          <w:rFonts w:cs="Times New Roman"/>
          <w:sz w:val="24"/>
          <w:szCs w:val="24"/>
        </w:rPr>
        <w:t>, men loven</w:t>
      </w:r>
      <w:r w:rsidRPr="00F76117">
        <w:rPr>
          <w:rFonts w:cs="Times New Roman"/>
          <w:sz w:val="24"/>
          <w:szCs w:val="24"/>
        </w:rPr>
        <w:t xml:space="preserve"> ble likevel vedtatt i 1975. I Finansdepartementets forslag sto det at det er naturlig at kommunene vurderer størrelsen på eiendomsskatten ved utskriving av vann- og kloakkavgifter, slik at skatter og avgifter til samm</w:t>
      </w:r>
      <w:r>
        <w:rPr>
          <w:rFonts w:cs="Times New Roman"/>
          <w:sz w:val="24"/>
          <w:szCs w:val="24"/>
        </w:rPr>
        <w:t>en ikke blir urimelig tyngende. I dag betaler boligeiere i landets dyreste kommune nesten 25.000 kroner i eiendomsskatt og kommunale avgifter.</w:t>
      </w:r>
      <w:r>
        <w:rPr>
          <w:rStyle w:val="Fotnotereferanse"/>
          <w:rFonts w:cs="Times New Roman"/>
          <w:sz w:val="24"/>
          <w:szCs w:val="24"/>
        </w:rPr>
        <w:footnoteReference w:id="6"/>
      </w:r>
    </w:p>
    <w:p w:rsidR="00180F0B" w:rsidRPr="001A2292" w:rsidRDefault="00180F0B" w:rsidP="00180F0B">
      <w:pPr>
        <w:rPr>
          <w:rFonts w:cs="Times New Roman"/>
          <w:sz w:val="24"/>
          <w:szCs w:val="24"/>
        </w:rPr>
      </w:pPr>
      <w:r w:rsidRPr="00982468">
        <w:rPr>
          <w:sz w:val="24"/>
          <w:szCs w:val="24"/>
        </w:rPr>
        <w:t>Norske boligeiere blir belastet med stadig mer i eiendomsskatt av kommunene og kommunenes inntekter fra eiendomsskatt på bolig har økt betraktelig de siste årene. På 10 år er kommunenes inntekter fra eiendomsskatt på bolig og fritidseiendom tredoblet. I 2007 var kommunenes inntekter fra eiendomsskatt på bolig og fritidsbolig på 2,1 milliarder kroner. I 2016 må trolig norske bolig- og hytteeiere totalt ut med 6,6 milliarder kroner i kommunal eiendomsskatt</w:t>
      </w:r>
      <w:r>
        <w:rPr>
          <w:sz w:val="24"/>
          <w:szCs w:val="24"/>
        </w:rPr>
        <w:t>.</w:t>
      </w:r>
      <w:r w:rsidRPr="00982468">
        <w:rPr>
          <w:rStyle w:val="Fotnotereferanse"/>
          <w:sz w:val="24"/>
          <w:szCs w:val="24"/>
        </w:rPr>
        <w:footnoteReference w:id="7"/>
      </w:r>
    </w:p>
    <w:p w:rsidR="00180F0B" w:rsidRPr="00982468" w:rsidRDefault="00180F0B" w:rsidP="00180F0B">
      <w:pPr>
        <w:rPr>
          <w:b/>
          <w:sz w:val="24"/>
          <w:szCs w:val="24"/>
        </w:rPr>
      </w:pPr>
      <w:r>
        <w:rPr>
          <w:noProof/>
          <w:lang w:eastAsia="nb-NO"/>
        </w:rPr>
        <w:drawing>
          <wp:inline distT="0" distB="0" distL="0" distR="0" wp14:anchorId="4FC05001" wp14:editId="1FCA07E3">
            <wp:extent cx="5762625" cy="296227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F0B" w:rsidRDefault="00180F0B" w:rsidP="00982468">
      <w:pPr>
        <w:rPr>
          <w:b/>
          <w:sz w:val="52"/>
          <w:szCs w:val="52"/>
        </w:rPr>
      </w:pPr>
      <w:bookmarkStart w:id="0" w:name="_GoBack"/>
      <w:bookmarkEnd w:id="0"/>
    </w:p>
    <w:sectPr w:rsidR="00180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15" w:rsidRDefault="00E31315" w:rsidP="00274318">
      <w:pPr>
        <w:spacing w:after="0" w:line="240" w:lineRule="auto"/>
      </w:pPr>
      <w:r>
        <w:separator/>
      </w:r>
    </w:p>
  </w:endnote>
  <w:endnote w:type="continuationSeparator" w:id="0">
    <w:p w:rsidR="00E31315" w:rsidRDefault="00E31315" w:rsidP="0027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15" w:rsidRDefault="00E31315" w:rsidP="00274318">
      <w:pPr>
        <w:spacing w:after="0" w:line="240" w:lineRule="auto"/>
      </w:pPr>
      <w:r>
        <w:separator/>
      </w:r>
    </w:p>
  </w:footnote>
  <w:footnote w:type="continuationSeparator" w:id="0">
    <w:p w:rsidR="00E31315" w:rsidRDefault="00E31315" w:rsidP="00274318">
      <w:pPr>
        <w:spacing w:after="0" w:line="240" w:lineRule="auto"/>
      </w:pPr>
      <w:r>
        <w:continuationSeparator/>
      </w:r>
    </w:p>
  </w:footnote>
  <w:footnote w:id="1">
    <w:p w:rsidR="00701A19" w:rsidRPr="00701A19" w:rsidRDefault="00701A19">
      <w:pPr>
        <w:pStyle w:val="Fotnotetekst"/>
        <w:rPr>
          <w:sz w:val="16"/>
          <w:szCs w:val="16"/>
        </w:rPr>
      </w:pPr>
      <w:r w:rsidRPr="00701A19">
        <w:rPr>
          <w:rStyle w:val="Fotnotereferanse"/>
          <w:sz w:val="16"/>
          <w:szCs w:val="16"/>
        </w:rPr>
        <w:footnoteRef/>
      </w:r>
      <w:r w:rsidRPr="00701A19">
        <w:rPr>
          <w:sz w:val="16"/>
          <w:szCs w:val="16"/>
        </w:rPr>
        <w:t xml:space="preserve"> Artikkel i Aftenposten, </w:t>
      </w:r>
      <w:r w:rsidRPr="00701A19">
        <w:rPr>
          <w:rStyle w:val="meta-info"/>
          <w:sz w:val="16"/>
          <w:szCs w:val="16"/>
        </w:rPr>
        <w:t>18. nov 2015</w:t>
      </w:r>
    </w:p>
  </w:footnote>
  <w:footnote w:id="2">
    <w:p w:rsidR="00F24878" w:rsidRPr="00701A19" w:rsidRDefault="00F24878" w:rsidP="00F24878">
      <w:pPr>
        <w:pStyle w:val="Fotnotetekst"/>
        <w:rPr>
          <w:sz w:val="16"/>
          <w:szCs w:val="16"/>
        </w:rPr>
      </w:pPr>
      <w:r w:rsidRPr="00701A19">
        <w:rPr>
          <w:rStyle w:val="Fotnotereferanse"/>
          <w:sz w:val="16"/>
          <w:szCs w:val="16"/>
        </w:rPr>
        <w:footnoteRef/>
      </w:r>
      <w:r w:rsidRPr="00701A19">
        <w:rPr>
          <w:sz w:val="16"/>
          <w:szCs w:val="16"/>
        </w:rPr>
        <w:t xml:space="preserve"> Artikkel i Dagens Næringsliv, </w:t>
      </w:r>
      <w:proofErr w:type="gramStart"/>
      <w:r w:rsidRPr="00701A19">
        <w:rPr>
          <w:sz w:val="16"/>
          <w:szCs w:val="16"/>
        </w:rPr>
        <w:t>04.09.2015</w:t>
      </w:r>
      <w:proofErr w:type="gramEnd"/>
      <w:r w:rsidRPr="00701A19">
        <w:rPr>
          <w:sz w:val="16"/>
          <w:szCs w:val="16"/>
        </w:rPr>
        <w:t>.</w:t>
      </w:r>
    </w:p>
  </w:footnote>
  <w:footnote w:id="3">
    <w:p w:rsidR="000F26AE" w:rsidRPr="00701A19" w:rsidRDefault="000F26AE">
      <w:pPr>
        <w:pStyle w:val="Fotnotetekst"/>
        <w:rPr>
          <w:sz w:val="16"/>
          <w:szCs w:val="16"/>
        </w:rPr>
      </w:pPr>
      <w:r w:rsidRPr="00701A19">
        <w:rPr>
          <w:rStyle w:val="Fotnotereferanse"/>
          <w:sz w:val="16"/>
          <w:szCs w:val="16"/>
        </w:rPr>
        <w:footnoteRef/>
      </w:r>
      <w:r w:rsidRPr="00701A19">
        <w:rPr>
          <w:sz w:val="16"/>
          <w:szCs w:val="16"/>
        </w:rPr>
        <w:t xml:space="preserve"> </w:t>
      </w:r>
      <w:r w:rsidRPr="00701A19">
        <w:rPr>
          <w:rFonts w:ascii="Calibri" w:hAnsi="Calibri"/>
          <w:sz w:val="16"/>
          <w:szCs w:val="16"/>
        </w:rPr>
        <w:t>Byrådsavdelingen for finans i Oslo kommune.</w:t>
      </w:r>
    </w:p>
  </w:footnote>
  <w:footnote w:id="4">
    <w:p w:rsidR="00180F0B" w:rsidRPr="00701A19" w:rsidRDefault="00180F0B" w:rsidP="00180F0B">
      <w:pPr>
        <w:pStyle w:val="Fotnotetekst"/>
        <w:rPr>
          <w:sz w:val="16"/>
          <w:szCs w:val="16"/>
        </w:rPr>
      </w:pPr>
      <w:r w:rsidRPr="00701A19">
        <w:rPr>
          <w:rStyle w:val="Fotnotereferanse"/>
          <w:sz w:val="16"/>
          <w:szCs w:val="16"/>
        </w:rPr>
        <w:footnoteRef/>
      </w:r>
      <w:r w:rsidRPr="00701A19">
        <w:rPr>
          <w:sz w:val="16"/>
          <w:szCs w:val="16"/>
        </w:rPr>
        <w:t xml:space="preserve"> Lov om </w:t>
      </w:r>
      <w:proofErr w:type="spellStart"/>
      <w:r w:rsidRPr="00701A19">
        <w:rPr>
          <w:sz w:val="16"/>
          <w:szCs w:val="16"/>
        </w:rPr>
        <w:t>eigedomsskatt</w:t>
      </w:r>
      <w:proofErr w:type="spellEnd"/>
      <w:r w:rsidRPr="00701A19">
        <w:rPr>
          <w:sz w:val="16"/>
          <w:szCs w:val="16"/>
        </w:rPr>
        <w:t xml:space="preserve"> til </w:t>
      </w:r>
      <w:proofErr w:type="spellStart"/>
      <w:r w:rsidRPr="00701A19">
        <w:rPr>
          <w:sz w:val="16"/>
          <w:szCs w:val="16"/>
        </w:rPr>
        <w:t>kommunane</w:t>
      </w:r>
      <w:proofErr w:type="spellEnd"/>
      <w:r w:rsidRPr="00701A19">
        <w:rPr>
          <w:sz w:val="16"/>
          <w:szCs w:val="16"/>
        </w:rPr>
        <w:t xml:space="preserve"> av 6. juni 1975 nr. 29.</w:t>
      </w:r>
    </w:p>
  </w:footnote>
  <w:footnote w:id="5">
    <w:p w:rsidR="00180F0B" w:rsidRPr="00701A19" w:rsidRDefault="00180F0B" w:rsidP="00180F0B">
      <w:pPr>
        <w:pStyle w:val="Fotnotetekst"/>
        <w:rPr>
          <w:sz w:val="16"/>
          <w:szCs w:val="16"/>
        </w:rPr>
      </w:pPr>
      <w:r w:rsidRPr="00701A19">
        <w:rPr>
          <w:rStyle w:val="Fotnotereferanse"/>
          <w:sz w:val="16"/>
          <w:szCs w:val="16"/>
        </w:rPr>
        <w:footnoteRef/>
      </w:r>
      <w:r w:rsidRPr="00701A19">
        <w:rPr>
          <w:sz w:val="16"/>
          <w:szCs w:val="16"/>
        </w:rPr>
        <w:t xml:space="preserve"> Kilde: SSB, KOSTRA.</w:t>
      </w:r>
    </w:p>
  </w:footnote>
  <w:footnote w:id="6">
    <w:p w:rsidR="00180F0B" w:rsidRPr="00701A19" w:rsidRDefault="00180F0B" w:rsidP="00180F0B">
      <w:pPr>
        <w:pStyle w:val="Fotnotetekst"/>
        <w:rPr>
          <w:sz w:val="16"/>
          <w:szCs w:val="16"/>
        </w:rPr>
      </w:pPr>
      <w:r w:rsidRPr="00701A19">
        <w:rPr>
          <w:rStyle w:val="Fotnotereferanse"/>
          <w:sz w:val="16"/>
          <w:szCs w:val="16"/>
        </w:rPr>
        <w:footnoteRef/>
      </w:r>
      <w:r w:rsidRPr="00701A19">
        <w:rPr>
          <w:sz w:val="16"/>
          <w:szCs w:val="16"/>
        </w:rPr>
        <w:t xml:space="preserve"> Kilde: BOLIGFAKTA nr. 5 2016, Huseiernes Landsforbund.</w:t>
      </w:r>
    </w:p>
  </w:footnote>
  <w:footnote w:id="7">
    <w:p w:rsidR="00180F0B" w:rsidRPr="00701A19" w:rsidRDefault="00180F0B" w:rsidP="00180F0B">
      <w:pPr>
        <w:pStyle w:val="Fotnotetekst"/>
        <w:rPr>
          <w:b/>
          <w:sz w:val="16"/>
          <w:szCs w:val="16"/>
        </w:rPr>
      </w:pPr>
      <w:r w:rsidRPr="00701A19">
        <w:rPr>
          <w:rStyle w:val="Fotnotereferanse"/>
          <w:sz w:val="16"/>
          <w:szCs w:val="16"/>
        </w:rPr>
        <w:footnoteRef/>
      </w:r>
      <w:r w:rsidRPr="00701A19">
        <w:rPr>
          <w:sz w:val="16"/>
          <w:szCs w:val="16"/>
        </w:rPr>
        <w:t xml:space="preserve"> Lineær </w:t>
      </w:r>
      <w:proofErr w:type="spellStart"/>
      <w:r w:rsidRPr="00701A19">
        <w:rPr>
          <w:sz w:val="16"/>
          <w:szCs w:val="16"/>
        </w:rPr>
        <w:t>fremskriving</w:t>
      </w:r>
      <w:proofErr w:type="spellEnd"/>
      <w:r w:rsidRPr="00701A19">
        <w:rPr>
          <w:sz w:val="16"/>
          <w:szCs w:val="16"/>
        </w:rPr>
        <w:t xml:space="preserve"> basert på inntekter i 2014 og 2015 fra SSB, KOSTRA.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CF3"/>
    <w:multiLevelType w:val="hybridMultilevel"/>
    <w:tmpl w:val="74125826"/>
    <w:lvl w:ilvl="0" w:tplc="0712BF5C">
      <w:start w:val="1"/>
      <w:numFmt w:val="bullet"/>
      <w:lvlText w:val="•"/>
      <w:lvlJc w:val="left"/>
      <w:pPr>
        <w:tabs>
          <w:tab w:val="num" w:pos="720"/>
        </w:tabs>
        <w:ind w:left="720" w:hanging="360"/>
      </w:pPr>
      <w:rPr>
        <w:rFonts w:ascii="Times New Roman" w:hAnsi="Times New Roman" w:hint="default"/>
      </w:rPr>
    </w:lvl>
    <w:lvl w:ilvl="1" w:tplc="B87029EA" w:tentative="1">
      <w:start w:val="1"/>
      <w:numFmt w:val="bullet"/>
      <w:lvlText w:val="•"/>
      <w:lvlJc w:val="left"/>
      <w:pPr>
        <w:tabs>
          <w:tab w:val="num" w:pos="1440"/>
        </w:tabs>
        <w:ind w:left="1440" w:hanging="360"/>
      </w:pPr>
      <w:rPr>
        <w:rFonts w:ascii="Times New Roman" w:hAnsi="Times New Roman" w:hint="default"/>
      </w:rPr>
    </w:lvl>
    <w:lvl w:ilvl="2" w:tplc="46C2FD64" w:tentative="1">
      <w:start w:val="1"/>
      <w:numFmt w:val="bullet"/>
      <w:lvlText w:val="•"/>
      <w:lvlJc w:val="left"/>
      <w:pPr>
        <w:tabs>
          <w:tab w:val="num" w:pos="2160"/>
        </w:tabs>
        <w:ind w:left="2160" w:hanging="360"/>
      </w:pPr>
      <w:rPr>
        <w:rFonts w:ascii="Times New Roman" w:hAnsi="Times New Roman" w:hint="default"/>
      </w:rPr>
    </w:lvl>
    <w:lvl w:ilvl="3" w:tplc="A39404A0" w:tentative="1">
      <w:start w:val="1"/>
      <w:numFmt w:val="bullet"/>
      <w:lvlText w:val="•"/>
      <w:lvlJc w:val="left"/>
      <w:pPr>
        <w:tabs>
          <w:tab w:val="num" w:pos="2880"/>
        </w:tabs>
        <w:ind w:left="2880" w:hanging="360"/>
      </w:pPr>
      <w:rPr>
        <w:rFonts w:ascii="Times New Roman" w:hAnsi="Times New Roman" w:hint="default"/>
      </w:rPr>
    </w:lvl>
    <w:lvl w:ilvl="4" w:tplc="B2AC18D6" w:tentative="1">
      <w:start w:val="1"/>
      <w:numFmt w:val="bullet"/>
      <w:lvlText w:val="•"/>
      <w:lvlJc w:val="left"/>
      <w:pPr>
        <w:tabs>
          <w:tab w:val="num" w:pos="3600"/>
        </w:tabs>
        <w:ind w:left="3600" w:hanging="360"/>
      </w:pPr>
      <w:rPr>
        <w:rFonts w:ascii="Times New Roman" w:hAnsi="Times New Roman" w:hint="default"/>
      </w:rPr>
    </w:lvl>
    <w:lvl w:ilvl="5" w:tplc="170A5B90" w:tentative="1">
      <w:start w:val="1"/>
      <w:numFmt w:val="bullet"/>
      <w:lvlText w:val="•"/>
      <w:lvlJc w:val="left"/>
      <w:pPr>
        <w:tabs>
          <w:tab w:val="num" w:pos="4320"/>
        </w:tabs>
        <w:ind w:left="4320" w:hanging="360"/>
      </w:pPr>
      <w:rPr>
        <w:rFonts w:ascii="Times New Roman" w:hAnsi="Times New Roman" w:hint="default"/>
      </w:rPr>
    </w:lvl>
    <w:lvl w:ilvl="6" w:tplc="FBE2D35E" w:tentative="1">
      <w:start w:val="1"/>
      <w:numFmt w:val="bullet"/>
      <w:lvlText w:val="•"/>
      <w:lvlJc w:val="left"/>
      <w:pPr>
        <w:tabs>
          <w:tab w:val="num" w:pos="5040"/>
        </w:tabs>
        <w:ind w:left="5040" w:hanging="360"/>
      </w:pPr>
      <w:rPr>
        <w:rFonts w:ascii="Times New Roman" w:hAnsi="Times New Roman" w:hint="default"/>
      </w:rPr>
    </w:lvl>
    <w:lvl w:ilvl="7" w:tplc="4226023C" w:tentative="1">
      <w:start w:val="1"/>
      <w:numFmt w:val="bullet"/>
      <w:lvlText w:val="•"/>
      <w:lvlJc w:val="left"/>
      <w:pPr>
        <w:tabs>
          <w:tab w:val="num" w:pos="5760"/>
        </w:tabs>
        <w:ind w:left="5760" w:hanging="360"/>
      </w:pPr>
      <w:rPr>
        <w:rFonts w:ascii="Times New Roman" w:hAnsi="Times New Roman" w:hint="default"/>
      </w:rPr>
    </w:lvl>
    <w:lvl w:ilvl="8" w:tplc="18C6C8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18"/>
    <w:rsid w:val="00021501"/>
    <w:rsid w:val="00044FE6"/>
    <w:rsid w:val="0005304C"/>
    <w:rsid w:val="00060D4F"/>
    <w:rsid w:val="00070068"/>
    <w:rsid w:val="00081E45"/>
    <w:rsid w:val="000B34E3"/>
    <w:rsid w:val="000C4409"/>
    <w:rsid w:val="000F26AE"/>
    <w:rsid w:val="00100774"/>
    <w:rsid w:val="00160AB8"/>
    <w:rsid w:val="00165A88"/>
    <w:rsid w:val="00174A95"/>
    <w:rsid w:val="00180F0B"/>
    <w:rsid w:val="001853EC"/>
    <w:rsid w:val="001A2292"/>
    <w:rsid w:val="001A3EEE"/>
    <w:rsid w:val="001D5E39"/>
    <w:rsid w:val="00222751"/>
    <w:rsid w:val="002407C7"/>
    <w:rsid w:val="00262446"/>
    <w:rsid w:val="00274318"/>
    <w:rsid w:val="0029239D"/>
    <w:rsid w:val="002A3E69"/>
    <w:rsid w:val="0032725D"/>
    <w:rsid w:val="00331D2B"/>
    <w:rsid w:val="003370B3"/>
    <w:rsid w:val="00375AA8"/>
    <w:rsid w:val="003A71F8"/>
    <w:rsid w:val="003C49A4"/>
    <w:rsid w:val="003C7D80"/>
    <w:rsid w:val="003F2745"/>
    <w:rsid w:val="00441158"/>
    <w:rsid w:val="00442DA2"/>
    <w:rsid w:val="00450FDE"/>
    <w:rsid w:val="004604BB"/>
    <w:rsid w:val="0049729A"/>
    <w:rsid w:val="004A2C43"/>
    <w:rsid w:val="004C02CD"/>
    <w:rsid w:val="004C0EAD"/>
    <w:rsid w:val="00504584"/>
    <w:rsid w:val="0050582D"/>
    <w:rsid w:val="005621A4"/>
    <w:rsid w:val="005725AB"/>
    <w:rsid w:val="005773C5"/>
    <w:rsid w:val="005A285F"/>
    <w:rsid w:val="005A6722"/>
    <w:rsid w:val="005E482F"/>
    <w:rsid w:val="00623695"/>
    <w:rsid w:val="00670516"/>
    <w:rsid w:val="00673FD2"/>
    <w:rsid w:val="00685A84"/>
    <w:rsid w:val="00686190"/>
    <w:rsid w:val="006A122C"/>
    <w:rsid w:val="006A1EFF"/>
    <w:rsid w:val="00701A19"/>
    <w:rsid w:val="00701B8B"/>
    <w:rsid w:val="00706EBD"/>
    <w:rsid w:val="00712B88"/>
    <w:rsid w:val="00766CB0"/>
    <w:rsid w:val="00774377"/>
    <w:rsid w:val="007A3752"/>
    <w:rsid w:val="007E7F8F"/>
    <w:rsid w:val="007F107D"/>
    <w:rsid w:val="007F63AA"/>
    <w:rsid w:val="008041D2"/>
    <w:rsid w:val="008119F9"/>
    <w:rsid w:val="008228B8"/>
    <w:rsid w:val="00837372"/>
    <w:rsid w:val="00854103"/>
    <w:rsid w:val="00861C88"/>
    <w:rsid w:val="00894052"/>
    <w:rsid w:val="008A77C1"/>
    <w:rsid w:val="008B080C"/>
    <w:rsid w:val="008B41F1"/>
    <w:rsid w:val="008B5EEE"/>
    <w:rsid w:val="008B5EF4"/>
    <w:rsid w:val="008D2BED"/>
    <w:rsid w:val="008E2FAA"/>
    <w:rsid w:val="008E34B8"/>
    <w:rsid w:val="00905ECE"/>
    <w:rsid w:val="0093640D"/>
    <w:rsid w:val="00956D95"/>
    <w:rsid w:val="0096215C"/>
    <w:rsid w:val="00982468"/>
    <w:rsid w:val="00995D7C"/>
    <w:rsid w:val="009A0D0A"/>
    <w:rsid w:val="009A6281"/>
    <w:rsid w:val="009C2F7F"/>
    <w:rsid w:val="009C425C"/>
    <w:rsid w:val="009E3DAC"/>
    <w:rsid w:val="00A21B8A"/>
    <w:rsid w:val="00A4508E"/>
    <w:rsid w:val="00A50133"/>
    <w:rsid w:val="00AA6D15"/>
    <w:rsid w:val="00AB1DEF"/>
    <w:rsid w:val="00AD1739"/>
    <w:rsid w:val="00AE468A"/>
    <w:rsid w:val="00B04451"/>
    <w:rsid w:val="00B30AEE"/>
    <w:rsid w:val="00B438FF"/>
    <w:rsid w:val="00B8701A"/>
    <w:rsid w:val="00BA2036"/>
    <w:rsid w:val="00BB2293"/>
    <w:rsid w:val="00BC509C"/>
    <w:rsid w:val="00C034C9"/>
    <w:rsid w:val="00C149DE"/>
    <w:rsid w:val="00C32992"/>
    <w:rsid w:val="00C4515F"/>
    <w:rsid w:val="00C53677"/>
    <w:rsid w:val="00C639DC"/>
    <w:rsid w:val="00C77AE3"/>
    <w:rsid w:val="00C96658"/>
    <w:rsid w:val="00CC344F"/>
    <w:rsid w:val="00CD11D6"/>
    <w:rsid w:val="00CD2E9E"/>
    <w:rsid w:val="00D71129"/>
    <w:rsid w:val="00D76AFE"/>
    <w:rsid w:val="00DB3B26"/>
    <w:rsid w:val="00DC5211"/>
    <w:rsid w:val="00DD23F3"/>
    <w:rsid w:val="00E07484"/>
    <w:rsid w:val="00E26097"/>
    <w:rsid w:val="00E31315"/>
    <w:rsid w:val="00E4477F"/>
    <w:rsid w:val="00E555FD"/>
    <w:rsid w:val="00E707EB"/>
    <w:rsid w:val="00E7223F"/>
    <w:rsid w:val="00E83BDA"/>
    <w:rsid w:val="00E8500F"/>
    <w:rsid w:val="00EC5697"/>
    <w:rsid w:val="00EC7EFD"/>
    <w:rsid w:val="00ED17DA"/>
    <w:rsid w:val="00EF4722"/>
    <w:rsid w:val="00F12C4B"/>
    <w:rsid w:val="00F24878"/>
    <w:rsid w:val="00F24F1E"/>
    <w:rsid w:val="00F46893"/>
    <w:rsid w:val="00F64783"/>
    <w:rsid w:val="00FA133E"/>
    <w:rsid w:val="00FC12C3"/>
    <w:rsid w:val="00FC14AD"/>
    <w:rsid w:val="00FC1E9D"/>
    <w:rsid w:val="00FC4EFC"/>
    <w:rsid w:val="00FD2643"/>
    <w:rsid w:val="00FE0240"/>
    <w:rsid w:val="00FF0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743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4318"/>
    <w:rPr>
      <w:rFonts w:ascii="Tahoma" w:hAnsi="Tahoma" w:cs="Tahoma"/>
      <w:sz w:val="16"/>
      <w:szCs w:val="16"/>
    </w:rPr>
  </w:style>
  <w:style w:type="paragraph" w:styleId="Fotnotetekst">
    <w:name w:val="footnote text"/>
    <w:basedOn w:val="Normal"/>
    <w:link w:val="FotnotetekstTegn"/>
    <w:uiPriority w:val="99"/>
    <w:semiHidden/>
    <w:unhideWhenUsed/>
    <w:rsid w:val="0027431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74318"/>
    <w:rPr>
      <w:sz w:val="20"/>
      <w:szCs w:val="20"/>
    </w:rPr>
  </w:style>
  <w:style w:type="character" w:styleId="Fotnotereferanse">
    <w:name w:val="footnote reference"/>
    <w:basedOn w:val="Standardskriftforavsnitt"/>
    <w:uiPriority w:val="99"/>
    <w:semiHidden/>
    <w:unhideWhenUsed/>
    <w:rsid w:val="00274318"/>
    <w:rPr>
      <w:vertAlign w:val="superscript"/>
    </w:rPr>
  </w:style>
  <w:style w:type="character" w:customStyle="1" w:styleId="focus">
    <w:name w:val="focus"/>
    <w:basedOn w:val="Standardskriftforavsnitt"/>
    <w:rsid w:val="009C2F7F"/>
  </w:style>
  <w:style w:type="character" w:customStyle="1" w:styleId="longdoc-highlight">
    <w:name w:val="longdoc-highlight"/>
    <w:basedOn w:val="Standardskriftforavsnitt"/>
    <w:rsid w:val="00BB2293"/>
  </w:style>
  <w:style w:type="paragraph" w:styleId="NormalWeb">
    <w:name w:val="Normal (Web)"/>
    <w:basedOn w:val="Normal"/>
    <w:uiPriority w:val="99"/>
    <w:semiHidden/>
    <w:unhideWhenUsed/>
    <w:rsid w:val="00BB22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eta-info">
    <w:name w:val="meta-info"/>
    <w:basedOn w:val="Standardskriftforavsnitt"/>
    <w:rsid w:val="00701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743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4318"/>
    <w:rPr>
      <w:rFonts w:ascii="Tahoma" w:hAnsi="Tahoma" w:cs="Tahoma"/>
      <w:sz w:val="16"/>
      <w:szCs w:val="16"/>
    </w:rPr>
  </w:style>
  <w:style w:type="paragraph" w:styleId="Fotnotetekst">
    <w:name w:val="footnote text"/>
    <w:basedOn w:val="Normal"/>
    <w:link w:val="FotnotetekstTegn"/>
    <w:uiPriority w:val="99"/>
    <w:semiHidden/>
    <w:unhideWhenUsed/>
    <w:rsid w:val="0027431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74318"/>
    <w:rPr>
      <w:sz w:val="20"/>
      <w:szCs w:val="20"/>
    </w:rPr>
  </w:style>
  <w:style w:type="character" w:styleId="Fotnotereferanse">
    <w:name w:val="footnote reference"/>
    <w:basedOn w:val="Standardskriftforavsnitt"/>
    <w:uiPriority w:val="99"/>
    <w:semiHidden/>
    <w:unhideWhenUsed/>
    <w:rsid w:val="00274318"/>
    <w:rPr>
      <w:vertAlign w:val="superscript"/>
    </w:rPr>
  </w:style>
  <w:style w:type="character" w:customStyle="1" w:styleId="focus">
    <w:name w:val="focus"/>
    <w:basedOn w:val="Standardskriftforavsnitt"/>
    <w:rsid w:val="009C2F7F"/>
  </w:style>
  <w:style w:type="character" w:customStyle="1" w:styleId="longdoc-highlight">
    <w:name w:val="longdoc-highlight"/>
    <w:basedOn w:val="Standardskriftforavsnitt"/>
    <w:rsid w:val="00BB2293"/>
  </w:style>
  <w:style w:type="paragraph" w:styleId="NormalWeb">
    <w:name w:val="Normal (Web)"/>
    <w:basedOn w:val="Normal"/>
    <w:uiPriority w:val="99"/>
    <w:semiHidden/>
    <w:unhideWhenUsed/>
    <w:rsid w:val="00BB22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eta-info">
    <w:name w:val="meta-info"/>
    <w:basedOn w:val="Standardskriftforavsnitt"/>
    <w:rsid w:val="0070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09147">
      <w:bodyDiv w:val="1"/>
      <w:marLeft w:val="0"/>
      <w:marRight w:val="0"/>
      <w:marTop w:val="0"/>
      <w:marBottom w:val="0"/>
      <w:divBdr>
        <w:top w:val="none" w:sz="0" w:space="0" w:color="auto"/>
        <w:left w:val="none" w:sz="0" w:space="0" w:color="auto"/>
        <w:bottom w:val="none" w:sz="0" w:space="0" w:color="auto"/>
        <w:right w:val="none" w:sz="0" w:space="0" w:color="auto"/>
      </w:divBdr>
    </w:div>
    <w:div w:id="1086458067">
      <w:bodyDiv w:val="1"/>
      <w:marLeft w:val="0"/>
      <w:marRight w:val="0"/>
      <w:marTop w:val="0"/>
      <w:marBottom w:val="0"/>
      <w:divBdr>
        <w:top w:val="none" w:sz="0" w:space="0" w:color="auto"/>
        <w:left w:val="none" w:sz="0" w:space="0" w:color="auto"/>
        <w:bottom w:val="none" w:sz="0" w:space="0" w:color="auto"/>
        <w:right w:val="none" w:sz="0" w:space="0" w:color="auto"/>
      </w:divBdr>
      <w:divsChild>
        <w:div w:id="260728112">
          <w:marLeft w:val="547"/>
          <w:marRight w:val="0"/>
          <w:marTop w:val="154"/>
          <w:marBottom w:val="0"/>
          <w:divBdr>
            <w:top w:val="none" w:sz="0" w:space="0" w:color="auto"/>
            <w:left w:val="none" w:sz="0" w:space="0" w:color="auto"/>
            <w:bottom w:val="none" w:sz="0" w:space="0" w:color="auto"/>
            <w:right w:val="none" w:sz="0" w:space="0" w:color="auto"/>
          </w:divBdr>
        </w:div>
        <w:div w:id="1754742028">
          <w:marLeft w:val="547"/>
          <w:marRight w:val="0"/>
          <w:marTop w:val="154"/>
          <w:marBottom w:val="0"/>
          <w:divBdr>
            <w:top w:val="none" w:sz="0" w:space="0" w:color="auto"/>
            <w:left w:val="none" w:sz="0" w:space="0" w:color="auto"/>
            <w:bottom w:val="none" w:sz="0" w:space="0" w:color="auto"/>
            <w:right w:val="none" w:sz="0" w:space="0" w:color="auto"/>
          </w:divBdr>
        </w:div>
        <w:div w:id="192113684">
          <w:marLeft w:val="547"/>
          <w:marRight w:val="0"/>
          <w:marTop w:val="154"/>
          <w:marBottom w:val="0"/>
          <w:divBdr>
            <w:top w:val="none" w:sz="0" w:space="0" w:color="auto"/>
            <w:left w:val="none" w:sz="0" w:space="0" w:color="auto"/>
            <w:bottom w:val="none" w:sz="0" w:space="0" w:color="auto"/>
            <w:right w:val="none" w:sz="0" w:space="0" w:color="auto"/>
          </w:divBdr>
        </w:div>
        <w:div w:id="721561050">
          <w:marLeft w:val="547"/>
          <w:marRight w:val="0"/>
          <w:marTop w:val="154"/>
          <w:marBottom w:val="0"/>
          <w:divBdr>
            <w:top w:val="none" w:sz="0" w:space="0" w:color="auto"/>
            <w:left w:val="none" w:sz="0" w:space="0" w:color="auto"/>
            <w:bottom w:val="none" w:sz="0" w:space="0" w:color="auto"/>
            <w:right w:val="none" w:sz="0" w:space="0" w:color="auto"/>
          </w:divBdr>
        </w:div>
        <w:div w:id="1569461441">
          <w:marLeft w:val="547"/>
          <w:marRight w:val="0"/>
          <w:marTop w:val="154"/>
          <w:marBottom w:val="0"/>
          <w:divBdr>
            <w:top w:val="none" w:sz="0" w:space="0" w:color="auto"/>
            <w:left w:val="none" w:sz="0" w:space="0" w:color="auto"/>
            <w:bottom w:val="none" w:sz="0" w:space="0" w:color="auto"/>
            <w:right w:val="none" w:sz="0" w:space="0" w:color="auto"/>
          </w:divBdr>
        </w:div>
      </w:divsChild>
    </w:div>
    <w:div w:id="1373378965">
      <w:bodyDiv w:val="1"/>
      <w:marLeft w:val="0"/>
      <w:marRight w:val="0"/>
      <w:marTop w:val="0"/>
      <w:marBottom w:val="0"/>
      <w:divBdr>
        <w:top w:val="none" w:sz="0" w:space="0" w:color="auto"/>
        <w:left w:val="none" w:sz="0" w:space="0" w:color="auto"/>
        <w:bottom w:val="none" w:sz="0" w:space="0" w:color="auto"/>
        <w:right w:val="none" w:sz="0" w:space="0" w:color="auto"/>
      </w:divBdr>
    </w:div>
    <w:div w:id="1623459463">
      <w:bodyDiv w:val="1"/>
      <w:marLeft w:val="0"/>
      <w:marRight w:val="0"/>
      <w:marTop w:val="0"/>
      <w:marBottom w:val="0"/>
      <w:divBdr>
        <w:top w:val="none" w:sz="0" w:space="0" w:color="auto"/>
        <w:left w:val="none" w:sz="0" w:space="0" w:color="auto"/>
        <w:bottom w:val="none" w:sz="0" w:space="0" w:color="auto"/>
        <w:right w:val="none" w:sz="0" w:space="0" w:color="auto"/>
      </w:divBdr>
    </w:div>
    <w:div w:id="1809279918">
      <w:bodyDiv w:val="1"/>
      <w:marLeft w:val="0"/>
      <w:marRight w:val="0"/>
      <w:marTop w:val="0"/>
      <w:marBottom w:val="0"/>
      <w:divBdr>
        <w:top w:val="none" w:sz="0" w:space="0" w:color="auto"/>
        <w:left w:val="none" w:sz="0" w:space="0" w:color="auto"/>
        <w:bottom w:val="none" w:sz="0" w:space="0" w:color="auto"/>
        <w:right w:val="none" w:sz="0" w:space="0" w:color="auto"/>
      </w:divBdr>
    </w:div>
    <w:div w:id="1916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MLSVXD3E001\Users\ml119\Graf%20bunnfradrag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LSVXD3E001\Users\ml119\Graf%20bunnfradra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LSVXD3E001\Users\ml119\Graf%20alle%20landets%20kommuner%20bunnfradrag.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LSVXD3E001\Users\ml119\Graf%20bunnfradrag%20pros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LSVXD3E001\Users\ml119\Eiendomsskatt%20i%20Oslo,%20bydel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LSVXD3E001\Users\ml119\Eiendomsskatt%20i%20Oslo,%20bydel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LSVXD3E001\Users\ml119\Graf%20antall%20kommuner%20eiendomsskat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l119\Desktop\Kommunal%20eiendomsskat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Størrelse på bunnfradrag blant kommuner som har eiendomsskatt på bolig</a:t>
            </a:r>
          </a:p>
          <a:p>
            <a:pPr>
              <a:defRPr/>
            </a:pPr>
            <a:r>
              <a:rPr lang="nb-NO" sz="1200" b="0" i="0" u="none" strike="noStrike" baseline="0">
                <a:effectLst/>
              </a:rPr>
              <a:t> </a:t>
            </a:r>
            <a:r>
              <a:rPr lang="nb-NO" sz="1800" b="1" i="0" u="none" strike="noStrike" baseline="0">
                <a:effectLst/>
              </a:rPr>
              <a:t> </a:t>
            </a:r>
            <a:br>
              <a:rPr lang="nb-NO" sz="1800" b="1" i="0" u="none" strike="noStrike" baseline="0">
                <a:effectLst/>
              </a:rPr>
            </a:br>
            <a:endParaRPr lang="en-US"/>
          </a:p>
        </c:rich>
      </c:tx>
      <c:layout>
        <c:manualLayout>
          <c:xMode val="edge"/>
          <c:yMode val="edge"/>
          <c:x val="0.10124517906336088"/>
          <c:y val="2.1436227224008574E-2"/>
        </c:manualLayout>
      </c:layout>
      <c:overlay val="0"/>
    </c:title>
    <c:autoTitleDeleted val="0"/>
    <c:plotArea>
      <c:layout>
        <c:manualLayout>
          <c:layoutTarget val="inner"/>
          <c:xMode val="edge"/>
          <c:yMode val="edge"/>
          <c:x val="0.11023689337933613"/>
          <c:y val="0.16916400301447468"/>
          <c:w val="0.82585257094676523"/>
          <c:h val="0.71934707319702196"/>
        </c:manualLayout>
      </c:layout>
      <c:lineChart>
        <c:grouping val="standard"/>
        <c:varyColors val="0"/>
        <c:ser>
          <c:idx val="0"/>
          <c:order val="0"/>
          <c:tx>
            <c:strRef>
              <c:f>'Ark1'!$B$2</c:f>
              <c:strCache>
                <c:ptCount val="1"/>
                <c:pt idx="0">
                  <c:v>Mill. kr.</c:v>
                </c:pt>
              </c:strCache>
            </c:strRef>
          </c:tx>
          <c:marker>
            <c:symbol val="none"/>
          </c:marker>
          <c:cat>
            <c:strRef>
              <c:f>'Ark1'!$A$3:$A$18</c:f>
              <c:strCache>
                <c:ptCount val="16"/>
                <c:pt idx="0">
                  <c:v>Oslo</c:v>
                </c:pt>
                <c:pt idx="1">
                  <c:v>Skedsmo</c:v>
                </c:pt>
                <c:pt idx="2">
                  <c:v>Nittedal</c:v>
                </c:pt>
                <c:pt idx="3">
                  <c:v>Karmøy</c:v>
                </c:pt>
                <c:pt idx="4">
                  <c:v>Hammerfest</c:v>
                </c:pt>
                <c:pt idx="5">
                  <c:v>1201 Bergen</c:v>
                </c:pt>
                <c:pt idx="6">
                  <c:v>1657 Skaun</c:v>
                </c:pt>
                <c:pt idx="7">
                  <c:v>0135 Råde</c:v>
                </c:pt>
                <c:pt idx="8">
                  <c:v>1601 Trondheim</c:v>
                </c:pt>
                <c:pt idx="9">
                  <c:v>0226 Sørum</c:v>
                </c:pt>
                <c:pt idx="10">
                  <c:v>0501 Lillehammer</c:v>
                </c:pt>
                <c:pt idx="11">
                  <c:v>0814 Bamble</c:v>
                </c:pt>
                <c:pt idx="12">
                  <c:v>1017 Songdalen</c:v>
                </c:pt>
                <c:pt idx="13">
                  <c:v>0221 Aurskog-Høland</c:v>
                </c:pt>
                <c:pt idx="14">
                  <c:v>1633 Osen</c:v>
                </c:pt>
                <c:pt idx="15">
                  <c:v>1106 Haugesund</c:v>
                </c:pt>
              </c:strCache>
            </c:strRef>
          </c:cat>
          <c:val>
            <c:numRef>
              <c:f>'Ark1'!$B$3:$B$267</c:f>
              <c:numCache>
                <c:formatCode>_ * #,##0_ ;_ * \-#,##0_ ;_ * "-"??_ ;_ @_ </c:formatCode>
                <c:ptCount val="265"/>
                <c:pt idx="0">
                  <c:v>4000000</c:v>
                </c:pt>
                <c:pt idx="1">
                  <c:v>1800000</c:v>
                </c:pt>
                <c:pt idx="2">
                  <c:v>1000000</c:v>
                </c:pt>
                <c:pt idx="3">
                  <c:v>1000000</c:v>
                </c:pt>
                <c:pt idx="4">
                  <c:v>1000000</c:v>
                </c:pt>
                <c:pt idx="5" formatCode="#,##0">
                  <c:v>750000</c:v>
                </c:pt>
                <c:pt idx="6" formatCode="#,##0">
                  <c:v>650000</c:v>
                </c:pt>
                <c:pt idx="7" formatCode="#,##0">
                  <c:v>600000</c:v>
                </c:pt>
                <c:pt idx="8" formatCode="#,##0">
                  <c:v>500000</c:v>
                </c:pt>
                <c:pt idx="9" formatCode="#,##0">
                  <c:v>500000</c:v>
                </c:pt>
                <c:pt idx="10" formatCode="#,##0">
                  <c:v>500000</c:v>
                </c:pt>
                <c:pt idx="11" formatCode="#,##0">
                  <c:v>500000</c:v>
                </c:pt>
                <c:pt idx="12" formatCode="#,##0">
                  <c:v>500000</c:v>
                </c:pt>
                <c:pt idx="13" formatCode="#,##0">
                  <c:v>500000</c:v>
                </c:pt>
                <c:pt idx="14" formatCode="#,##0">
                  <c:v>500000</c:v>
                </c:pt>
                <c:pt idx="15" formatCode="#,##0">
                  <c:v>450000</c:v>
                </c:pt>
                <c:pt idx="16" formatCode="#,##0">
                  <c:v>450000</c:v>
                </c:pt>
                <c:pt idx="17" formatCode="#,##0">
                  <c:v>450000</c:v>
                </c:pt>
                <c:pt idx="18" formatCode="#,##0">
                  <c:v>400000</c:v>
                </c:pt>
                <c:pt idx="19" formatCode="#,##0">
                  <c:v>400000</c:v>
                </c:pt>
                <c:pt idx="20" formatCode="#,##0">
                  <c:v>400000</c:v>
                </c:pt>
                <c:pt idx="21" formatCode="#,##0">
                  <c:v>300000</c:v>
                </c:pt>
                <c:pt idx="22" formatCode="#,##0">
                  <c:v>300000</c:v>
                </c:pt>
                <c:pt idx="23" formatCode="#,##0">
                  <c:v>300000</c:v>
                </c:pt>
                <c:pt idx="24" formatCode="#,##0">
                  <c:v>300000</c:v>
                </c:pt>
                <c:pt idx="25" formatCode="#,##0">
                  <c:v>300000</c:v>
                </c:pt>
                <c:pt idx="26" formatCode="#,##0">
                  <c:v>300000</c:v>
                </c:pt>
                <c:pt idx="27" formatCode="#,##0">
                  <c:v>300000</c:v>
                </c:pt>
                <c:pt idx="28" formatCode="#,##0">
                  <c:v>300000</c:v>
                </c:pt>
                <c:pt idx="29" formatCode="#,##0">
                  <c:v>300000</c:v>
                </c:pt>
                <c:pt idx="30" formatCode="#,##0">
                  <c:v>250000</c:v>
                </c:pt>
                <c:pt idx="31" formatCode="#,##0">
                  <c:v>250000</c:v>
                </c:pt>
                <c:pt idx="32" formatCode="#,##0">
                  <c:v>250000</c:v>
                </c:pt>
                <c:pt idx="33" formatCode="#,##0">
                  <c:v>250000</c:v>
                </c:pt>
                <c:pt idx="34" formatCode="#,##0">
                  <c:v>250000</c:v>
                </c:pt>
                <c:pt idx="35" formatCode="#,##0">
                  <c:v>250000</c:v>
                </c:pt>
                <c:pt idx="36" formatCode="#,##0">
                  <c:v>250000</c:v>
                </c:pt>
                <c:pt idx="37" formatCode="#,##0">
                  <c:v>250000</c:v>
                </c:pt>
                <c:pt idx="38" formatCode="#,##0">
                  <c:v>250000</c:v>
                </c:pt>
                <c:pt idx="39" formatCode="#,##0">
                  <c:v>250000</c:v>
                </c:pt>
                <c:pt idx="40" formatCode="#,##0">
                  <c:v>220000</c:v>
                </c:pt>
                <c:pt idx="41" formatCode="#,##0">
                  <c:v>200000</c:v>
                </c:pt>
                <c:pt idx="42" formatCode="#,##0">
                  <c:v>200000</c:v>
                </c:pt>
                <c:pt idx="43" formatCode="#,##0">
                  <c:v>200000</c:v>
                </c:pt>
                <c:pt idx="44" formatCode="#,##0">
                  <c:v>200000</c:v>
                </c:pt>
                <c:pt idx="45" formatCode="#,##0">
                  <c:v>200000</c:v>
                </c:pt>
                <c:pt idx="46" formatCode="#,##0">
                  <c:v>200000</c:v>
                </c:pt>
                <c:pt idx="47" formatCode="#,##0">
                  <c:v>200000</c:v>
                </c:pt>
                <c:pt idx="48" formatCode="#,##0">
                  <c:v>200000</c:v>
                </c:pt>
                <c:pt idx="49" formatCode="#,##0">
                  <c:v>200000</c:v>
                </c:pt>
                <c:pt idx="50" formatCode="#,##0">
                  <c:v>200000</c:v>
                </c:pt>
                <c:pt idx="51" formatCode="#,##0">
                  <c:v>200000</c:v>
                </c:pt>
                <c:pt idx="52" formatCode="#,##0">
                  <c:v>200000</c:v>
                </c:pt>
                <c:pt idx="53" formatCode="#,##0">
                  <c:v>200000</c:v>
                </c:pt>
                <c:pt idx="54" formatCode="#,##0">
                  <c:v>200000</c:v>
                </c:pt>
                <c:pt idx="55" formatCode="#,##0">
                  <c:v>150000</c:v>
                </c:pt>
                <c:pt idx="56" formatCode="#,##0">
                  <c:v>150000</c:v>
                </c:pt>
                <c:pt idx="57" formatCode="#,##0">
                  <c:v>150000</c:v>
                </c:pt>
                <c:pt idx="58" formatCode="#,##0">
                  <c:v>150000</c:v>
                </c:pt>
                <c:pt idx="59" formatCode="#,##0">
                  <c:v>150000</c:v>
                </c:pt>
                <c:pt idx="60" formatCode="#,##0">
                  <c:v>150000</c:v>
                </c:pt>
                <c:pt idx="61" formatCode="#,##0">
                  <c:v>140000</c:v>
                </c:pt>
                <c:pt idx="62" formatCode="#,##0">
                  <c:v>110000</c:v>
                </c:pt>
                <c:pt idx="63" formatCode="#,##0">
                  <c:v>100000</c:v>
                </c:pt>
                <c:pt idx="64" formatCode="#,##0">
                  <c:v>100000</c:v>
                </c:pt>
                <c:pt idx="65" formatCode="#,##0">
                  <c:v>100000</c:v>
                </c:pt>
                <c:pt idx="66" formatCode="#,##0">
                  <c:v>100000</c:v>
                </c:pt>
                <c:pt idx="67" formatCode="#,##0">
                  <c:v>100000</c:v>
                </c:pt>
                <c:pt idx="68" formatCode="#,##0">
                  <c:v>100000</c:v>
                </c:pt>
                <c:pt idx="69" formatCode="#,##0">
                  <c:v>100000</c:v>
                </c:pt>
                <c:pt idx="70" formatCode="#,##0">
                  <c:v>100000</c:v>
                </c:pt>
                <c:pt idx="71" formatCode="#,##0">
                  <c:v>100000</c:v>
                </c:pt>
                <c:pt idx="72" formatCode="#,##0">
                  <c:v>100000</c:v>
                </c:pt>
                <c:pt idx="73" formatCode="#,##0">
                  <c:v>100000</c:v>
                </c:pt>
                <c:pt idx="74" formatCode="#,##0">
                  <c:v>100000</c:v>
                </c:pt>
                <c:pt idx="75" formatCode="#,##0">
                  <c:v>100000</c:v>
                </c:pt>
                <c:pt idx="76" formatCode="#,##0">
                  <c:v>100000</c:v>
                </c:pt>
                <c:pt idx="77" formatCode="#,##0">
                  <c:v>100000</c:v>
                </c:pt>
                <c:pt idx="78" formatCode="#,##0">
                  <c:v>100000</c:v>
                </c:pt>
                <c:pt idx="79" formatCode="#,##0">
                  <c:v>100000</c:v>
                </c:pt>
                <c:pt idx="80" formatCode="#,##0">
                  <c:v>75000</c:v>
                </c:pt>
                <c:pt idx="81" formatCode="#,##0">
                  <c:v>60000</c:v>
                </c:pt>
                <c:pt idx="82" formatCode="#,##0">
                  <c:v>60000</c:v>
                </c:pt>
                <c:pt idx="83" formatCode="#,##0">
                  <c:v>50000</c:v>
                </c:pt>
                <c:pt idx="84" formatCode="#,##0">
                  <c:v>50000</c:v>
                </c:pt>
                <c:pt idx="85" formatCode="#,##0">
                  <c:v>50000</c:v>
                </c:pt>
                <c:pt idx="86" formatCode="#,##0">
                  <c:v>50000</c:v>
                </c:pt>
                <c:pt idx="87" formatCode="#,##0">
                  <c:v>50000</c:v>
                </c:pt>
                <c:pt idx="88" formatCode="#,##0">
                  <c:v>50000</c:v>
                </c:pt>
                <c:pt idx="89" formatCode="#,##0">
                  <c:v>50000</c:v>
                </c:pt>
                <c:pt idx="90" formatCode="#,##0">
                  <c:v>50000</c:v>
                </c:pt>
                <c:pt idx="91" formatCode="#,##0">
                  <c:v>50000</c:v>
                </c:pt>
                <c:pt idx="92" formatCode="#,##0">
                  <c:v>10000</c:v>
                </c:pt>
                <c:pt idx="93" formatCode="#,##0">
                  <c:v>10000</c:v>
                </c:pt>
                <c:pt idx="94" formatCode="#,##0">
                  <c:v>0</c:v>
                </c:pt>
                <c:pt idx="95" formatCode="#,##0">
                  <c:v>0</c:v>
                </c:pt>
                <c:pt idx="96" formatCode="#,##0">
                  <c:v>0</c:v>
                </c:pt>
                <c:pt idx="97" formatCode="#,##0">
                  <c:v>0</c:v>
                </c:pt>
                <c:pt idx="98" formatCode="#,##0">
                  <c:v>0</c:v>
                </c:pt>
                <c:pt idx="99" formatCode="#,##0">
                  <c:v>0</c:v>
                </c:pt>
                <c:pt idx="100" formatCode="#,##0">
                  <c:v>0</c:v>
                </c:pt>
                <c:pt idx="101" formatCode="#,##0">
                  <c:v>0</c:v>
                </c:pt>
                <c:pt idx="102" formatCode="#,##0">
                  <c:v>0</c:v>
                </c:pt>
                <c:pt idx="103" formatCode="#,##0">
                  <c:v>0</c:v>
                </c:pt>
                <c:pt idx="104" formatCode="#,##0">
                  <c:v>0</c:v>
                </c:pt>
                <c:pt idx="105" formatCode="#,##0">
                  <c:v>0</c:v>
                </c:pt>
                <c:pt idx="106" formatCode="#,##0">
                  <c:v>0</c:v>
                </c:pt>
                <c:pt idx="107" formatCode="#,##0">
                  <c:v>0</c:v>
                </c:pt>
                <c:pt idx="108" formatCode="#,##0">
                  <c:v>0</c:v>
                </c:pt>
                <c:pt idx="109" formatCode="#,##0">
                  <c:v>0</c:v>
                </c:pt>
                <c:pt idx="110" formatCode="#,##0">
                  <c:v>0</c:v>
                </c:pt>
                <c:pt idx="111" formatCode="#,##0">
                  <c:v>0</c:v>
                </c:pt>
                <c:pt idx="112" formatCode="#,##0">
                  <c:v>0</c:v>
                </c:pt>
                <c:pt idx="113" formatCode="#,##0">
                  <c:v>0</c:v>
                </c:pt>
                <c:pt idx="114" formatCode="#,##0">
                  <c:v>0</c:v>
                </c:pt>
                <c:pt idx="115" formatCode="#,##0">
                  <c:v>0</c:v>
                </c:pt>
                <c:pt idx="116" formatCode="#,##0">
                  <c:v>0</c:v>
                </c:pt>
                <c:pt idx="117" formatCode="#,##0">
                  <c:v>0</c:v>
                </c:pt>
                <c:pt idx="118" formatCode="#,##0">
                  <c:v>0</c:v>
                </c:pt>
                <c:pt idx="119" formatCode="#,##0">
                  <c:v>0</c:v>
                </c:pt>
                <c:pt idx="120" formatCode="#,##0">
                  <c:v>0</c:v>
                </c:pt>
                <c:pt idx="121" formatCode="#,##0">
                  <c:v>0</c:v>
                </c:pt>
                <c:pt idx="122" formatCode="#,##0">
                  <c:v>0</c:v>
                </c:pt>
                <c:pt idx="123" formatCode="#,##0">
                  <c:v>0</c:v>
                </c:pt>
                <c:pt idx="124" formatCode="#,##0">
                  <c:v>0</c:v>
                </c:pt>
                <c:pt idx="125" formatCode="#,##0">
                  <c:v>0</c:v>
                </c:pt>
                <c:pt idx="126" formatCode="#,##0">
                  <c:v>0</c:v>
                </c:pt>
                <c:pt idx="127" formatCode="#,##0">
                  <c:v>0</c:v>
                </c:pt>
                <c:pt idx="128" formatCode="#,##0">
                  <c:v>0</c:v>
                </c:pt>
                <c:pt idx="129" formatCode="#,##0">
                  <c:v>0</c:v>
                </c:pt>
                <c:pt idx="130" formatCode="#,##0">
                  <c:v>0</c:v>
                </c:pt>
                <c:pt idx="131" formatCode="#,##0">
                  <c:v>0</c:v>
                </c:pt>
                <c:pt idx="132" formatCode="#,##0">
                  <c:v>0</c:v>
                </c:pt>
                <c:pt idx="133" formatCode="#,##0">
                  <c:v>0</c:v>
                </c:pt>
                <c:pt idx="134" formatCode="#,##0">
                  <c:v>0</c:v>
                </c:pt>
                <c:pt idx="135" formatCode="#,##0">
                  <c:v>0</c:v>
                </c:pt>
                <c:pt idx="136" formatCode="#,##0">
                  <c:v>0</c:v>
                </c:pt>
                <c:pt idx="137" formatCode="#,##0">
                  <c:v>0</c:v>
                </c:pt>
                <c:pt idx="138" formatCode="#,##0">
                  <c:v>0</c:v>
                </c:pt>
                <c:pt idx="139" formatCode="#,##0">
                  <c:v>0</c:v>
                </c:pt>
                <c:pt idx="140" formatCode="#,##0">
                  <c:v>0</c:v>
                </c:pt>
                <c:pt idx="141" formatCode="#,##0">
                  <c:v>0</c:v>
                </c:pt>
                <c:pt idx="142" formatCode="#,##0">
                  <c:v>0</c:v>
                </c:pt>
                <c:pt idx="143" formatCode="#,##0">
                  <c:v>0</c:v>
                </c:pt>
                <c:pt idx="144" formatCode="#,##0">
                  <c:v>0</c:v>
                </c:pt>
                <c:pt idx="145" formatCode="#,##0">
                  <c:v>0</c:v>
                </c:pt>
                <c:pt idx="146" formatCode="#,##0">
                  <c:v>0</c:v>
                </c:pt>
                <c:pt idx="147" formatCode="#,##0">
                  <c:v>0</c:v>
                </c:pt>
                <c:pt idx="148" formatCode="#,##0">
                  <c:v>0</c:v>
                </c:pt>
                <c:pt idx="149" formatCode="#,##0">
                  <c:v>0</c:v>
                </c:pt>
                <c:pt idx="150" formatCode="#,##0">
                  <c:v>0</c:v>
                </c:pt>
                <c:pt idx="151" formatCode="#,##0">
                  <c:v>0</c:v>
                </c:pt>
                <c:pt idx="152" formatCode="#,##0">
                  <c:v>0</c:v>
                </c:pt>
                <c:pt idx="153" formatCode="#,##0">
                  <c:v>0</c:v>
                </c:pt>
                <c:pt idx="154" formatCode="#,##0">
                  <c:v>0</c:v>
                </c:pt>
                <c:pt idx="155" formatCode="#,##0">
                  <c:v>0</c:v>
                </c:pt>
                <c:pt idx="156" formatCode="#,##0">
                  <c:v>0</c:v>
                </c:pt>
                <c:pt idx="157" formatCode="#,##0">
                  <c:v>0</c:v>
                </c:pt>
                <c:pt idx="158" formatCode="#,##0">
                  <c:v>0</c:v>
                </c:pt>
                <c:pt idx="159" formatCode="#,##0">
                  <c:v>0</c:v>
                </c:pt>
                <c:pt idx="160" formatCode="#,##0">
                  <c:v>0</c:v>
                </c:pt>
                <c:pt idx="161" formatCode="#,##0">
                  <c:v>0</c:v>
                </c:pt>
                <c:pt idx="162" formatCode="#,##0">
                  <c:v>0</c:v>
                </c:pt>
                <c:pt idx="163" formatCode="#,##0">
                  <c:v>0</c:v>
                </c:pt>
                <c:pt idx="164" formatCode="#,##0">
                  <c:v>0</c:v>
                </c:pt>
                <c:pt idx="165" formatCode="#,##0">
                  <c:v>0</c:v>
                </c:pt>
                <c:pt idx="166" formatCode="#,##0">
                  <c:v>0</c:v>
                </c:pt>
                <c:pt idx="167" formatCode="#,##0">
                  <c:v>0</c:v>
                </c:pt>
                <c:pt idx="168" formatCode="#,##0">
                  <c:v>0</c:v>
                </c:pt>
                <c:pt idx="169" formatCode="#,##0">
                  <c:v>0</c:v>
                </c:pt>
                <c:pt idx="170" formatCode="#,##0">
                  <c:v>0</c:v>
                </c:pt>
                <c:pt idx="171" formatCode="#,##0">
                  <c:v>0</c:v>
                </c:pt>
                <c:pt idx="172" formatCode="#,##0">
                  <c:v>0</c:v>
                </c:pt>
                <c:pt idx="173" formatCode="#,##0">
                  <c:v>0</c:v>
                </c:pt>
                <c:pt idx="174" formatCode="#,##0">
                  <c:v>0</c:v>
                </c:pt>
                <c:pt idx="175" formatCode="#,##0">
                  <c:v>0</c:v>
                </c:pt>
                <c:pt idx="176" formatCode="#,##0">
                  <c:v>0</c:v>
                </c:pt>
                <c:pt idx="177" formatCode="#,##0">
                  <c:v>0</c:v>
                </c:pt>
                <c:pt idx="178" formatCode="#,##0">
                  <c:v>0</c:v>
                </c:pt>
                <c:pt idx="179" formatCode="#,##0">
                  <c:v>0</c:v>
                </c:pt>
                <c:pt idx="180" formatCode="#,##0">
                  <c:v>0</c:v>
                </c:pt>
                <c:pt idx="181" formatCode="#,##0">
                  <c:v>0</c:v>
                </c:pt>
                <c:pt idx="182" formatCode="#,##0">
                  <c:v>0</c:v>
                </c:pt>
                <c:pt idx="183" formatCode="#,##0">
                  <c:v>0</c:v>
                </c:pt>
                <c:pt idx="184" formatCode="#,##0">
                  <c:v>0</c:v>
                </c:pt>
                <c:pt idx="185" formatCode="#,##0">
                  <c:v>0</c:v>
                </c:pt>
                <c:pt idx="186" formatCode="#,##0">
                  <c:v>0</c:v>
                </c:pt>
                <c:pt idx="187" formatCode="#,##0">
                  <c:v>0</c:v>
                </c:pt>
                <c:pt idx="188" formatCode="#,##0">
                  <c:v>0</c:v>
                </c:pt>
                <c:pt idx="189" formatCode="#,##0">
                  <c:v>0</c:v>
                </c:pt>
                <c:pt idx="190" formatCode="#,##0">
                  <c:v>0</c:v>
                </c:pt>
                <c:pt idx="191" formatCode="#,##0">
                  <c:v>0</c:v>
                </c:pt>
                <c:pt idx="192" formatCode="#,##0">
                  <c:v>0</c:v>
                </c:pt>
                <c:pt idx="193" formatCode="#,##0">
                  <c:v>0</c:v>
                </c:pt>
                <c:pt idx="194" formatCode="#,##0">
                  <c:v>0</c:v>
                </c:pt>
                <c:pt idx="195" formatCode="#,##0">
                  <c:v>0</c:v>
                </c:pt>
                <c:pt idx="196" formatCode="#,##0">
                  <c:v>0</c:v>
                </c:pt>
                <c:pt idx="197" formatCode="#,##0">
                  <c:v>0</c:v>
                </c:pt>
                <c:pt idx="198" formatCode="#,##0">
                  <c:v>0</c:v>
                </c:pt>
                <c:pt idx="199" formatCode="#,##0">
                  <c:v>0</c:v>
                </c:pt>
                <c:pt idx="200" formatCode="#,##0">
                  <c:v>0</c:v>
                </c:pt>
                <c:pt idx="201" formatCode="#,##0">
                  <c:v>0</c:v>
                </c:pt>
                <c:pt idx="202" formatCode="#,##0">
                  <c:v>0</c:v>
                </c:pt>
                <c:pt idx="203" formatCode="#,##0">
                  <c:v>0</c:v>
                </c:pt>
                <c:pt idx="204" formatCode="#,##0">
                  <c:v>0</c:v>
                </c:pt>
                <c:pt idx="205" formatCode="#,##0">
                  <c:v>0</c:v>
                </c:pt>
                <c:pt idx="206" formatCode="#,##0">
                  <c:v>0</c:v>
                </c:pt>
                <c:pt idx="207" formatCode="#,##0">
                  <c:v>0</c:v>
                </c:pt>
                <c:pt idx="208" formatCode="#,##0">
                  <c:v>0</c:v>
                </c:pt>
                <c:pt idx="209" formatCode="#,##0">
                  <c:v>0</c:v>
                </c:pt>
                <c:pt idx="210" formatCode="#,##0">
                  <c:v>0</c:v>
                </c:pt>
                <c:pt idx="211" formatCode="#,##0">
                  <c:v>0</c:v>
                </c:pt>
                <c:pt idx="212" formatCode="#,##0">
                  <c:v>0</c:v>
                </c:pt>
                <c:pt idx="213" formatCode="#,##0">
                  <c:v>0</c:v>
                </c:pt>
                <c:pt idx="214" formatCode="#,##0">
                  <c:v>0</c:v>
                </c:pt>
                <c:pt idx="215" formatCode="#,##0">
                  <c:v>0</c:v>
                </c:pt>
                <c:pt idx="216" formatCode="#,##0">
                  <c:v>0</c:v>
                </c:pt>
                <c:pt idx="217" formatCode="#,##0">
                  <c:v>0</c:v>
                </c:pt>
                <c:pt idx="218" formatCode="#,##0">
                  <c:v>0</c:v>
                </c:pt>
                <c:pt idx="219" formatCode="#,##0">
                  <c:v>0</c:v>
                </c:pt>
                <c:pt idx="220" formatCode="#,##0">
                  <c:v>0</c:v>
                </c:pt>
                <c:pt idx="221" formatCode="#,##0">
                  <c:v>0</c:v>
                </c:pt>
                <c:pt idx="222" formatCode="#,##0">
                  <c:v>0</c:v>
                </c:pt>
                <c:pt idx="223" formatCode="#,##0">
                  <c:v>0</c:v>
                </c:pt>
                <c:pt idx="224" formatCode="#,##0">
                  <c:v>0</c:v>
                </c:pt>
                <c:pt idx="225" formatCode="#,##0">
                  <c:v>0</c:v>
                </c:pt>
                <c:pt idx="226" formatCode="#,##0">
                  <c:v>0</c:v>
                </c:pt>
                <c:pt idx="227" formatCode="#,##0">
                  <c:v>0</c:v>
                </c:pt>
                <c:pt idx="228" formatCode="#,##0">
                  <c:v>0</c:v>
                </c:pt>
                <c:pt idx="229" formatCode="#,##0">
                  <c:v>0</c:v>
                </c:pt>
                <c:pt idx="230" formatCode="#,##0">
                  <c:v>0</c:v>
                </c:pt>
                <c:pt idx="231" formatCode="#,##0">
                  <c:v>0</c:v>
                </c:pt>
                <c:pt idx="232" formatCode="#,##0">
                  <c:v>0</c:v>
                </c:pt>
                <c:pt idx="233" formatCode="#,##0">
                  <c:v>0</c:v>
                </c:pt>
                <c:pt idx="234" formatCode="#,##0">
                  <c:v>0</c:v>
                </c:pt>
                <c:pt idx="235" formatCode="#,##0">
                  <c:v>0</c:v>
                </c:pt>
                <c:pt idx="236" formatCode="#,##0">
                  <c:v>0</c:v>
                </c:pt>
                <c:pt idx="237" formatCode="#,##0">
                  <c:v>0</c:v>
                </c:pt>
                <c:pt idx="238" formatCode="#,##0">
                  <c:v>0</c:v>
                </c:pt>
                <c:pt idx="239" formatCode="#,##0">
                  <c:v>0</c:v>
                </c:pt>
                <c:pt idx="240" formatCode="#,##0">
                  <c:v>0</c:v>
                </c:pt>
                <c:pt idx="241" formatCode="#,##0">
                  <c:v>0</c:v>
                </c:pt>
                <c:pt idx="242" formatCode="#,##0">
                  <c:v>0</c:v>
                </c:pt>
                <c:pt idx="243" formatCode="#,##0">
                  <c:v>0</c:v>
                </c:pt>
                <c:pt idx="244" formatCode="#,##0">
                  <c:v>0</c:v>
                </c:pt>
                <c:pt idx="245" formatCode="#,##0">
                  <c:v>0</c:v>
                </c:pt>
                <c:pt idx="246" formatCode="#,##0">
                  <c:v>0</c:v>
                </c:pt>
                <c:pt idx="247" formatCode="#,##0">
                  <c:v>0</c:v>
                </c:pt>
                <c:pt idx="248" formatCode="#,##0">
                  <c:v>0</c:v>
                </c:pt>
                <c:pt idx="249" formatCode="#,##0">
                  <c:v>0</c:v>
                </c:pt>
                <c:pt idx="250" formatCode="#,##0">
                  <c:v>0</c:v>
                </c:pt>
                <c:pt idx="251" formatCode="#,##0">
                  <c:v>0</c:v>
                </c:pt>
                <c:pt idx="252" formatCode="#,##0">
                  <c:v>0</c:v>
                </c:pt>
                <c:pt idx="253" formatCode="#,##0">
                  <c:v>0</c:v>
                </c:pt>
                <c:pt idx="254" formatCode="#,##0">
                  <c:v>0</c:v>
                </c:pt>
                <c:pt idx="255" formatCode="#,##0">
                  <c:v>0</c:v>
                </c:pt>
                <c:pt idx="256" formatCode="#,##0">
                  <c:v>0</c:v>
                </c:pt>
                <c:pt idx="257" formatCode="#,##0">
                  <c:v>0</c:v>
                </c:pt>
                <c:pt idx="258" formatCode="#,##0">
                  <c:v>0</c:v>
                </c:pt>
                <c:pt idx="259" formatCode="#,##0">
                  <c:v>0</c:v>
                </c:pt>
                <c:pt idx="260" formatCode="#,##0">
                  <c:v>0</c:v>
                </c:pt>
                <c:pt idx="261" formatCode="#,##0">
                  <c:v>0</c:v>
                </c:pt>
                <c:pt idx="262" formatCode="#,##0">
                  <c:v>0</c:v>
                </c:pt>
                <c:pt idx="263" formatCode="#,##0">
                  <c:v>0</c:v>
                </c:pt>
                <c:pt idx="264" formatCode="#,##0">
                  <c:v>0</c:v>
                </c:pt>
              </c:numCache>
            </c:numRef>
          </c:val>
          <c:smooth val="0"/>
        </c:ser>
        <c:dLbls>
          <c:showLegendKey val="0"/>
          <c:showVal val="0"/>
          <c:showCatName val="0"/>
          <c:showSerName val="0"/>
          <c:showPercent val="0"/>
          <c:showBubbleSize val="0"/>
        </c:dLbls>
        <c:hiLowLines/>
        <c:marker val="1"/>
        <c:smooth val="0"/>
        <c:axId val="286151040"/>
        <c:axId val="286152960"/>
      </c:lineChart>
      <c:catAx>
        <c:axId val="286151040"/>
        <c:scaling>
          <c:orientation val="minMax"/>
        </c:scaling>
        <c:delete val="0"/>
        <c:axPos val="b"/>
        <c:title>
          <c:tx>
            <c:rich>
              <a:bodyPr/>
              <a:lstStyle/>
              <a:p>
                <a:pPr>
                  <a:defRPr/>
                </a:pPr>
                <a:r>
                  <a:rPr lang="nb-NO"/>
                  <a:t>270 norske kommuner</a:t>
                </a:r>
                <a:r>
                  <a:rPr lang="nb-NO" baseline="0"/>
                  <a:t> med eiendomsskatt på bolig</a:t>
                </a:r>
                <a:endParaRPr lang="nb-NO"/>
              </a:p>
            </c:rich>
          </c:tx>
          <c:layout/>
          <c:overlay val="0"/>
        </c:title>
        <c:numFmt formatCode="General" sourceLinked="1"/>
        <c:majorTickMark val="none"/>
        <c:minorTickMark val="none"/>
        <c:tickLblPos val="none"/>
        <c:crossAx val="286152960"/>
        <c:crosses val="autoZero"/>
        <c:auto val="1"/>
        <c:lblAlgn val="ctr"/>
        <c:lblOffset val="100"/>
        <c:noMultiLvlLbl val="0"/>
      </c:catAx>
      <c:valAx>
        <c:axId val="286152960"/>
        <c:scaling>
          <c:orientation val="minMax"/>
          <c:max val="4000000"/>
        </c:scaling>
        <c:delete val="0"/>
        <c:axPos val="l"/>
        <c:majorGridlines/>
        <c:title>
          <c:tx>
            <c:rich>
              <a:bodyPr rot="0" vert="horz"/>
              <a:lstStyle/>
              <a:p>
                <a:pPr>
                  <a:defRPr/>
                </a:pPr>
                <a:r>
                  <a:rPr lang="nb-NO"/>
                  <a:t>Kroner</a:t>
                </a:r>
              </a:p>
            </c:rich>
          </c:tx>
          <c:layout>
            <c:manualLayout>
              <c:xMode val="edge"/>
              <c:yMode val="edge"/>
              <c:x val="8.7253638749701726E-3"/>
              <c:y val="6.273134668455832E-2"/>
            </c:manualLayout>
          </c:layout>
          <c:overlay val="0"/>
        </c:title>
        <c:numFmt formatCode="_ * #,##0_ ;_ * \-#,##0_ ;_ * &quot;-&quot;??_ ;_ @_ " sourceLinked="1"/>
        <c:majorTickMark val="out"/>
        <c:minorTickMark val="none"/>
        <c:tickLblPos val="nextTo"/>
        <c:crossAx val="286151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Kommuner med høyest bunnfradrag på eiendomsskatt</a:t>
            </a:r>
          </a:p>
          <a:p>
            <a:pPr>
              <a:defRPr/>
            </a:pPr>
            <a:r>
              <a:rPr lang="nb-NO" sz="1800" b="1" i="0" u="none" strike="noStrike" baseline="0">
                <a:effectLst/>
              </a:rPr>
              <a:t> </a:t>
            </a:r>
            <a:br>
              <a:rPr lang="nb-NO" sz="1800" b="1" i="0" u="none" strike="noStrike" baseline="0">
                <a:effectLst/>
              </a:rPr>
            </a:br>
            <a:endParaRPr lang="en-US"/>
          </a:p>
        </c:rich>
      </c:tx>
      <c:layout>
        <c:manualLayout>
          <c:xMode val="edge"/>
          <c:yMode val="edge"/>
          <c:x val="0.19012116873820525"/>
          <c:y val="0"/>
        </c:manualLayout>
      </c:layout>
      <c:overlay val="0"/>
    </c:title>
    <c:autoTitleDeleted val="0"/>
    <c:plotArea>
      <c:layout>
        <c:manualLayout>
          <c:layoutTarget val="inner"/>
          <c:xMode val="edge"/>
          <c:yMode val="edge"/>
          <c:x val="0.11023689337933613"/>
          <c:y val="0.16916400301447468"/>
          <c:w val="0.82585257094676523"/>
          <c:h val="0.54458979756243331"/>
        </c:manualLayout>
      </c:layout>
      <c:barChart>
        <c:barDir val="col"/>
        <c:grouping val="clustered"/>
        <c:varyColors val="0"/>
        <c:ser>
          <c:idx val="0"/>
          <c:order val="0"/>
          <c:tx>
            <c:strRef>
              <c:f>'Ark1'!$B$2</c:f>
              <c:strCache>
                <c:ptCount val="1"/>
                <c:pt idx="0">
                  <c:v>Mill. kr.</c:v>
                </c:pt>
              </c:strCache>
            </c:strRef>
          </c:tx>
          <c:invertIfNegative val="0"/>
          <c:cat>
            <c:strRef>
              <c:f>'Ark1'!$A$3:$A$18</c:f>
              <c:strCache>
                <c:ptCount val="16"/>
                <c:pt idx="0">
                  <c:v>Oslo</c:v>
                </c:pt>
                <c:pt idx="1">
                  <c:v>Skedsmo</c:v>
                </c:pt>
                <c:pt idx="2">
                  <c:v>Nittedal</c:v>
                </c:pt>
                <c:pt idx="3">
                  <c:v>Karmøy</c:v>
                </c:pt>
                <c:pt idx="4">
                  <c:v>Hammerfest</c:v>
                </c:pt>
                <c:pt idx="5">
                  <c:v>Søgne</c:v>
                </c:pt>
                <c:pt idx="6">
                  <c:v>Bergen</c:v>
                </c:pt>
                <c:pt idx="7">
                  <c:v>Skaun</c:v>
                </c:pt>
                <c:pt idx="8">
                  <c:v>Råde</c:v>
                </c:pt>
                <c:pt idx="9">
                  <c:v>Aurskog-Høland</c:v>
                </c:pt>
                <c:pt idx="10">
                  <c:v>Sørum</c:v>
                </c:pt>
                <c:pt idx="11">
                  <c:v>Lillehammer</c:v>
                </c:pt>
                <c:pt idx="12">
                  <c:v>Bamble</c:v>
                </c:pt>
                <c:pt idx="13">
                  <c:v>Songdalen</c:v>
                </c:pt>
                <c:pt idx="14">
                  <c:v>Trondheim</c:v>
                </c:pt>
                <c:pt idx="15">
                  <c:v>Osen</c:v>
                </c:pt>
              </c:strCache>
            </c:strRef>
          </c:cat>
          <c:val>
            <c:numRef>
              <c:f>'Ark1'!$B$3:$B$18</c:f>
              <c:numCache>
                <c:formatCode>General</c:formatCode>
                <c:ptCount val="16"/>
                <c:pt idx="0">
                  <c:v>4</c:v>
                </c:pt>
                <c:pt idx="1">
                  <c:v>1.8</c:v>
                </c:pt>
                <c:pt idx="2" formatCode="#,##0">
                  <c:v>1</c:v>
                </c:pt>
                <c:pt idx="3" formatCode="#,##0">
                  <c:v>1</c:v>
                </c:pt>
                <c:pt idx="4" formatCode="#,##0">
                  <c:v>1</c:v>
                </c:pt>
                <c:pt idx="5" formatCode="#,##0.000">
                  <c:v>0.8</c:v>
                </c:pt>
                <c:pt idx="6" formatCode="#,##0.000">
                  <c:v>0.75</c:v>
                </c:pt>
                <c:pt idx="7" formatCode="#,##0.000">
                  <c:v>0.65</c:v>
                </c:pt>
                <c:pt idx="8" formatCode="#,##0.000">
                  <c:v>0.6</c:v>
                </c:pt>
                <c:pt idx="9" formatCode="#,##0.000">
                  <c:v>0.5</c:v>
                </c:pt>
                <c:pt idx="10" formatCode="#,##0.000">
                  <c:v>0.5</c:v>
                </c:pt>
                <c:pt idx="11" formatCode="#,##0.000">
                  <c:v>0.5</c:v>
                </c:pt>
                <c:pt idx="12" formatCode="#,##0.000">
                  <c:v>0.5</c:v>
                </c:pt>
                <c:pt idx="13" formatCode="#,##0.000">
                  <c:v>0.5</c:v>
                </c:pt>
                <c:pt idx="14" formatCode="#,##0.000">
                  <c:v>0.5</c:v>
                </c:pt>
                <c:pt idx="15" formatCode="#,##0.000">
                  <c:v>0.5</c:v>
                </c:pt>
              </c:numCache>
            </c:numRef>
          </c:val>
        </c:ser>
        <c:dLbls>
          <c:showLegendKey val="0"/>
          <c:showVal val="0"/>
          <c:showCatName val="0"/>
          <c:showSerName val="0"/>
          <c:showPercent val="0"/>
          <c:showBubbleSize val="0"/>
        </c:dLbls>
        <c:gapWidth val="150"/>
        <c:axId val="286177536"/>
        <c:axId val="286179328"/>
      </c:barChart>
      <c:catAx>
        <c:axId val="286177536"/>
        <c:scaling>
          <c:orientation val="minMax"/>
        </c:scaling>
        <c:delete val="0"/>
        <c:axPos val="b"/>
        <c:numFmt formatCode="General" sourceLinked="1"/>
        <c:majorTickMark val="out"/>
        <c:minorTickMark val="none"/>
        <c:tickLblPos val="nextTo"/>
        <c:crossAx val="286179328"/>
        <c:crosses val="autoZero"/>
        <c:auto val="1"/>
        <c:lblAlgn val="ctr"/>
        <c:lblOffset val="100"/>
        <c:noMultiLvlLbl val="0"/>
      </c:catAx>
      <c:valAx>
        <c:axId val="286179328"/>
        <c:scaling>
          <c:orientation val="minMax"/>
          <c:max val="4"/>
        </c:scaling>
        <c:delete val="0"/>
        <c:axPos val="l"/>
        <c:majorGridlines/>
        <c:numFmt formatCode="General" sourceLinked="1"/>
        <c:majorTickMark val="out"/>
        <c:minorTickMark val="none"/>
        <c:tickLblPos val="nextTo"/>
        <c:crossAx val="286177536"/>
        <c:crosses val="autoZero"/>
        <c:crossBetween val="between"/>
      </c:valAx>
    </c:plotArea>
    <c:legend>
      <c:legendPos val="t"/>
      <c:layout>
        <c:manualLayout>
          <c:xMode val="edge"/>
          <c:yMode val="edge"/>
          <c:x val="1.5680670087029551E-2"/>
          <c:y val="9.8844884488448845E-2"/>
          <c:w val="0.14427046577155891"/>
          <c:h val="5.307892206543488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Eiendomsskatt på bolig i norske kommuner</a:t>
            </a:r>
          </a:p>
          <a:p>
            <a:pPr>
              <a:defRPr/>
            </a:pPr>
            <a:r>
              <a:rPr lang="nb-NO" sz="1800" b="1" i="0" u="none" strike="noStrike" baseline="0">
                <a:effectLst/>
              </a:rPr>
              <a:t/>
            </a:r>
            <a:br>
              <a:rPr lang="nb-NO" sz="1800" b="1" i="0" u="none" strike="noStrike" baseline="0">
                <a:effectLst/>
              </a:rPr>
            </a:br>
            <a:endParaRPr lang="en-US"/>
          </a:p>
        </c:rich>
      </c:tx>
      <c:layout>
        <c:manualLayout>
          <c:xMode val="edge"/>
          <c:yMode val="edge"/>
          <c:x val="0.17030190234485151"/>
          <c:y val="0"/>
        </c:manualLayout>
      </c:layout>
      <c:overlay val="0"/>
    </c:title>
    <c:autoTitleDeleted val="0"/>
    <c:plotArea>
      <c:layout>
        <c:manualLayout>
          <c:layoutTarget val="inner"/>
          <c:xMode val="edge"/>
          <c:yMode val="edge"/>
          <c:x val="0.11023689337933613"/>
          <c:y val="0.16916400301447468"/>
          <c:w val="0.82585257094676523"/>
          <c:h val="0.68325655293088361"/>
        </c:manualLayout>
      </c:layout>
      <c:barChart>
        <c:barDir val="col"/>
        <c:grouping val="clustered"/>
        <c:varyColors val="0"/>
        <c:ser>
          <c:idx val="0"/>
          <c:order val="0"/>
          <c:tx>
            <c:strRef>
              <c:f>'Ark1'!$B$2</c:f>
              <c:strCache>
                <c:ptCount val="1"/>
                <c:pt idx="0">
                  <c:v>Antall kommuner</c:v>
                </c:pt>
              </c:strCache>
            </c:strRef>
          </c:tx>
          <c:invertIfNegative val="0"/>
          <c:dPt>
            <c:idx val="0"/>
            <c:invertIfNegative val="0"/>
            <c:bubble3D val="0"/>
            <c:spPr>
              <a:solidFill>
                <a:srgbClr val="C00000"/>
              </a:solidFill>
            </c:spPr>
          </c:dPt>
          <c:cat>
            <c:strRef>
              <c:f>'Ark1'!$A$3:$A$10</c:f>
              <c:strCache>
                <c:ptCount val="8"/>
                <c:pt idx="0">
                  <c:v>Uten eiendomsskatt på bolig</c:v>
                </c:pt>
                <c:pt idx="1">
                  <c:v>Eiendomsskatt uten bunnfradrag</c:v>
                </c:pt>
                <c:pt idx="2">
                  <c:v>Bunnfradrag 0-100.000 </c:v>
                </c:pt>
                <c:pt idx="3">
                  <c:v>Bunnfradrag 101-200.000</c:v>
                </c:pt>
                <c:pt idx="4">
                  <c:v>Bunnfradrag 201-400.000</c:v>
                </c:pt>
                <c:pt idx="5">
                  <c:v>Bunnfradrag 401-800.000</c:v>
                </c:pt>
                <c:pt idx="6">
                  <c:v>Bunnfradrag 801.000-1,8 mill.</c:v>
                </c:pt>
                <c:pt idx="7">
                  <c:v>Bunnfradrag over 1,8 mill.</c:v>
                </c:pt>
              </c:strCache>
            </c:strRef>
          </c:cat>
          <c:val>
            <c:numRef>
              <c:f>'Ark1'!$B$3:$B$10</c:f>
              <c:numCache>
                <c:formatCode>General</c:formatCode>
                <c:ptCount val="8"/>
                <c:pt idx="0">
                  <c:v>158</c:v>
                </c:pt>
                <c:pt idx="1">
                  <c:v>169</c:v>
                </c:pt>
                <c:pt idx="2" formatCode="#,##0">
                  <c:v>36</c:v>
                </c:pt>
                <c:pt idx="3" formatCode="#,##0">
                  <c:v>39</c:v>
                </c:pt>
                <c:pt idx="4" formatCode="#,##0">
                  <c:v>23</c:v>
                </c:pt>
                <c:pt idx="5" formatCode="#,##0">
                  <c:v>14</c:v>
                </c:pt>
                <c:pt idx="6" formatCode="#,##0">
                  <c:v>4</c:v>
                </c:pt>
                <c:pt idx="7" formatCode="#,##0">
                  <c:v>1</c:v>
                </c:pt>
              </c:numCache>
            </c:numRef>
          </c:val>
        </c:ser>
        <c:dLbls>
          <c:showLegendKey val="0"/>
          <c:showVal val="0"/>
          <c:showCatName val="0"/>
          <c:showSerName val="0"/>
          <c:showPercent val="0"/>
          <c:showBubbleSize val="0"/>
        </c:dLbls>
        <c:gapWidth val="150"/>
        <c:axId val="286192000"/>
        <c:axId val="286193920"/>
      </c:barChart>
      <c:catAx>
        <c:axId val="286192000"/>
        <c:scaling>
          <c:orientation val="minMax"/>
        </c:scaling>
        <c:delete val="0"/>
        <c:axPos val="b"/>
        <c:title>
          <c:tx>
            <c:rich>
              <a:bodyPr/>
              <a:lstStyle/>
              <a:p>
                <a:pPr>
                  <a:defRPr/>
                </a:pPr>
                <a:r>
                  <a:rPr lang="nb-NO"/>
                  <a:t>Kroner</a:t>
                </a:r>
              </a:p>
            </c:rich>
          </c:tx>
          <c:layout/>
          <c:overlay val="0"/>
        </c:title>
        <c:numFmt formatCode="General" sourceLinked="1"/>
        <c:majorTickMark val="out"/>
        <c:minorTickMark val="none"/>
        <c:tickLblPos val="nextTo"/>
        <c:txPr>
          <a:bodyPr/>
          <a:lstStyle/>
          <a:p>
            <a:pPr>
              <a:defRPr sz="800"/>
            </a:pPr>
            <a:endParaRPr lang="nb-NO"/>
          </a:p>
        </c:txPr>
        <c:crossAx val="286193920"/>
        <c:crosses val="autoZero"/>
        <c:auto val="1"/>
        <c:lblAlgn val="ctr"/>
        <c:lblOffset val="100"/>
        <c:noMultiLvlLbl val="0"/>
      </c:catAx>
      <c:valAx>
        <c:axId val="286193920"/>
        <c:scaling>
          <c:orientation val="minMax"/>
          <c:max val="200"/>
        </c:scaling>
        <c:delete val="0"/>
        <c:axPos val="l"/>
        <c:majorGridlines/>
        <c:numFmt formatCode="General" sourceLinked="1"/>
        <c:majorTickMark val="out"/>
        <c:minorTickMark val="none"/>
        <c:tickLblPos val="nextTo"/>
        <c:crossAx val="28619200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Eiendomsskatt på bolig i norske kommuner</a:t>
            </a:r>
          </a:p>
          <a:p>
            <a:pPr>
              <a:defRPr/>
            </a:pPr>
            <a:r>
              <a:rPr lang="nb-NO" sz="1800" b="1" i="0" u="none" strike="noStrike" baseline="0">
                <a:effectLst/>
              </a:rPr>
              <a:t/>
            </a:r>
            <a:br>
              <a:rPr lang="nb-NO" sz="1800" b="1" i="0" u="none" strike="noStrike" baseline="0">
                <a:effectLst/>
              </a:rPr>
            </a:br>
            <a:endParaRPr lang="en-US"/>
          </a:p>
        </c:rich>
      </c:tx>
      <c:layout>
        <c:manualLayout>
          <c:xMode val="edge"/>
          <c:yMode val="edge"/>
          <c:x val="0.17859044146812839"/>
          <c:y val="0"/>
        </c:manualLayout>
      </c:layout>
      <c:overlay val="0"/>
    </c:title>
    <c:autoTitleDeleted val="0"/>
    <c:plotArea>
      <c:layout>
        <c:manualLayout>
          <c:layoutTarget val="inner"/>
          <c:xMode val="edge"/>
          <c:yMode val="edge"/>
          <c:x val="0.11023689337933613"/>
          <c:y val="0.16916400301447468"/>
          <c:w val="0.82585257094676523"/>
          <c:h val="0.62215223097112859"/>
        </c:manualLayout>
      </c:layout>
      <c:barChart>
        <c:barDir val="col"/>
        <c:grouping val="clustered"/>
        <c:varyColors val="0"/>
        <c:ser>
          <c:idx val="0"/>
          <c:order val="0"/>
          <c:tx>
            <c:strRef>
              <c:f>'Ark1'!$B$2</c:f>
              <c:strCache>
                <c:ptCount val="1"/>
                <c:pt idx="0">
                  <c:v>Prosentandel av kommuner med eiendomsskatt</c:v>
                </c:pt>
              </c:strCache>
            </c:strRef>
          </c:tx>
          <c:invertIfNegative val="0"/>
          <c:dPt>
            <c:idx val="0"/>
            <c:invertIfNegative val="0"/>
            <c:bubble3D val="0"/>
            <c:spPr>
              <a:solidFill>
                <a:srgbClr val="C00000"/>
              </a:solidFill>
            </c:spPr>
          </c:dPt>
          <c:cat>
            <c:strRef>
              <c:f>'Ark1'!$A$13:$A$19</c:f>
              <c:strCache>
                <c:ptCount val="7"/>
                <c:pt idx="0">
                  <c:v>Uten eiendomsskatt </c:v>
                </c:pt>
                <c:pt idx="1">
                  <c:v>Skatt uten bunnfradrag</c:v>
                </c:pt>
                <c:pt idx="2">
                  <c:v>Skatt med bunnfradrag 0-100.000 </c:v>
                </c:pt>
                <c:pt idx="3">
                  <c:v>Skatt med bunnfradrag 101-200.000</c:v>
                </c:pt>
                <c:pt idx="4">
                  <c:v>Skatt med bunnfradrag 201-400.000</c:v>
                </c:pt>
                <c:pt idx="5">
                  <c:v>Skatt med bunnfradrag 401-800.000</c:v>
                </c:pt>
                <c:pt idx="6">
                  <c:v>Skatt med bunnfradrag over 801.000</c:v>
                </c:pt>
              </c:strCache>
            </c:strRef>
          </c:cat>
          <c:val>
            <c:numRef>
              <c:f>'Ark1'!$B$13:$B$19</c:f>
              <c:numCache>
                <c:formatCode>General</c:formatCode>
                <c:ptCount val="7"/>
                <c:pt idx="0">
                  <c:v>37</c:v>
                </c:pt>
                <c:pt idx="1">
                  <c:v>41</c:v>
                </c:pt>
                <c:pt idx="2">
                  <c:v>7</c:v>
                </c:pt>
                <c:pt idx="3">
                  <c:v>5</c:v>
                </c:pt>
                <c:pt idx="4">
                  <c:v>6</c:v>
                </c:pt>
                <c:pt idx="5">
                  <c:v>3</c:v>
                </c:pt>
                <c:pt idx="6">
                  <c:v>1</c:v>
                </c:pt>
              </c:numCache>
            </c:numRef>
          </c:val>
          <c:extLst xmlns:c16r2="http://schemas.microsoft.com/office/drawing/2015/06/chart">
            <c:ext xmlns:c16="http://schemas.microsoft.com/office/drawing/2014/chart" uri="{C3380CC4-5D6E-409C-BE32-E72D297353CC}">
              <c16:uniqueId val="{00000000-B3A6-4218-8105-26E9C675B40E}"/>
            </c:ext>
          </c:extLst>
        </c:ser>
        <c:dLbls>
          <c:showLegendKey val="0"/>
          <c:showVal val="0"/>
          <c:showCatName val="0"/>
          <c:showSerName val="0"/>
          <c:showPercent val="0"/>
          <c:showBubbleSize val="0"/>
        </c:dLbls>
        <c:gapWidth val="150"/>
        <c:axId val="285093248"/>
        <c:axId val="285103616"/>
      </c:barChart>
      <c:catAx>
        <c:axId val="285093248"/>
        <c:scaling>
          <c:orientation val="minMax"/>
        </c:scaling>
        <c:delete val="0"/>
        <c:axPos val="b"/>
        <c:title>
          <c:tx>
            <c:rich>
              <a:bodyPr/>
              <a:lstStyle/>
              <a:p>
                <a:pPr>
                  <a:defRPr/>
                </a:pPr>
                <a:r>
                  <a:rPr lang="nb-NO"/>
                  <a:t>Kroner</a:t>
                </a:r>
              </a:p>
            </c:rich>
          </c:tx>
          <c:layout/>
          <c:overlay val="0"/>
        </c:title>
        <c:numFmt formatCode="General" sourceLinked="1"/>
        <c:majorTickMark val="out"/>
        <c:minorTickMark val="none"/>
        <c:tickLblPos val="nextTo"/>
        <c:txPr>
          <a:bodyPr/>
          <a:lstStyle/>
          <a:p>
            <a:pPr>
              <a:defRPr sz="800"/>
            </a:pPr>
            <a:endParaRPr lang="nb-NO"/>
          </a:p>
        </c:txPr>
        <c:crossAx val="285103616"/>
        <c:crosses val="autoZero"/>
        <c:auto val="1"/>
        <c:lblAlgn val="ctr"/>
        <c:lblOffset val="100"/>
        <c:noMultiLvlLbl val="0"/>
      </c:catAx>
      <c:valAx>
        <c:axId val="285103616"/>
        <c:scaling>
          <c:orientation val="minMax"/>
          <c:max val="45"/>
          <c:min val="0"/>
        </c:scaling>
        <c:delete val="0"/>
        <c:axPos val="l"/>
        <c:majorGridlines/>
        <c:numFmt formatCode="General" sourceLinked="1"/>
        <c:majorTickMark val="out"/>
        <c:minorTickMark val="none"/>
        <c:tickLblPos val="nextTo"/>
        <c:crossAx val="285093248"/>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Andel av eiendomsskatten i Oslo i 2016</a:t>
            </a:r>
          </a:p>
          <a:p>
            <a:pPr>
              <a:defRPr/>
            </a:pPr>
            <a:r>
              <a:rPr lang="nb-NO" sz="1800" b="1" i="0" u="none" strike="noStrike" baseline="0">
                <a:effectLst/>
              </a:rPr>
              <a:t/>
            </a:r>
            <a:br>
              <a:rPr lang="nb-NO" sz="1800" b="1" i="0" u="none" strike="noStrike" baseline="0">
                <a:effectLst/>
              </a:rPr>
            </a:br>
            <a:endParaRPr lang="en-US"/>
          </a:p>
        </c:rich>
      </c:tx>
      <c:layout>
        <c:manualLayout>
          <c:xMode val="edge"/>
          <c:yMode val="edge"/>
          <c:x val="0.23616330214254863"/>
          <c:y val="0"/>
        </c:manualLayout>
      </c:layout>
      <c:overlay val="0"/>
    </c:title>
    <c:autoTitleDeleted val="0"/>
    <c:plotArea>
      <c:layout>
        <c:manualLayout>
          <c:layoutTarget val="inner"/>
          <c:xMode val="edge"/>
          <c:yMode val="edge"/>
          <c:x val="0.11023689337933613"/>
          <c:y val="0.16916400301447468"/>
          <c:w val="0.82585257094676523"/>
          <c:h val="0.54458979756243331"/>
        </c:manualLayout>
      </c:layout>
      <c:barChart>
        <c:barDir val="col"/>
        <c:grouping val="clustered"/>
        <c:varyColors val="0"/>
        <c:ser>
          <c:idx val="0"/>
          <c:order val="0"/>
          <c:tx>
            <c:strRef>
              <c:f>'Ark1'!$B$2</c:f>
              <c:strCache>
                <c:ptCount val="1"/>
                <c:pt idx="0">
                  <c:v>Andel av total eiendomsskatt i Oslo 2016 i prosent</c:v>
                </c:pt>
              </c:strCache>
            </c:strRef>
          </c:tx>
          <c:invertIfNegative val="0"/>
          <c:cat>
            <c:strRef>
              <c:f>'Ark1'!$A$3:$A$20</c:f>
              <c:strCache>
                <c:ptCount val="18"/>
                <c:pt idx="0">
                  <c:v>Alna</c:v>
                </c:pt>
                <c:pt idx="1">
                  <c:v>Bjerke</c:v>
                </c:pt>
                <c:pt idx="2">
                  <c:v>Frogner</c:v>
                </c:pt>
                <c:pt idx="3">
                  <c:v>Gamle Oslo</c:v>
                </c:pt>
                <c:pt idx="4">
                  <c:v>Grorud</c:v>
                </c:pt>
                <c:pt idx="5">
                  <c:v>Grünerløkka</c:v>
                </c:pt>
                <c:pt idx="6">
                  <c:v>Marka</c:v>
                </c:pt>
                <c:pt idx="7">
                  <c:v>Nordre Aker</c:v>
                </c:pt>
                <c:pt idx="8">
                  <c:v>Nordstrand</c:v>
                </c:pt>
                <c:pt idx="9">
                  <c:v>Sagene</c:v>
                </c:pt>
                <c:pt idx="10">
                  <c:v>Sentrum</c:v>
                </c:pt>
                <c:pt idx="11">
                  <c:v>St.Hanshaugen</c:v>
                </c:pt>
                <c:pt idx="12">
                  <c:v>Stovner</c:v>
                </c:pt>
                <c:pt idx="13">
                  <c:v>Søndre Nordstrand</c:v>
                </c:pt>
                <c:pt idx="14">
                  <c:v>Ullern</c:v>
                </c:pt>
                <c:pt idx="15">
                  <c:v>Vestre Aker</c:v>
                </c:pt>
                <c:pt idx="16">
                  <c:v>Østensjø</c:v>
                </c:pt>
                <c:pt idx="17">
                  <c:v>Ubebygde tomter/fritak</c:v>
                </c:pt>
              </c:strCache>
            </c:strRef>
          </c:cat>
          <c:val>
            <c:numRef>
              <c:f>'Ark1'!$B$3:$B$20</c:f>
              <c:numCache>
                <c:formatCode>0</c:formatCode>
                <c:ptCount val="18"/>
                <c:pt idx="0">
                  <c:v>0.5</c:v>
                </c:pt>
                <c:pt idx="1">
                  <c:v>1.6</c:v>
                </c:pt>
                <c:pt idx="2">
                  <c:v>19.2</c:v>
                </c:pt>
                <c:pt idx="3">
                  <c:v>2</c:v>
                </c:pt>
                <c:pt idx="4">
                  <c:v>0.3</c:v>
                </c:pt>
                <c:pt idx="5">
                  <c:v>3</c:v>
                </c:pt>
                <c:pt idx="6">
                  <c:v>0.7</c:v>
                </c:pt>
                <c:pt idx="7">
                  <c:v>14.6</c:v>
                </c:pt>
                <c:pt idx="8">
                  <c:v>12.1</c:v>
                </c:pt>
                <c:pt idx="9">
                  <c:v>1.6</c:v>
                </c:pt>
                <c:pt idx="10">
                  <c:v>0.2</c:v>
                </c:pt>
                <c:pt idx="11">
                  <c:v>3.4</c:v>
                </c:pt>
                <c:pt idx="12">
                  <c:v>0.4</c:v>
                </c:pt>
                <c:pt idx="13">
                  <c:v>0.6</c:v>
                </c:pt>
                <c:pt idx="14">
                  <c:v>11.5</c:v>
                </c:pt>
                <c:pt idx="15">
                  <c:v>23</c:v>
                </c:pt>
                <c:pt idx="16">
                  <c:v>2.2999999999999998</c:v>
                </c:pt>
                <c:pt idx="17">
                  <c:v>3</c:v>
                </c:pt>
              </c:numCache>
            </c:numRef>
          </c:val>
          <c:extLst xmlns:c16r2="http://schemas.microsoft.com/office/drawing/2015/06/chart">
            <c:ext xmlns:c16="http://schemas.microsoft.com/office/drawing/2014/chart" uri="{C3380CC4-5D6E-409C-BE32-E72D297353CC}">
              <c16:uniqueId val="{00000000-B3A6-4218-8105-26E9C675B40E}"/>
            </c:ext>
          </c:extLst>
        </c:ser>
        <c:dLbls>
          <c:showLegendKey val="0"/>
          <c:showVal val="0"/>
          <c:showCatName val="0"/>
          <c:showSerName val="0"/>
          <c:showPercent val="0"/>
          <c:showBubbleSize val="0"/>
        </c:dLbls>
        <c:gapWidth val="150"/>
        <c:axId val="285124480"/>
        <c:axId val="285126016"/>
      </c:barChart>
      <c:catAx>
        <c:axId val="285124480"/>
        <c:scaling>
          <c:orientation val="minMax"/>
        </c:scaling>
        <c:delete val="0"/>
        <c:axPos val="b"/>
        <c:numFmt formatCode="General" sourceLinked="1"/>
        <c:majorTickMark val="out"/>
        <c:minorTickMark val="none"/>
        <c:tickLblPos val="nextTo"/>
        <c:crossAx val="285126016"/>
        <c:crosses val="autoZero"/>
        <c:auto val="1"/>
        <c:lblAlgn val="ctr"/>
        <c:lblOffset val="100"/>
        <c:noMultiLvlLbl val="0"/>
      </c:catAx>
      <c:valAx>
        <c:axId val="285126016"/>
        <c:scaling>
          <c:orientation val="minMax"/>
          <c:max val="25"/>
        </c:scaling>
        <c:delete val="0"/>
        <c:axPos val="l"/>
        <c:majorGridlines/>
        <c:title>
          <c:tx>
            <c:rich>
              <a:bodyPr rot="0" vert="horz"/>
              <a:lstStyle/>
              <a:p>
                <a:pPr>
                  <a:defRPr/>
                </a:pPr>
                <a:r>
                  <a:rPr lang="en-US"/>
                  <a:t>Prosent</a:t>
                </a:r>
              </a:p>
            </c:rich>
          </c:tx>
          <c:layout>
            <c:manualLayout>
              <c:xMode val="edge"/>
              <c:yMode val="edge"/>
              <c:x val="8.8183770417127622E-3"/>
              <c:y val="9.0150859215043136E-2"/>
            </c:manualLayout>
          </c:layout>
          <c:overlay val="0"/>
        </c:title>
        <c:numFmt formatCode="0" sourceLinked="1"/>
        <c:majorTickMark val="out"/>
        <c:minorTickMark val="none"/>
        <c:tickLblPos val="nextTo"/>
        <c:crossAx val="2851244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Andel av boligene i hver enkelt bydel i Oslo som har fått eiendomsskatt i 2016</a:t>
            </a:r>
          </a:p>
          <a:p>
            <a:pPr>
              <a:defRPr/>
            </a:pPr>
            <a:r>
              <a:rPr lang="nb-NO" sz="1800" b="1" i="0" u="none" strike="noStrike" baseline="0">
                <a:effectLst/>
              </a:rPr>
              <a:t/>
            </a:r>
            <a:br>
              <a:rPr lang="nb-NO" sz="1800" b="1" i="0" u="none" strike="noStrike" baseline="0">
                <a:effectLst/>
              </a:rPr>
            </a:br>
            <a:endParaRPr lang="en-US"/>
          </a:p>
        </c:rich>
      </c:tx>
      <c:layout>
        <c:manualLayout>
          <c:xMode val="edge"/>
          <c:yMode val="edge"/>
          <c:x val="0.15476190476190477"/>
          <c:y val="0"/>
        </c:manualLayout>
      </c:layout>
      <c:overlay val="0"/>
    </c:title>
    <c:autoTitleDeleted val="0"/>
    <c:plotArea>
      <c:layout>
        <c:manualLayout>
          <c:layoutTarget val="inner"/>
          <c:xMode val="edge"/>
          <c:yMode val="edge"/>
          <c:x val="0.11023689337933613"/>
          <c:y val="0.16916400301447468"/>
          <c:w val="0.82585257094676523"/>
          <c:h val="0.54458979756243331"/>
        </c:manualLayout>
      </c:layout>
      <c:barChart>
        <c:barDir val="col"/>
        <c:grouping val="clustered"/>
        <c:varyColors val="0"/>
        <c:ser>
          <c:idx val="0"/>
          <c:order val="0"/>
          <c:tx>
            <c:strRef>
              <c:f>'Ark1'!$B$2</c:f>
              <c:strCache>
                <c:ptCount val="1"/>
                <c:pt idx="0">
                  <c:v>Andel av total eiendomsskatt i Oslo 2016 i prosent</c:v>
                </c:pt>
              </c:strCache>
            </c:strRef>
          </c:tx>
          <c:invertIfNegative val="0"/>
          <c:cat>
            <c:strRef>
              <c:f>'Ark1'!$A$3:$A$20</c:f>
              <c:strCache>
                <c:ptCount val="18"/>
                <c:pt idx="0">
                  <c:v>Alna</c:v>
                </c:pt>
                <c:pt idx="1">
                  <c:v>Bjerke</c:v>
                </c:pt>
                <c:pt idx="2">
                  <c:v>Frogner</c:v>
                </c:pt>
                <c:pt idx="3">
                  <c:v>Gamle Oslo</c:v>
                </c:pt>
                <c:pt idx="4">
                  <c:v>Grorud</c:v>
                </c:pt>
                <c:pt idx="5">
                  <c:v>Grünerløkka</c:v>
                </c:pt>
                <c:pt idx="6">
                  <c:v>Marka</c:v>
                </c:pt>
                <c:pt idx="7">
                  <c:v>Nordre Aker</c:v>
                </c:pt>
                <c:pt idx="8">
                  <c:v>Nordstrand</c:v>
                </c:pt>
                <c:pt idx="9">
                  <c:v>Sagene</c:v>
                </c:pt>
                <c:pt idx="10">
                  <c:v>Sentrum</c:v>
                </c:pt>
                <c:pt idx="11">
                  <c:v>St.Hanshaugen</c:v>
                </c:pt>
                <c:pt idx="12">
                  <c:v>Stovner</c:v>
                </c:pt>
                <c:pt idx="13">
                  <c:v>Søndre Nordstrand</c:v>
                </c:pt>
                <c:pt idx="14">
                  <c:v>Ullern</c:v>
                </c:pt>
                <c:pt idx="15">
                  <c:v>Vestre Aker</c:v>
                </c:pt>
                <c:pt idx="16">
                  <c:v>Østensjø</c:v>
                </c:pt>
                <c:pt idx="17">
                  <c:v>Ubebygde tomter/fritak</c:v>
                </c:pt>
              </c:strCache>
            </c:strRef>
          </c:cat>
          <c:val>
            <c:numRef>
              <c:f>'Ark1'!$B$3:$B$20</c:f>
              <c:numCache>
                <c:formatCode>0</c:formatCode>
                <c:ptCount val="18"/>
                <c:pt idx="0">
                  <c:v>14.2</c:v>
                </c:pt>
                <c:pt idx="1">
                  <c:v>19.600000000000001</c:v>
                </c:pt>
                <c:pt idx="2">
                  <c:v>37.799999999999997</c:v>
                </c:pt>
                <c:pt idx="3">
                  <c:v>7</c:v>
                </c:pt>
                <c:pt idx="4">
                  <c:v>17.5</c:v>
                </c:pt>
                <c:pt idx="5">
                  <c:v>7</c:v>
                </c:pt>
                <c:pt idx="6">
                  <c:v>50.7</c:v>
                </c:pt>
                <c:pt idx="7">
                  <c:v>58.7</c:v>
                </c:pt>
                <c:pt idx="8">
                  <c:v>54</c:v>
                </c:pt>
                <c:pt idx="9">
                  <c:v>7.6</c:v>
                </c:pt>
                <c:pt idx="10">
                  <c:v>4.0999999999999996</c:v>
                </c:pt>
                <c:pt idx="11">
                  <c:v>15.7</c:v>
                </c:pt>
                <c:pt idx="12">
                  <c:v>11.8</c:v>
                </c:pt>
                <c:pt idx="13">
                  <c:v>16</c:v>
                </c:pt>
                <c:pt idx="14">
                  <c:v>59.1</c:v>
                </c:pt>
                <c:pt idx="15">
                  <c:v>70</c:v>
                </c:pt>
                <c:pt idx="16">
                  <c:v>37.4</c:v>
                </c:pt>
                <c:pt idx="17">
                  <c:v>5.7</c:v>
                </c:pt>
              </c:numCache>
            </c:numRef>
          </c:val>
          <c:extLst xmlns:c16r2="http://schemas.microsoft.com/office/drawing/2015/06/chart">
            <c:ext xmlns:c16="http://schemas.microsoft.com/office/drawing/2014/chart" uri="{C3380CC4-5D6E-409C-BE32-E72D297353CC}">
              <c16:uniqueId val="{00000000-B3A6-4218-8105-26E9C675B40E}"/>
            </c:ext>
          </c:extLst>
        </c:ser>
        <c:dLbls>
          <c:showLegendKey val="0"/>
          <c:showVal val="0"/>
          <c:showCatName val="0"/>
          <c:showSerName val="0"/>
          <c:showPercent val="0"/>
          <c:showBubbleSize val="0"/>
        </c:dLbls>
        <c:gapWidth val="150"/>
        <c:axId val="285347840"/>
        <c:axId val="285349760"/>
      </c:barChart>
      <c:catAx>
        <c:axId val="285347840"/>
        <c:scaling>
          <c:orientation val="minMax"/>
        </c:scaling>
        <c:delete val="0"/>
        <c:axPos val="b"/>
        <c:title>
          <c:tx>
            <c:rich>
              <a:bodyPr/>
              <a:lstStyle/>
              <a:p>
                <a:pPr>
                  <a:defRPr/>
                </a:pPr>
                <a:r>
                  <a:rPr lang="en-US"/>
                  <a:t>Bydel</a:t>
                </a:r>
              </a:p>
            </c:rich>
          </c:tx>
          <c:layout/>
          <c:overlay val="0"/>
        </c:title>
        <c:numFmt formatCode="General" sourceLinked="1"/>
        <c:majorTickMark val="out"/>
        <c:minorTickMark val="none"/>
        <c:tickLblPos val="nextTo"/>
        <c:crossAx val="285349760"/>
        <c:crosses val="autoZero"/>
        <c:auto val="1"/>
        <c:lblAlgn val="ctr"/>
        <c:lblOffset val="100"/>
        <c:noMultiLvlLbl val="0"/>
      </c:catAx>
      <c:valAx>
        <c:axId val="285349760"/>
        <c:scaling>
          <c:orientation val="minMax"/>
          <c:max val="100"/>
        </c:scaling>
        <c:delete val="0"/>
        <c:axPos val="l"/>
        <c:majorGridlines/>
        <c:title>
          <c:tx>
            <c:rich>
              <a:bodyPr rot="0" vert="horz"/>
              <a:lstStyle/>
              <a:p>
                <a:pPr>
                  <a:defRPr/>
                </a:pPr>
                <a:r>
                  <a:rPr lang="nb-NO"/>
                  <a:t>Prosent</a:t>
                </a:r>
              </a:p>
            </c:rich>
          </c:tx>
          <c:layout>
            <c:manualLayout>
              <c:xMode val="edge"/>
              <c:yMode val="edge"/>
              <c:x val="9.9633423682370589E-3"/>
              <c:y val="8.75868162803142E-2"/>
            </c:manualLayout>
          </c:layout>
          <c:overlay val="0"/>
        </c:title>
        <c:numFmt formatCode="0" sourceLinked="1"/>
        <c:majorTickMark val="out"/>
        <c:minorTickMark val="none"/>
        <c:tickLblPos val="nextTo"/>
        <c:crossAx val="2853478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Antall kommuner med eiendomsskatt på </a:t>
            </a:r>
            <a:r>
              <a:rPr lang="en-US" baseline="0"/>
              <a:t>bolig </a:t>
            </a:r>
            <a:endParaRPr lang="en-US"/>
          </a:p>
        </c:rich>
      </c:tx>
      <c:layout/>
      <c:overlay val="0"/>
    </c:title>
    <c:autoTitleDeleted val="0"/>
    <c:plotArea>
      <c:layout/>
      <c:barChart>
        <c:barDir val="col"/>
        <c:grouping val="clustered"/>
        <c:varyColors val="0"/>
        <c:ser>
          <c:idx val="0"/>
          <c:order val="0"/>
          <c:tx>
            <c:strRef>
              <c:f>'Ark1'!$B$2</c:f>
              <c:strCache>
                <c:ptCount val="1"/>
                <c:pt idx="0">
                  <c:v>Av landets 428 kommuner</c:v>
                </c:pt>
              </c:strCache>
            </c:strRef>
          </c:tx>
          <c:invertIfNegative val="0"/>
          <c:cat>
            <c:numRef>
              <c:f>'Ark1'!$A$3:$A$8</c:f>
              <c:numCache>
                <c:formatCode>General</c:formatCode>
                <c:ptCount val="6"/>
                <c:pt idx="0">
                  <c:v>2007</c:v>
                </c:pt>
                <c:pt idx="1">
                  <c:v>2009</c:v>
                </c:pt>
                <c:pt idx="2">
                  <c:v>2011</c:v>
                </c:pt>
                <c:pt idx="3">
                  <c:v>2013</c:v>
                </c:pt>
                <c:pt idx="4">
                  <c:v>2015</c:v>
                </c:pt>
                <c:pt idx="5">
                  <c:v>2016</c:v>
                </c:pt>
              </c:numCache>
            </c:numRef>
          </c:cat>
          <c:val>
            <c:numRef>
              <c:f>'Ark1'!$B$3:$B$8</c:f>
              <c:numCache>
                <c:formatCode>_ * #,##0_ ;_ * \-#,##0_ ;_ * "-"??_ ;_ @_ </c:formatCode>
                <c:ptCount val="6"/>
                <c:pt idx="0">
                  <c:v>142</c:v>
                </c:pt>
                <c:pt idx="1">
                  <c:v>166</c:v>
                </c:pt>
                <c:pt idx="2">
                  <c:v>193</c:v>
                </c:pt>
                <c:pt idx="3">
                  <c:v>204</c:v>
                </c:pt>
                <c:pt idx="4">
                  <c:v>250</c:v>
                </c:pt>
                <c:pt idx="5">
                  <c:v>270</c:v>
                </c:pt>
              </c:numCache>
            </c:numRef>
          </c:val>
        </c:ser>
        <c:dLbls>
          <c:showLegendKey val="0"/>
          <c:showVal val="0"/>
          <c:showCatName val="0"/>
          <c:showSerName val="0"/>
          <c:showPercent val="0"/>
          <c:showBubbleSize val="0"/>
        </c:dLbls>
        <c:gapWidth val="150"/>
        <c:axId val="297409536"/>
        <c:axId val="197217280"/>
      </c:barChart>
      <c:catAx>
        <c:axId val="297409536"/>
        <c:scaling>
          <c:orientation val="minMax"/>
        </c:scaling>
        <c:delete val="0"/>
        <c:axPos val="b"/>
        <c:numFmt formatCode="General" sourceLinked="1"/>
        <c:majorTickMark val="out"/>
        <c:minorTickMark val="none"/>
        <c:tickLblPos val="nextTo"/>
        <c:crossAx val="197217280"/>
        <c:crosses val="autoZero"/>
        <c:auto val="1"/>
        <c:lblAlgn val="ctr"/>
        <c:lblOffset val="100"/>
        <c:noMultiLvlLbl val="0"/>
      </c:catAx>
      <c:valAx>
        <c:axId val="197217280"/>
        <c:scaling>
          <c:orientation val="minMax"/>
        </c:scaling>
        <c:delete val="0"/>
        <c:axPos val="l"/>
        <c:majorGridlines/>
        <c:numFmt formatCode="_ * #,##0_ ;_ * \-#,##0_ ;_ * &quot;-&quot;??_ ;_ @_ " sourceLinked="1"/>
        <c:majorTickMark val="out"/>
        <c:minorTickMark val="none"/>
        <c:tickLblPos val="nextTo"/>
        <c:crossAx val="2974095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Kommunal</a:t>
            </a:r>
            <a:r>
              <a:rPr lang="en-US" baseline="0"/>
              <a:t> eiendomsskatt, bolig og fritidseiendom</a:t>
            </a:r>
            <a:endParaRPr lang="en-US"/>
          </a:p>
        </c:rich>
      </c:tx>
      <c:layout/>
      <c:overlay val="0"/>
    </c:title>
    <c:autoTitleDeleted val="0"/>
    <c:plotArea>
      <c:layout>
        <c:manualLayout>
          <c:layoutTarget val="inner"/>
          <c:xMode val="edge"/>
          <c:yMode val="edge"/>
          <c:x val="7.7588598945792939E-2"/>
          <c:y val="0.27460887324775723"/>
          <c:w val="0.89816897681178287"/>
          <c:h val="0.6179885392139487"/>
        </c:manualLayout>
      </c:layout>
      <c:barChart>
        <c:barDir val="col"/>
        <c:grouping val="clustered"/>
        <c:varyColors val="0"/>
        <c:ser>
          <c:idx val="0"/>
          <c:order val="0"/>
          <c:tx>
            <c:strRef>
              <c:f>'Ark1'!$B$2</c:f>
              <c:strCache>
                <c:ptCount val="1"/>
                <c:pt idx="0">
                  <c:v>Milliarder kroner</c:v>
                </c:pt>
              </c:strCache>
            </c:strRef>
          </c:tx>
          <c:invertIfNegative val="0"/>
          <c:cat>
            <c:numRef>
              <c:f>'Ark1'!$A$3:$A$12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'Ark1'!$B$3:$B$12</c:f>
              <c:numCache>
                <c:formatCode>_ * #,##0.0_ ;_ * \-#,##0.0_ ;_ * "-"??_ ;_ @_ </c:formatCode>
                <c:ptCount val="10"/>
                <c:pt idx="0">
                  <c:v>2.1</c:v>
                </c:pt>
                <c:pt idx="1">
                  <c:v>2.4394740000000001</c:v>
                </c:pt>
                <c:pt idx="2">
                  <c:v>2.701311</c:v>
                </c:pt>
                <c:pt idx="3">
                  <c:v>3.0241980000000002</c:v>
                </c:pt>
                <c:pt idx="4">
                  <c:v>3.2109369999999999</c:v>
                </c:pt>
                <c:pt idx="5">
                  <c:v>3.3967559999999999</c:v>
                </c:pt>
                <c:pt idx="6">
                  <c:v>3.6931289999999999</c:v>
                </c:pt>
                <c:pt idx="7">
                  <c:v>4.1824839999999996</c:v>
                </c:pt>
                <c:pt idx="8">
                  <c:v>5.4</c:v>
                </c:pt>
                <c:pt idx="9">
                  <c:v>6.6</c:v>
                </c:pt>
              </c:numCache>
            </c:numRef>
          </c:val>
        </c:ser>
        <c:dLbls>
          <c:showLegendKey val="0"/>
          <c:showVal val="0"/>
          <c:showCatName val="0"/>
          <c:showSerName val="0"/>
          <c:showPercent val="0"/>
          <c:showBubbleSize val="0"/>
        </c:dLbls>
        <c:gapWidth val="150"/>
        <c:axId val="215554688"/>
        <c:axId val="201224576"/>
      </c:barChart>
      <c:catAx>
        <c:axId val="215554688"/>
        <c:scaling>
          <c:orientation val="minMax"/>
        </c:scaling>
        <c:delete val="0"/>
        <c:axPos val="b"/>
        <c:numFmt formatCode="General" sourceLinked="1"/>
        <c:majorTickMark val="out"/>
        <c:minorTickMark val="none"/>
        <c:tickLblPos val="nextTo"/>
        <c:crossAx val="201224576"/>
        <c:crosses val="autoZero"/>
        <c:auto val="1"/>
        <c:lblAlgn val="ctr"/>
        <c:lblOffset val="100"/>
        <c:noMultiLvlLbl val="0"/>
      </c:catAx>
      <c:valAx>
        <c:axId val="201224576"/>
        <c:scaling>
          <c:orientation val="minMax"/>
        </c:scaling>
        <c:delete val="0"/>
        <c:axPos val="l"/>
        <c:majorGridlines/>
        <c:title>
          <c:tx>
            <c:rich>
              <a:bodyPr rot="0" vert="horz"/>
              <a:lstStyle/>
              <a:p>
                <a:pPr>
                  <a:defRPr/>
                </a:pPr>
                <a:r>
                  <a:rPr lang="nb-NO"/>
                  <a:t>Mrd.</a:t>
                </a:r>
                <a:r>
                  <a:rPr lang="nb-NO" baseline="0"/>
                  <a:t> kroner</a:t>
                </a:r>
                <a:endParaRPr lang="nb-NO"/>
              </a:p>
            </c:rich>
          </c:tx>
          <c:layout>
            <c:manualLayout>
              <c:xMode val="edge"/>
              <c:yMode val="edge"/>
              <c:x val="1.9834710743801654E-2"/>
              <c:y val="0.1608699394890751"/>
            </c:manualLayout>
          </c:layout>
          <c:overlay val="0"/>
        </c:title>
        <c:numFmt formatCode="_ * #,##0.0_ ;_ * \-#,##0.0_ ;_ * &quot;-&quot;??_ ;_ @_ " sourceLinked="1"/>
        <c:majorTickMark val="out"/>
        <c:minorTickMark val="none"/>
        <c:tickLblPos val="nextTo"/>
        <c:crossAx val="21555468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0.06157</cdr:x>
      <cdr:y>0.09506</cdr:y>
    </cdr:from>
    <cdr:to>
      <cdr:x>0.186</cdr:x>
      <cdr:y>0.27757</cdr:y>
    </cdr:to>
    <cdr:sp macro="" textlink="">
      <cdr:nvSpPr>
        <cdr:cNvPr id="2" name="TekstSylinder 1"/>
        <cdr:cNvSpPr txBox="1"/>
      </cdr:nvSpPr>
      <cdr:spPr>
        <a:xfrm xmlns:a="http://schemas.openxmlformats.org/drawingml/2006/main">
          <a:off x="452437" y="476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dr:relSizeAnchor xmlns:cdr="http://schemas.openxmlformats.org/drawingml/2006/chartDrawing">
    <cdr:from>
      <cdr:x>0.03046</cdr:x>
      <cdr:y>0.09886</cdr:y>
    </cdr:from>
    <cdr:to>
      <cdr:x>0.20415</cdr:x>
      <cdr:y>0.28137</cdr:y>
    </cdr:to>
    <cdr:sp macro="" textlink="">
      <cdr:nvSpPr>
        <cdr:cNvPr id="3" name="TekstSylinder 2"/>
        <cdr:cNvSpPr txBox="1"/>
      </cdr:nvSpPr>
      <cdr:spPr>
        <a:xfrm xmlns:a="http://schemas.openxmlformats.org/drawingml/2006/main">
          <a:off x="223837" y="495300"/>
          <a:ext cx="12763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b-NO" sz="1000" b="1"/>
            <a:t>Antall</a:t>
          </a:r>
          <a:r>
            <a:rPr lang="nb-NO" sz="1000" b="1" baseline="0"/>
            <a:t> kommuner</a:t>
          </a:r>
          <a:endParaRPr lang="nb-NO"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0.02646</cdr:x>
      <cdr:y>0.04851</cdr:y>
    </cdr:from>
    <cdr:to>
      <cdr:x>0.2629</cdr:x>
      <cdr:y>0.18283</cdr:y>
    </cdr:to>
    <cdr:sp macro="" textlink="">
      <cdr:nvSpPr>
        <cdr:cNvPr id="2" name="TekstSylinder 1"/>
        <cdr:cNvSpPr txBox="1"/>
      </cdr:nvSpPr>
      <cdr:spPr>
        <a:xfrm xmlns:a="http://schemas.openxmlformats.org/drawingml/2006/main">
          <a:off x="152451" y="166810"/>
          <a:ext cx="1362525" cy="4618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b-NO" sz="1000" b="1"/>
            <a:t>Prosent av alle </a:t>
          </a:r>
        </a:p>
        <a:p xmlns:a="http://schemas.openxmlformats.org/drawingml/2006/main">
          <a:r>
            <a:rPr lang="nb-NO" sz="1000" b="1"/>
            <a:t>landets kommuner</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9032-3798-4E9A-A95F-24664BE9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828</Words>
  <Characters>4389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HUSEIERNES LANDSFORBUND</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Gyldenskog</dc:creator>
  <cp:lastModifiedBy>Kristin Gyldenskog</cp:lastModifiedBy>
  <cp:revision>2</cp:revision>
  <cp:lastPrinted>2016-10-27T08:00:00Z</cp:lastPrinted>
  <dcterms:created xsi:type="dcterms:W3CDTF">2016-10-27T10:44:00Z</dcterms:created>
  <dcterms:modified xsi:type="dcterms:W3CDTF">2016-10-27T10:44:00Z</dcterms:modified>
</cp:coreProperties>
</file>