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BF" w:rsidRPr="00FD5701" w:rsidRDefault="00C739FF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 w:rsidRPr="00C739FF">
        <w:rPr>
          <w:rFonts w:ascii="Peugeot" w:hAnsi="Peugeot"/>
          <w:noProof/>
          <w:kern w:val="0"/>
          <w:sz w:val="20"/>
          <w:szCs w:val="24"/>
          <w:lang w:val="fr-FR" w:eastAsia="ja-JP"/>
        </w:rPr>
        <w:pict>
          <v:rect id="_x0000_s1032" style="position:absolute;margin-left:333.4pt;margin-top:-37.85pt;width:147.75pt;height:65.25pt;z-index:251657728" stroked="f">
            <v:textbox style="mso-next-textbox:#_x0000_s1032">
              <w:txbxContent>
                <w:p w:rsidR="00BB67BF" w:rsidRPr="006206FB" w:rsidRDefault="003A2859" w:rsidP="00BB67BF">
                  <w:pPr>
                    <w:jc w:val="right"/>
                    <w:rPr>
                      <w:rFonts w:ascii="Peugeot" w:hAnsi="Peugeot"/>
                      <w:caps/>
                    </w:rPr>
                  </w:pPr>
                  <w:r>
                    <w:rPr>
                      <w:rFonts w:ascii="Peugeot" w:hAnsi="Peugeot"/>
                      <w:caps/>
                    </w:rPr>
                    <w:t>Pressemeddelelse</w:t>
                  </w:r>
                </w:p>
                <w:p w:rsidR="00BB67BF" w:rsidRPr="00FD5701" w:rsidRDefault="00BB67BF" w:rsidP="00BB67BF">
                  <w:pPr>
                    <w:jc w:val="right"/>
                    <w:rPr>
                      <w:rFonts w:ascii="Peugeot" w:hAnsi="Peugeot"/>
                    </w:rPr>
                  </w:pPr>
                </w:p>
                <w:p w:rsidR="00BB67BF" w:rsidRPr="00FD5701" w:rsidRDefault="002A24F5" w:rsidP="009434E1">
                  <w:pPr>
                    <w:jc w:val="right"/>
                    <w:rPr>
                      <w:rFonts w:ascii="Peugeot" w:hAnsi="Peugeot"/>
                    </w:rPr>
                  </w:pPr>
                  <w:r>
                    <w:rPr>
                      <w:rFonts w:ascii="Peugeot" w:hAnsi="Peugeot"/>
                    </w:rPr>
                    <w:t>November</w:t>
                  </w:r>
                  <w:r w:rsidR="00AB5DDE">
                    <w:rPr>
                      <w:rFonts w:ascii="Peugeot" w:hAnsi="Peugeot"/>
                    </w:rPr>
                    <w:t xml:space="preserve"> </w:t>
                  </w:r>
                  <w:r w:rsidR="002129EA">
                    <w:rPr>
                      <w:rFonts w:ascii="Peugeot" w:hAnsi="Peugeot"/>
                    </w:rPr>
                    <w:t>2012</w:t>
                  </w:r>
                </w:p>
              </w:txbxContent>
            </v:textbox>
          </v:rect>
        </w:pict>
      </w:r>
    </w:p>
    <w:p w:rsidR="00164E88" w:rsidRDefault="00164E88" w:rsidP="00567E45">
      <w:pPr>
        <w:pStyle w:val="Titel"/>
        <w:jc w:val="both"/>
        <w:rPr>
          <w:rFonts w:ascii="Peugeot" w:hAnsi="Peugeot"/>
          <w:color w:val="002355"/>
        </w:rPr>
      </w:pPr>
    </w:p>
    <w:p w:rsidR="00AA2E2B" w:rsidRDefault="00164E88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Markant fremgang for Peugeots varebilsprogram</w:t>
      </w:r>
    </w:p>
    <w:p w:rsidR="00164E88" w:rsidRDefault="00164E88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64E88" w:rsidRDefault="00164E88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 w:rsidRPr="00163AA0">
        <w:rPr>
          <w:rFonts w:ascii="Peugeot" w:hAnsi="Peugeot"/>
          <w:b/>
          <w:color w:val="002355"/>
          <w:sz w:val="22"/>
          <w:szCs w:val="22"/>
        </w:rPr>
        <w:t xml:space="preserve">Mens det samlede varebilsmarked oplever en lille stigning på 2,7 % i forhold til samme periode sidste år, kan Peugeot glæde sig over en fremgang </w:t>
      </w:r>
      <w:r w:rsidR="00C14621">
        <w:rPr>
          <w:rFonts w:ascii="Peugeot" w:hAnsi="Peugeot"/>
          <w:b/>
          <w:color w:val="002355"/>
          <w:sz w:val="22"/>
          <w:szCs w:val="22"/>
        </w:rPr>
        <w:t xml:space="preserve">år til dato </w:t>
      </w:r>
      <w:r w:rsidRPr="00163AA0">
        <w:rPr>
          <w:rFonts w:ascii="Peugeot" w:hAnsi="Peugeot"/>
          <w:b/>
          <w:color w:val="002355"/>
          <w:sz w:val="22"/>
          <w:szCs w:val="22"/>
        </w:rPr>
        <w:t>på hele 28 %, som betyder, at mærket springer fra en 7. plads til en 5. plads</w:t>
      </w:r>
      <w:r w:rsidR="00163AA0" w:rsidRPr="00163AA0">
        <w:rPr>
          <w:rFonts w:ascii="Peugeot" w:hAnsi="Peugeot"/>
          <w:b/>
          <w:color w:val="002355"/>
          <w:sz w:val="22"/>
          <w:szCs w:val="22"/>
        </w:rPr>
        <w:t xml:space="preserve"> på salgslisten.</w:t>
      </w:r>
    </w:p>
    <w:p w:rsidR="008D04E5" w:rsidRDefault="008D04E5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8D04E5" w:rsidRDefault="008D04E5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Danmarks bredeste varebilsprogram har slået igennem hos de danske varebilskunder. Det faktum, at man kan få en varebi</w:t>
      </w:r>
      <w:r w:rsidR="00161A7C">
        <w:rPr>
          <w:rFonts w:ascii="Peugeot" w:hAnsi="Peugeot"/>
          <w:color w:val="002355"/>
          <w:sz w:val="22"/>
          <w:szCs w:val="22"/>
        </w:rPr>
        <w:t xml:space="preserve">l med et </w:t>
      </w:r>
      <w:proofErr w:type="spellStart"/>
      <w:r w:rsidR="00161A7C">
        <w:rPr>
          <w:rFonts w:ascii="Peugeot" w:hAnsi="Peugeot"/>
          <w:color w:val="002355"/>
          <w:sz w:val="22"/>
          <w:szCs w:val="22"/>
        </w:rPr>
        <w:t>varerum</w:t>
      </w:r>
      <w:proofErr w:type="spellEnd"/>
      <w:r w:rsidR="00161A7C">
        <w:rPr>
          <w:rFonts w:ascii="Peugeot" w:hAnsi="Peugeot"/>
          <w:color w:val="002355"/>
          <w:sz w:val="22"/>
          <w:szCs w:val="22"/>
        </w:rPr>
        <w:t xml:space="preserve"> lige fra 1,2 m</w:t>
      </w:r>
      <w:r w:rsidR="00161A7C">
        <w:rPr>
          <w:rFonts w:ascii="Peugeot" w:hAnsi="Peugeot"/>
          <w:color w:val="002355"/>
          <w:sz w:val="22"/>
          <w:szCs w:val="22"/>
          <w:vertAlign w:val="superscript"/>
        </w:rPr>
        <w:t>3</w:t>
      </w:r>
      <w:r w:rsidR="00161A7C">
        <w:rPr>
          <w:rFonts w:ascii="Peugeot" w:hAnsi="Peugeot"/>
          <w:color w:val="002355"/>
          <w:sz w:val="22"/>
          <w:szCs w:val="22"/>
        </w:rPr>
        <w:t xml:space="preserve"> til 17 m</w:t>
      </w:r>
      <w:r w:rsidR="00161A7C">
        <w:rPr>
          <w:rFonts w:ascii="Peugeot" w:hAnsi="Peugeot"/>
          <w:color w:val="002355"/>
          <w:sz w:val="22"/>
          <w:szCs w:val="22"/>
          <w:vertAlign w:val="superscript"/>
        </w:rPr>
        <w:t>3</w:t>
      </w:r>
      <w:r w:rsidR="00C67151">
        <w:rPr>
          <w:rFonts w:ascii="Peugeot" w:hAnsi="Peugeot"/>
          <w:color w:val="002355"/>
          <w:sz w:val="22"/>
          <w:szCs w:val="22"/>
        </w:rPr>
        <w:t xml:space="preserve"> betyder, at der findes en Peugeot-varebil til ethvert behov og det har kunderne kvitteret for.</w:t>
      </w:r>
    </w:p>
    <w:p w:rsidR="00C67151" w:rsidRDefault="00C67151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En succesfuld oktobermåned konsoliderer Peugeots 5. plads i markedet, men her er ikke blot tale om en enlig </w:t>
      </w:r>
      <w:r w:rsidR="007268E7">
        <w:rPr>
          <w:rFonts w:ascii="Peugeot" w:hAnsi="Peugeot"/>
          <w:color w:val="002355"/>
          <w:sz w:val="22"/>
          <w:szCs w:val="22"/>
        </w:rPr>
        <w:t>svale. Den store fremgang er frugten af flere års satsning på området og udviklingen af Peugeot Professionel, hvor der er fokus på forhandlere med særligt potentiale på netop varebilsområdet.</w:t>
      </w:r>
    </w:p>
    <w:p w:rsidR="00AF58AB" w:rsidRPr="00AF58AB" w:rsidRDefault="00AF58AB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Peugeots produktchef for varebiler, Sten </w:t>
      </w:r>
      <w:proofErr w:type="spellStart"/>
      <w:r>
        <w:rPr>
          <w:rFonts w:ascii="Peugeot" w:hAnsi="Peugeot"/>
          <w:color w:val="002355"/>
          <w:sz w:val="22"/>
          <w:szCs w:val="22"/>
        </w:rPr>
        <w:t>Bonne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Schwaner forklarer succesen således: </w:t>
      </w:r>
      <w:r>
        <w:rPr>
          <w:rFonts w:ascii="Peugeot" w:hAnsi="Peugeot"/>
          <w:color w:val="002355"/>
          <w:sz w:val="22"/>
          <w:szCs w:val="22"/>
        </w:rPr>
        <w:br/>
      </w:r>
      <w:r w:rsidRPr="00AF58AB">
        <w:rPr>
          <w:rFonts w:ascii="Peugeot" w:hAnsi="Peugeot"/>
          <w:i/>
          <w:color w:val="002355"/>
          <w:sz w:val="22"/>
          <w:szCs w:val="22"/>
        </w:rPr>
        <w:t xml:space="preserve">”Vi har oplevet en stigende vækstkurve siden 2006, som er resultatet af et langt sejt træk, hvor vi har haft fokus på alle </w:t>
      </w:r>
      <w:proofErr w:type="spellStart"/>
      <w:r w:rsidRPr="00AF58AB">
        <w:rPr>
          <w:rFonts w:ascii="Peugeot" w:hAnsi="Peugeot"/>
          <w:i/>
          <w:color w:val="002355"/>
          <w:sz w:val="22"/>
          <w:szCs w:val="22"/>
        </w:rPr>
        <w:t>subsegmenter</w:t>
      </w:r>
      <w:proofErr w:type="spellEnd"/>
      <w:r w:rsidRPr="00AF58AB">
        <w:rPr>
          <w:rFonts w:ascii="Peugeot" w:hAnsi="Peugeot"/>
          <w:i/>
          <w:color w:val="002355"/>
          <w:sz w:val="22"/>
          <w:szCs w:val="22"/>
        </w:rPr>
        <w:t xml:space="preserve"> i markedet. Men også forhandlernes dedikerede indsats overfor potentielle varebilskunder har i høj grad bidraget til den flotte fremgang.”</w:t>
      </w:r>
    </w:p>
    <w:p w:rsidR="00AF58AB" w:rsidRDefault="00D50864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Peugeots salg fordeler sig på alle segmenter, lige fra den store Boxer til den fleksible Partner Van og ombyg</w:t>
      </w:r>
      <w:r w:rsidR="00DC306A">
        <w:rPr>
          <w:rFonts w:ascii="Peugeot" w:hAnsi="Peugeot"/>
          <w:color w:val="002355"/>
          <w:sz w:val="22"/>
          <w:szCs w:val="22"/>
        </w:rPr>
        <w:t>gede personbiler som 3</w:t>
      </w:r>
      <w:r>
        <w:rPr>
          <w:rFonts w:ascii="Peugeot" w:hAnsi="Peugeot"/>
          <w:color w:val="002355"/>
          <w:sz w:val="22"/>
          <w:szCs w:val="22"/>
        </w:rPr>
        <w:t xml:space="preserve">008 Van. Varebiler er et vigtigt værktøj for brugeren og tendensen går ikke entydigt i retning af </w:t>
      </w:r>
      <w:proofErr w:type="spellStart"/>
      <w:r>
        <w:rPr>
          <w:rFonts w:ascii="Peugeot" w:hAnsi="Peugeot"/>
          <w:color w:val="002355"/>
          <w:sz w:val="22"/>
          <w:szCs w:val="22"/>
        </w:rPr>
        <w:t>downsizing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– man erhverver sig den størrelse varebil, som man har brug for</w:t>
      </w:r>
      <w:r w:rsidR="00DC306A">
        <w:rPr>
          <w:rFonts w:ascii="Peugeot" w:hAnsi="Peugeot"/>
          <w:color w:val="002355"/>
          <w:sz w:val="22"/>
          <w:szCs w:val="22"/>
        </w:rPr>
        <w:t xml:space="preserve"> i sit erhverv</w:t>
      </w:r>
      <w:r>
        <w:rPr>
          <w:rFonts w:ascii="Peugeot" w:hAnsi="Peugeot"/>
          <w:color w:val="002355"/>
          <w:sz w:val="22"/>
          <w:szCs w:val="22"/>
        </w:rPr>
        <w:t>.</w:t>
      </w:r>
    </w:p>
    <w:p w:rsidR="00163AA0" w:rsidRPr="00163AA0" w:rsidRDefault="00DA2B1E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Varebilsmarkedet generelt er </w:t>
      </w:r>
      <w:r w:rsidR="00DC306A">
        <w:rPr>
          <w:rFonts w:ascii="Peugeot" w:hAnsi="Peugeot"/>
          <w:color w:val="002355"/>
          <w:sz w:val="22"/>
          <w:szCs w:val="22"/>
        </w:rPr>
        <w:t xml:space="preserve">præget af forsigtig optimisme. Både små og store virksomheder er aktive kunder, hvilket </w:t>
      </w:r>
      <w:r w:rsidR="00AF3326">
        <w:rPr>
          <w:rFonts w:ascii="Peugeot" w:hAnsi="Peugeot"/>
          <w:color w:val="002355"/>
          <w:sz w:val="22"/>
          <w:szCs w:val="22"/>
        </w:rPr>
        <w:t>er en god indikator for en begyndende vækst.</w:t>
      </w:r>
      <w:r w:rsidR="00AF3326">
        <w:rPr>
          <w:rFonts w:ascii="Peugeot" w:hAnsi="Peugeot"/>
          <w:color w:val="002355"/>
          <w:sz w:val="22"/>
          <w:szCs w:val="22"/>
        </w:rPr>
        <w:br/>
      </w:r>
      <w:r w:rsidR="00780843">
        <w:rPr>
          <w:rFonts w:ascii="Peugeot" w:hAnsi="Peugeot"/>
          <w:color w:val="002355"/>
          <w:sz w:val="22"/>
          <w:szCs w:val="22"/>
        </w:rPr>
        <w:t>Det forventes</w:t>
      </w:r>
      <w:r>
        <w:rPr>
          <w:rFonts w:ascii="Peugeot" w:hAnsi="Peugeot"/>
          <w:color w:val="002355"/>
          <w:sz w:val="22"/>
          <w:szCs w:val="22"/>
        </w:rPr>
        <w:t>, at varebilsmarkedet i år vil ende på sa</w:t>
      </w:r>
      <w:r w:rsidR="00B301D3">
        <w:rPr>
          <w:rFonts w:ascii="Peugeot" w:hAnsi="Peugeot"/>
          <w:color w:val="002355"/>
          <w:sz w:val="22"/>
          <w:szCs w:val="22"/>
        </w:rPr>
        <w:t>mme</w:t>
      </w:r>
      <w:r w:rsidR="00780843">
        <w:rPr>
          <w:rFonts w:ascii="Peugeot" w:hAnsi="Peugeot"/>
          <w:color w:val="002355"/>
          <w:sz w:val="22"/>
          <w:szCs w:val="22"/>
        </w:rPr>
        <w:t xml:space="preserve"> leje som sidste år, dvs. godt </w:t>
      </w:r>
      <w:r w:rsidR="00B301D3">
        <w:rPr>
          <w:rFonts w:ascii="Peugeot" w:hAnsi="Peugeot"/>
          <w:color w:val="002355"/>
          <w:sz w:val="22"/>
          <w:szCs w:val="22"/>
        </w:rPr>
        <w:t>24.0</w:t>
      </w:r>
      <w:r>
        <w:rPr>
          <w:rFonts w:ascii="Peugeot" w:hAnsi="Peugeot"/>
          <w:color w:val="002355"/>
          <w:sz w:val="22"/>
          <w:szCs w:val="22"/>
        </w:rPr>
        <w:t xml:space="preserve">00 enheder. Der er således stadig et par trin op til et mere ”normalt niveau” </w:t>
      </w:r>
      <w:r w:rsidR="00AE47A5">
        <w:rPr>
          <w:rFonts w:ascii="Peugeot" w:hAnsi="Peugeot"/>
          <w:color w:val="002355"/>
          <w:sz w:val="22"/>
          <w:szCs w:val="22"/>
        </w:rPr>
        <w:t>for varebilsmarkedet, som skønnes at ligge på</w:t>
      </w:r>
      <w:r>
        <w:rPr>
          <w:rFonts w:ascii="Peugeot" w:hAnsi="Peugeot"/>
          <w:color w:val="002355"/>
          <w:sz w:val="22"/>
          <w:szCs w:val="22"/>
        </w:rPr>
        <w:t xml:space="preserve"> mellem 28.000 – 30.000 enheder. </w:t>
      </w:r>
    </w:p>
    <w:p w:rsidR="00163AA0" w:rsidRDefault="00163AA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63AA0" w:rsidRPr="00164E88" w:rsidRDefault="00163AA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0669E" w:rsidRDefault="0010669E" w:rsidP="00567E45">
      <w:pPr>
        <w:pStyle w:val="Titel"/>
        <w:jc w:val="both"/>
        <w:rPr>
          <w:rFonts w:ascii="Peugeot" w:hAnsi="Peugeot"/>
          <w:color w:val="002355"/>
        </w:rPr>
      </w:pPr>
    </w:p>
    <w:p w:rsidR="00C52538" w:rsidRDefault="00C52538" w:rsidP="008E3950">
      <w:pPr>
        <w:spacing w:line="280" w:lineRule="exact"/>
        <w:jc w:val="both"/>
        <w:rPr>
          <w:rFonts w:ascii="Peugeot" w:hAnsi="Peugeot" w:cs="Arial"/>
          <w:b/>
          <w:sz w:val="22"/>
          <w:szCs w:val="22"/>
        </w:rPr>
      </w:pPr>
    </w:p>
    <w:p w:rsidR="00D868BC" w:rsidRPr="00B20DD2" w:rsidRDefault="00D868BC" w:rsidP="00D868BC">
      <w:pPr>
        <w:spacing w:line="280" w:lineRule="exact"/>
        <w:jc w:val="both"/>
        <w:rPr>
          <w:rFonts w:ascii="Peugeot" w:hAnsi="Peugeot" w:cs="Arial"/>
          <w:color w:val="0078A0"/>
          <w:sz w:val="28"/>
          <w:szCs w:val="28"/>
        </w:rPr>
      </w:pPr>
    </w:p>
    <w:sectPr w:rsidR="00D868BC" w:rsidRPr="00B20DD2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09" w:rsidRDefault="00C46A09">
      <w:r>
        <w:separator/>
      </w:r>
    </w:p>
  </w:endnote>
  <w:endnote w:type="continuationSeparator" w:id="0">
    <w:p w:rsidR="00C46A09" w:rsidRDefault="00C4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09" w:rsidRDefault="00C46A09">
      <w:r>
        <w:separator/>
      </w:r>
    </w:p>
  </w:footnote>
  <w:footnote w:type="continuationSeparator" w:id="0">
    <w:p w:rsidR="00C46A09" w:rsidRDefault="00C46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7BF"/>
    <w:rsid w:val="00011DFE"/>
    <w:rsid w:val="00030E07"/>
    <w:rsid w:val="0003774D"/>
    <w:rsid w:val="0004311A"/>
    <w:rsid w:val="00051B9F"/>
    <w:rsid w:val="00067D77"/>
    <w:rsid w:val="00075056"/>
    <w:rsid w:val="000876B9"/>
    <w:rsid w:val="00094560"/>
    <w:rsid w:val="000A1F82"/>
    <w:rsid w:val="000A24E3"/>
    <w:rsid w:val="000B68DB"/>
    <w:rsid w:val="000D5A09"/>
    <w:rsid w:val="000D6E42"/>
    <w:rsid w:val="000E1953"/>
    <w:rsid w:val="000E6B62"/>
    <w:rsid w:val="00104794"/>
    <w:rsid w:val="0010669E"/>
    <w:rsid w:val="00107A99"/>
    <w:rsid w:val="00124105"/>
    <w:rsid w:val="0014094B"/>
    <w:rsid w:val="00161A7C"/>
    <w:rsid w:val="00163AA0"/>
    <w:rsid w:val="00164E88"/>
    <w:rsid w:val="00192419"/>
    <w:rsid w:val="001D3A33"/>
    <w:rsid w:val="002111B5"/>
    <w:rsid w:val="002129EA"/>
    <w:rsid w:val="0023060D"/>
    <w:rsid w:val="0024626C"/>
    <w:rsid w:val="00250606"/>
    <w:rsid w:val="00256982"/>
    <w:rsid w:val="002575C4"/>
    <w:rsid w:val="00270375"/>
    <w:rsid w:val="002855D1"/>
    <w:rsid w:val="002953FC"/>
    <w:rsid w:val="00296DEB"/>
    <w:rsid w:val="00296E34"/>
    <w:rsid w:val="002A24F5"/>
    <w:rsid w:val="002C1A7F"/>
    <w:rsid w:val="002C52B9"/>
    <w:rsid w:val="002D09CC"/>
    <w:rsid w:val="002D133A"/>
    <w:rsid w:val="002F59BA"/>
    <w:rsid w:val="00327611"/>
    <w:rsid w:val="003358FA"/>
    <w:rsid w:val="00345D35"/>
    <w:rsid w:val="00353910"/>
    <w:rsid w:val="00354F77"/>
    <w:rsid w:val="0035702D"/>
    <w:rsid w:val="00375F81"/>
    <w:rsid w:val="0037763A"/>
    <w:rsid w:val="003A2859"/>
    <w:rsid w:val="003C7D66"/>
    <w:rsid w:val="003E72A9"/>
    <w:rsid w:val="003F3EE4"/>
    <w:rsid w:val="00430DAD"/>
    <w:rsid w:val="00441F0C"/>
    <w:rsid w:val="0044594A"/>
    <w:rsid w:val="004503E2"/>
    <w:rsid w:val="004627CF"/>
    <w:rsid w:val="00464122"/>
    <w:rsid w:val="00486280"/>
    <w:rsid w:val="004C0B5C"/>
    <w:rsid w:val="004C28B8"/>
    <w:rsid w:val="004D6657"/>
    <w:rsid w:val="004E22E4"/>
    <w:rsid w:val="004F1BD5"/>
    <w:rsid w:val="005206F8"/>
    <w:rsid w:val="00521286"/>
    <w:rsid w:val="00534F30"/>
    <w:rsid w:val="00546ED4"/>
    <w:rsid w:val="00551EFB"/>
    <w:rsid w:val="00567E45"/>
    <w:rsid w:val="00582880"/>
    <w:rsid w:val="00587E59"/>
    <w:rsid w:val="00590179"/>
    <w:rsid w:val="005A1A3B"/>
    <w:rsid w:val="005B7803"/>
    <w:rsid w:val="005C363B"/>
    <w:rsid w:val="005F3475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6092"/>
    <w:rsid w:val="00696FA6"/>
    <w:rsid w:val="006C2372"/>
    <w:rsid w:val="006F0037"/>
    <w:rsid w:val="006F12DD"/>
    <w:rsid w:val="00707DF8"/>
    <w:rsid w:val="007268E7"/>
    <w:rsid w:val="00753A2F"/>
    <w:rsid w:val="0075580B"/>
    <w:rsid w:val="00766EA2"/>
    <w:rsid w:val="00780843"/>
    <w:rsid w:val="00786649"/>
    <w:rsid w:val="0078672F"/>
    <w:rsid w:val="007A4DD1"/>
    <w:rsid w:val="007A7E64"/>
    <w:rsid w:val="007B1662"/>
    <w:rsid w:val="007E1CB7"/>
    <w:rsid w:val="007F0A33"/>
    <w:rsid w:val="007F124B"/>
    <w:rsid w:val="007F4D22"/>
    <w:rsid w:val="007F5B8F"/>
    <w:rsid w:val="00802058"/>
    <w:rsid w:val="00806759"/>
    <w:rsid w:val="00814E74"/>
    <w:rsid w:val="00826BD6"/>
    <w:rsid w:val="00847427"/>
    <w:rsid w:val="008A1C9B"/>
    <w:rsid w:val="008A60BC"/>
    <w:rsid w:val="008D04E5"/>
    <w:rsid w:val="008D2727"/>
    <w:rsid w:val="008E31F5"/>
    <w:rsid w:val="008E3950"/>
    <w:rsid w:val="009401C2"/>
    <w:rsid w:val="009405C4"/>
    <w:rsid w:val="009434E1"/>
    <w:rsid w:val="009643DA"/>
    <w:rsid w:val="009A41C0"/>
    <w:rsid w:val="009B29F6"/>
    <w:rsid w:val="009B2A18"/>
    <w:rsid w:val="009F0C6C"/>
    <w:rsid w:val="009F512A"/>
    <w:rsid w:val="009F6787"/>
    <w:rsid w:val="00A22717"/>
    <w:rsid w:val="00A30B8C"/>
    <w:rsid w:val="00A36455"/>
    <w:rsid w:val="00A51F7E"/>
    <w:rsid w:val="00A55715"/>
    <w:rsid w:val="00A6273B"/>
    <w:rsid w:val="00A66201"/>
    <w:rsid w:val="00A7023F"/>
    <w:rsid w:val="00AA2E2B"/>
    <w:rsid w:val="00AB5DDE"/>
    <w:rsid w:val="00AC0FC6"/>
    <w:rsid w:val="00AD3F0D"/>
    <w:rsid w:val="00AE1D95"/>
    <w:rsid w:val="00AE47A5"/>
    <w:rsid w:val="00AF3326"/>
    <w:rsid w:val="00AF519B"/>
    <w:rsid w:val="00AF58AB"/>
    <w:rsid w:val="00B0657E"/>
    <w:rsid w:val="00B20DD2"/>
    <w:rsid w:val="00B301D3"/>
    <w:rsid w:val="00B30C34"/>
    <w:rsid w:val="00B3544F"/>
    <w:rsid w:val="00B37A08"/>
    <w:rsid w:val="00B52256"/>
    <w:rsid w:val="00B6167E"/>
    <w:rsid w:val="00B62A46"/>
    <w:rsid w:val="00B72C5B"/>
    <w:rsid w:val="00B83A4E"/>
    <w:rsid w:val="00BA219E"/>
    <w:rsid w:val="00BB67BF"/>
    <w:rsid w:val="00BC5189"/>
    <w:rsid w:val="00BD30C3"/>
    <w:rsid w:val="00BD5882"/>
    <w:rsid w:val="00BD5D1F"/>
    <w:rsid w:val="00BF6863"/>
    <w:rsid w:val="00BF7756"/>
    <w:rsid w:val="00C07624"/>
    <w:rsid w:val="00C14621"/>
    <w:rsid w:val="00C44C52"/>
    <w:rsid w:val="00C46A09"/>
    <w:rsid w:val="00C52538"/>
    <w:rsid w:val="00C67151"/>
    <w:rsid w:val="00C739FF"/>
    <w:rsid w:val="00CA70C6"/>
    <w:rsid w:val="00CB31F4"/>
    <w:rsid w:val="00CD2C2A"/>
    <w:rsid w:val="00CD3E5D"/>
    <w:rsid w:val="00D0655C"/>
    <w:rsid w:val="00D20050"/>
    <w:rsid w:val="00D3243D"/>
    <w:rsid w:val="00D4123A"/>
    <w:rsid w:val="00D50864"/>
    <w:rsid w:val="00D51D87"/>
    <w:rsid w:val="00D54525"/>
    <w:rsid w:val="00D73B2B"/>
    <w:rsid w:val="00D76A71"/>
    <w:rsid w:val="00D811A6"/>
    <w:rsid w:val="00D868BC"/>
    <w:rsid w:val="00DA2B1E"/>
    <w:rsid w:val="00DB094F"/>
    <w:rsid w:val="00DC306A"/>
    <w:rsid w:val="00DC6F31"/>
    <w:rsid w:val="00DE713A"/>
    <w:rsid w:val="00DF380F"/>
    <w:rsid w:val="00DF52D9"/>
    <w:rsid w:val="00E06A26"/>
    <w:rsid w:val="00E077E8"/>
    <w:rsid w:val="00E12E3D"/>
    <w:rsid w:val="00E64E7E"/>
    <w:rsid w:val="00E72A78"/>
    <w:rsid w:val="00E85584"/>
    <w:rsid w:val="00E86382"/>
    <w:rsid w:val="00E910EB"/>
    <w:rsid w:val="00EA3319"/>
    <w:rsid w:val="00EC7615"/>
    <w:rsid w:val="00EE5608"/>
    <w:rsid w:val="00EE65BB"/>
    <w:rsid w:val="00EF0254"/>
    <w:rsid w:val="00EF1B10"/>
    <w:rsid w:val="00F02718"/>
    <w:rsid w:val="00F558AC"/>
    <w:rsid w:val="00F62EC9"/>
    <w:rsid w:val="00F73618"/>
    <w:rsid w:val="00F94EE1"/>
    <w:rsid w:val="00FA10A2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274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1949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hbs</cp:lastModifiedBy>
  <cp:revision>7</cp:revision>
  <cp:lastPrinted>2012-11-08T10:42:00Z</cp:lastPrinted>
  <dcterms:created xsi:type="dcterms:W3CDTF">2012-11-06T12:17:00Z</dcterms:created>
  <dcterms:modified xsi:type="dcterms:W3CDTF">2012-11-08T13:52:00Z</dcterms:modified>
</cp:coreProperties>
</file>