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8AD" w:rsidRPr="006A266B" w:rsidRDefault="00131B95" w:rsidP="00DF08AD">
      <w:pPr>
        <w:tabs>
          <w:tab w:val="left" w:pos="8288"/>
        </w:tabs>
        <w:rPr>
          <w:rFonts w:ascii="Arial" w:hAnsi="Arial" w:cs="Arial"/>
          <w:sz w:val="22"/>
          <w:szCs w:val="22"/>
        </w:rPr>
      </w:pPr>
      <w:r>
        <w:rPr>
          <w:rFonts w:ascii="Arial" w:hAnsi="Arial" w:cs="Arial"/>
          <w:sz w:val="22"/>
          <w:szCs w:val="22"/>
        </w:rPr>
        <w:t>Pressmeddelande 2012-12-04</w:t>
      </w:r>
    </w:p>
    <w:p w:rsidR="00DF08AD" w:rsidRDefault="00DF08AD" w:rsidP="00DF08AD">
      <w:pPr>
        <w:widowControl w:val="0"/>
        <w:autoSpaceDE w:val="0"/>
        <w:autoSpaceDN w:val="0"/>
        <w:adjustRightInd w:val="0"/>
        <w:rPr>
          <w:rFonts w:ascii="Arial" w:hAnsi="Arial" w:cs="Arial"/>
          <w:sz w:val="22"/>
          <w:szCs w:val="22"/>
          <w:lang w:bidi="sv-SE"/>
        </w:rPr>
      </w:pPr>
    </w:p>
    <w:p w:rsidR="006A266B" w:rsidRDefault="006A266B" w:rsidP="00DF08AD">
      <w:pPr>
        <w:widowControl w:val="0"/>
        <w:autoSpaceDE w:val="0"/>
        <w:autoSpaceDN w:val="0"/>
        <w:adjustRightInd w:val="0"/>
        <w:rPr>
          <w:rFonts w:ascii="Arial" w:hAnsi="Arial" w:cs="Arial"/>
          <w:sz w:val="22"/>
          <w:szCs w:val="22"/>
          <w:lang w:bidi="sv-SE"/>
        </w:rPr>
      </w:pPr>
    </w:p>
    <w:p w:rsidR="00131B95" w:rsidRDefault="00131B95" w:rsidP="00131B95">
      <w:pPr>
        <w:spacing w:before="2" w:after="2"/>
        <w:rPr>
          <w:rFonts w:ascii="Verdana" w:hAnsi="Verdana"/>
          <w:b/>
          <w:sz w:val="28"/>
        </w:rPr>
      </w:pPr>
    </w:p>
    <w:p w:rsidR="00131B95" w:rsidRDefault="00131B95" w:rsidP="00131B95">
      <w:pPr>
        <w:spacing w:before="2" w:after="2"/>
        <w:rPr>
          <w:rFonts w:ascii="Verdana" w:hAnsi="Verdana"/>
          <w:b/>
          <w:sz w:val="28"/>
        </w:rPr>
      </w:pPr>
    </w:p>
    <w:p w:rsidR="00131B95" w:rsidRPr="00C372F9" w:rsidRDefault="00131B95" w:rsidP="00131B95">
      <w:pPr>
        <w:spacing w:before="2" w:after="2"/>
        <w:rPr>
          <w:rFonts w:ascii="Verdana" w:hAnsi="Verdana"/>
          <w:b/>
          <w:sz w:val="28"/>
        </w:rPr>
      </w:pPr>
      <w:r w:rsidRPr="00C372F9">
        <w:rPr>
          <w:rFonts w:ascii="Verdana" w:hAnsi="Verdana"/>
          <w:b/>
          <w:sz w:val="28"/>
        </w:rPr>
        <w:t xml:space="preserve">Miljonbesparingar </w:t>
      </w:r>
    </w:p>
    <w:p w:rsidR="00131B95" w:rsidRPr="00C372F9" w:rsidRDefault="00131B95" w:rsidP="00131B95">
      <w:pPr>
        <w:spacing w:before="2" w:after="2"/>
        <w:rPr>
          <w:rFonts w:ascii="Verdana" w:hAnsi="Verdana"/>
          <w:b/>
          <w:sz w:val="28"/>
        </w:rPr>
      </w:pPr>
      <w:r w:rsidRPr="00C372F9">
        <w:rPr>
          <w:rFonts w:ascii="Verdana" w:hAnsi="Verdana"/>
          <w:b/>
          <w:sz w:val="28"/>
        </w:rPr>
        <w:t>väntar med likström</w:t>
      </w:r>
    </w:p>
    <w:p w:rsidR="002458B4" w:rsidRPr="002458B4" w:rsidRDefault="002458B4" w:rsidP="002458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lang w:bidi="sv-SE"/>
        </w:rPr>
      </w:pPr>
    </w:p>
    <w:p w:rsidR="00131B95" w:rsidRPr="00131B95" w:rsidRDefault="00131B95" w:rsidP="00131B95">
      <w:pPr>
        <w:spacing w:before="2" w:after="2"/>
        <w:rPr>
          <w:rFonts w:ascii="Verdana" w:hAnsi="Verdana"/>
          <w:i/>
          <w:sz w:val="20"/>
          <w:szCs w:val="20"/>
        </w:rPr>
      </w:pPr>
      <w:r>
        <w:rPr>
          <w:rFonts w:ascii="Arial" w:hAnsi="Arial" w:cs="Arial"/>
          <w:noProof/>
          <w:sz w:val="20"/>
          <w:szCs w:val="20"/>
        </w:rPr>
        <w:drawing>
          <wp:anchor distT="0" distB="0" distL="114300" distR="114300" simplePos="0" relativeHeight="251658240" behindDoc="0" locked="0" layoutInCell="1" allowOverlap="1" wp14:anchorId="4FADA8F9" wp14:editId="543836B7">
            <wp:simplePos x="0" y="0"/>
            <wp:positionH relativeFrom="column">
              <wp:posOffset>4547870</wp:posOffset>
            </wp:positionH>
            <wp:positionV relativeFrom="paragraph">
              <wp:posOffset>574040</wp:posOffset>
            </wp:positionV>
            <wp:extent cx="1682115" cy="2380615"/>
            <wp:effectExtent l="0" t="0" r="0" b="635"/>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image_schwartx_montage_logos-sidan_250x250.jpg"/>
                    <pic:cNvPicPr/>
                  </pic:nvPicPr>
                  <pic:blipFill rotWithShape="1">
                    <a:blip r:embed="rId9">
                      <a:extLst>
                        <a:ext uri="{28A0092B-C50C-407E-A947-70E740481C1C}">
                          <a14:useLocalDpi xmlns:a14="http://schemas.microsoft.com/office/drawing/2010/main" val="0"/>
                        </a:ext>
                      </a:extLst>
                    </a:blip>
                    <a:srcRect l="14855" r="14465"/>
                    <a:stretch/>
                  </pic:blipFill>
                  <pic:spPr bwMode="auto">
                    <a:xfrm>
                      <a:off x="0" y="0"/>
                      <a:ext cx="1682115" cy="2380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1B95">
        <w:rPr>
          <w:rFonts w:ascii="Verdana" w:hAnsi="Verdana"/>
          <w:i/>
          <w:sz w:val="20"/>
          <w:szCs w:val="20"/>
        </w:rPr>
        <w:t xml:space="preserve">Högre krav på säkerhet, mindre klimatavtryck och lägre energiförbrukning är några av de utmaningar vi står inför idag. Dessa utmaningar lockade till tre välbesökta seminarier som avhandlade energieffektiv strömförsörjning med likström och skalbara lösningar för IT-infrastrukturen.  </w:t>
      </w:r>
    </w:p>
    <w:p w:rsidR="00131B95" w:rsidRPr="00131B95" w:rsidRDefault="00131B95" w:rsidP="00131B95">
      <w:pPr>
        <w:spacing w:before="2" w:after="2"/>
        <w:rPr>
          <w:rFonts w:ascii="Verdana" w:hAnsi="Verdana"/>
          <w:sz w:val="20"/>
          <w:szCs w:val="20"/>
        </w:rPr>
      </w:pPr>
    </w:p>
    <w:p w:rsidR="00131B95" w:rsidRPr="00131B95" w:rsidRDefault="00131B95" w:rsidP="00131B95">
      <w:pPr>
        <w:spacing w:before="2" w:after="2"/>
        <w:rPr>
          <w:rFonts w:ascii="Verdana" w:hAnsi="Verdana"/>
          <w:sz w:val="20"/>
          <w:szCs w:val="20"/>
        </w:rPr>
      </w:pPr>
      <w:r w:rsidRPr="00131B95">
        <w:rPr>
          <w:rFonts w:ascii="Verdana" w:hAnsi="Verdana"/>
          <w:sz w:val="20"/>
          <w:szCs w:val="20"/>
        </w:rPr>
        <w:t xml:space="preserve">– Det här är verkligt aktuella ämnen, förklarar Stefan Flodin, Scandinavian Product Manager IT Infrastructure &amp; Service Management, Rittal, som var en av föredragshållarna. </w:t>
      </w:r>
    </w:p>
    <w:p w:rsidR="00131B95" w:rsidRPr="00131B95" w:rsidRDefault="00131B95" w:rsidP="00131B95">
      <w:pPr>
        <w:spacing w:before="2" w:after="2"/>
        <w:rPr>
          <w:rFonts w:ascii="Verdana" w:hAnsi="Verdana"/>
          <w:sz w:val="20"/>
          <w:szCs w:val="20"/>
        </w:rPr>
      </w:pPr>
    </w:p>
    <w:p w:rsidR="00131B95" w:rsidRPr="00131B95" w:rsidRDefault="00131B95" w:rsidP="00131B95">
      <w:pPr>
        <w:spacing w:before="2" w:after="2"/>
        <w:rPr>
          <w:rFonts w:ascii="Verdana" w:hAnsi="Verdana"/>
          <w:b/>
          <w:sz w:val="20"/>
          <w:szCs w:val="20"/>
        </w:rPr>
      </w:pPr>
      <w:r w:rsidRPr="00131B95">
        <w:rPr>
          <w:rFonts w:ascii="Verdana" w:hAnsi="Verdana"/>
          <w:b/>
          <w:sz w:val="20"/>
          <w:szCs w:val="20"/>
        </w:rPr>
        <w:t>Sparar 20 procent</w:t>
      </w:r>
    </w:p>
    <w:p w:rsidR="00131B95" w:rsidRPr="00131B95" w:rsidRDefault="00131B95" w:rsidP="00131B95">
      <w:pPr>
        <w:spacing w:before="2" w:after="2"/>
        <w:rPr>
          <w:rFonts w:ascii="Verdana" w:hAnsi="Verdana"/>
          <w:sz w:val="20"/>
          <w:szCs w:val="20"/>
        </w:rPr>
      </w:pPr>
      <w:r w:rsidRPr="00131B95">
        <w:rPr>
          <w:rFonts w:ascii="Verdana" w:hAnsi="Verdana"/>
          <w:sz w:val="20"/>
          <w:szCs w:val="20"/>
        </w:rPr>
        <w:t xml:space="preserve">Seminarierna, som välkomnade till en effektivare framtid, hölls i Stockholm, Göteborg och Ängelholm och arrangerades av HP, Netpower och Rittal. Ett av flera föredrag som engagerade handlade om effektiv, tillförlitlig och miljövänligare strömförsörjning i hallen med hjälp av likström. </w:t>
      </w:r>
      <w:r w:rsidRPr="00131B95">
        <w:rPr>
          <w:sz w:val="20"/>
          <w:szCs w:val="20"/>
        </w:rPr>
        <w:br/>
      </w:r>
      <w:r w:rsidRPr="00131B95">
        <w:rPr>
          <w:rFonts w:ascii="Verdana" w:hAnsi="Verdana"/>
          <w:sz w:val="20"/>
          <w:szCs w:val="20"/>
        </w:rPr>
        <w:t>– Likström ger energibesparingar med runt 20 procent. Varje transformering medför förluster och kan vi eliminera dem sparar vi energi, konstaterar Stefan Flodin.</w:t>
      </w:r>
      <w:r>
        <w:rPr>
          <w:rFonts w:ascii="Verdana" w:hAnsi="Verdana"/>
          <w:sz w:val="20"/>
          <w:szCs w:val="20"/>
        </w:rPr>
        <w:br/>
      </w:r>
    </w:p>
    <w:p w:rsidR="00131B95" w:rsidRPr="00131B95" w:rsidRDefault="00131B95" w:rsidP="00131B95">
      <w:pPr>
        <w:spacing w:before="2" w:after="2"/>
        <w:rPr>
          <w:rFonts w:ascii="Verdana" w:hAnsi="Verdana"/>
          <w:sz w:val="20"/>
          <w:szCs w:val="20"/>
        </w:rPr>
      </w:pPr>
      <w:r w:rsidRPr="00131B95">
        <w:rPr>
          <w:rFonts w:ascii="Verdana" w:hAnsi="Verdana"/>
          <w:sz w:val="20"/>
          <w:szCs w:val="20"/>
        </w:rPr>
        <w:t>Efter 100 år med växelström kan steget tyckas vara långt till likström. Men egentligen inte. Elektroniska komponenter behöver likström. Servrar använder likström och har idag ofta dubbla elanslutningar, en kan fungera för likström och en för växelström. En viktig pusselbit för att slippa transformeringar är den nya UPS för likström som Netpower har utvecklat.</w:t>
      </w:r>
    </w:p>
    <w:p w:rsidR="00131B95" w:rsidRPr="00131B95" w:rsidRDefault="00131B95" w:rsidP="00131B95">
      <w:pPr>
        <w:spacing w:before="2" w:after="2"/>
        <w:rPr>
          <w:rFonts w:ascii="Verdana" w:hAnsi="Verdana"/>
          <w:sz w:val="20"/>
          <w:szCs w:val="20"/>
        </w:rPr>
      </w:pPr>
      <w:r w:rsidRPr="00131B95">
        <w:rPr>
          <w:rFonts w:ascii="Verdana" w:hAnsi="Verdana"/>
          <w:sz w:val="20"/>
          <w:szCs w:val="20"/>
        </w:rPr>
        <w:t>– De tog egentligen fram den för att öka tillgängligheten. En UPS vill vi ska vara tillgänglig 24 timmar om dygnet, 365 dagar om året. Energieffektiviseringen blev ett extra plus.</w:t>
      </w:r>
    </w:p>
    <w:p w:rsidR="00131B95" w:rsidRPr="00131B95" w:rsidRDefault="00131B95" w:rsidP="00131B95">
      <w:pPr>
        <w:spacing w:before="2" w:after="2"/>
        <w:rPr>
          <w:rFonts w:ascii="Verdana" w:hAnsi="Verdana"/>
          <w:sz w:val="20"/>
          <w:szCs w:val="20"/>
        </w:rPr>
      </w:pPr>
    </w:p>
    <w:p w:rsidR="00131B95" w:rsidRPr="00131B95" w:rsidRDefault="00131B95" w:rsidP="00131B95">
      <w:pPr>
        <w:spacing w:before="2" w:after="2"/>
        <w:rPr>
          <w:rFonts w:ascii="Verdana" w:hAnsi="Verdana"/>
          <w:b/>
          <w:sz w:val="20"/>
          <w:szCs w:val="20"/>
        </w:rPr>
      </w:pPr>
      <w:r w:rsidRPr="00131B95">
        <w:rPr>
          <w:rFonts w:ascii="Verdana" w:hAnsi="Verdana"/>
          <w:b/>
          <w:sz w:val="20"/>
          <w:szCs w:val="20"/>
        </w:rPr>
        <w:t>Datorhallar helt på likström</w:t>
      </w:r>
    </w:p>
    <w:p w:rsidR="00131B95" w:rsidRPr="00131B95" w:rsidRDefault="00131B95" w:rsidP="00131B95">
      <w:pPr>
        <w:spacing w:before="2" w:after="2"/>
        <w:rPr>
          <w:rFonts w:ascii="Verdana" w:hAnsi="Verdana"/>
          <w:sz w:val="20"/>
          <w:szCs w:val="20"/>
        </w:rPr>
      </w:pPr>
      <w:r w:rsidRPr="00131B95">
        <w:rPr>
          <w:rFonts w:ascii="Verdana" w:hAnsi="Verdana"/>
          <w:sz w:val="20"/>
          <w:szCs w:val="20"/>
        </w:rPr>
        <w:t>Netpower har idag elva anläggningar i drift inom datorhallar. I Gnesta har en anläggning kört problemfritt sedan 2009.</w:t>
      </w:r>
    </w:p>
    <w:p w:rsidR="00131B95" w:rsidRPr="00131B95" w:rsidRDefault="00131B95" w:rsidP="00131B95">
      <w:pPr>
        <w:spacing w:before="2" w:after="2"/>
        <w:rPr>
          <w:rFonts w:ascii="Verdana" w:hAnsi="Verdana"/>
          <w:sz w:val="20"/>
          <w:szCs w:val="20"/>
        </w:rPr>
      </w:pPr>
      <w:r w:rsidRPr="00131B95">
        <w:rPr>
          <w:rFonts w:ascii="Verdana" w:hAnsi="Verdana"/>
          <w:sz w:val="20"/>
          <w:szCs w:val="20"/>
        </w:rPr>
        <w:t>– Nu när det finns anläggningar i drift är det ett bevis på att systemet är tillförlitligt, säger Stefan Flodin och noterar att med utvecklad LED-belysning kan datorhallen helt gå över till likström.</w:t>
      </w:r>
    </w:p>
    <w:p w:rsidR="00131B95" w:rsidRDefault="00131B95" w:rsidP="00131B95">
      <w:pPr>
        <w:spacing w:before="2" w:after="2"/>
        <w:rPr>
          <w:rFonts w:ascii="Verdana" w:hAnsi="Verdana"/>
          <w:sz w:val="20"/>
          <w:szCs w:val="20"/>
        </w:rPr>
      </w:pPr>
    </w:p>
    <w:p w:rsidR="00BC3475" w:rsidRDefault="00BC3475" w:rsidP="00131B95">
      <w:pPr>
        <w:spacing w:before="2" w:after="2"/>
        <w:rPr>
          <w:rFonts w:ascii="Verdana" w:hAnsi="Verdana"/>
          <w:sz w:val="20"/>
          <w:szCs w:val="20"/>
        </w:rPr>
      </w:pPr>
    </w:p>
    <w:p w:rsidR="00BC3475" w:rsidRDefault="00BC3475" w:rsidP="00131B95">
      <w:pPr>
        <w:spacing w:before="2" w:after="2"/>
        <w:rPr>
          <w:rFonts w:ascii="Verdana" w:hAnsi="Verdana"/>
          <w:sz w:val="20"/>
          <w:szCs w:val="20"/>
        </w:rPr>
      </w:pPr>
    </w:p>
    <w:p w:rsidR="00BC3475" w:rsidRDefault="00BC3475" w:rsidP="00131B95">
      <w:pPr>
        <w:spacing w:before="2" w:after="2"/>
        <w:rPr>
          <w:rFonts w:ascii="Verdana" w:hAnsi="Verdana"/>
          <w:sz w:val="20"/>
          <w:szCs w:val="20"/>
        </w:rPr>
      </w:pPr>
    </w:p>
    <w:p w:rsidR="00BC3475" w:rsidRDefault="00BC3475" w:rsidP="00131B95">
      <w:pPr>
        <w:spacing w:before="2" w:after="2"/>
        <w:rPr>
          <w:rFonts w:ascii="Verdana" w:hAnsi="Verdana"/>
          <w:sz w:val="20"/>
          <w:szCs w:val="20"/>
        </w:rPr>
      </w:pPr>
    </w:p>
    <w:p w:rsidR="00131B95" w:rsidRPr="00131B95" w:rsidRDefault="00131B95" w:rsidP="00131B95">
      <w:pPr>
        <w:spacing w:before="2" w:after="2"/>
        <w:rPr>
          <w:rFonts w:ascii="Verdana" w:hAnsi="Verdana"/>
          <w:sz w:val="20"/>
          <w:szCs w:val="20"/>
        </w:rPr>
      </w:pPr>
      <w:r w:rsidRPr="00131B95">
        <w:rPr>
          <w:rFonts w:ascii="Verdana" w:hAnsi="Verdana"/>
          <w:sz w:val="20"/>
          <w:szCs w:val="20"/>
        </w:rPr>
        <w:t>– Netpower marknadsför även solpaneler som producerar likström. Då finns hela kedjan. Kan effekten i datorhallen minska med 20 procent, från exempelvis 1 MW till 800 kW, då medför det betydande besparingar. Det handlar om miljoner. Besparingarna kommer på flera sätt – minskat behov av energi och kyla samt enklare installationer med mindre kopparkablar.</w:t>
      </w:r>
    </w:p>
    <w:p w:rsidR="00131B95" w:rsidRPr="00131B95" w:rsidRDefault="00131B95" w:rsidP="00131B95">
      <w:pPr>
        <w:spacing w:before="2" w:after="2"/>
        <w:rPr>
          <w:rFonts w:ascii="Verdana" w:hAnsi="Verdana"/>
          <w:sz w:val="20"/>
          <w:szCs w:val="20"/>
        </w:rPr>
      </w:pPr>
    </w:p>
    <w:p w:rsidR="00131B95" w:rsidRPr="00131B95" w:rsidRDefault="00131B95" w:rsidP="00131B95">
      <w:pPr>
        <w:spacing w:before="2" w:after="2"/>
        <w:rPr>
          <w:rFonts w:ascii="Verdana" w:hAnsi="Verdana"/>
          <w:b/>
          <w:sz w:val="20"/>
          <w:szCs w:val="20"/>
        </w:rPr>
      </w:pPr>
      <w:r w:rsidRPr="00131B95">
        <w:rPr>
          <w:rFonts w:ascii="Verdana" w:hAnsi="Verdana"/>
          <w:b/>
          <w:sz w:val="20"/>
          <w:szCs w:val="20"/>
        </w:rPr>
        <w:t>Smartare lösningar</w:t>
      </w:r>
    </w:p>
    <w:p w:rsidR="000A141F" w:rsidRDefault="00131B95" w:rsidP="00131B95">
      <w:pPr>
        <w:rPr>
          <w:rFonts w:ascii="Verdana" w:hAnsi="Verdana"/>
          <w:sz w:val="20"/>
          <w:szCs w:val="20"/>
        </w:rPr>
      </w:pPr>
      <w:r w:rsidRPr="00131B95">
        <w:rPr>
          <w:rFonts w:ascii="Verdana" w:hAnsi="Verdana"/>
          <w:sz w:val="20"/>
          <w:szCs w:val="20"/>
        </w:rPr>
        <w:t>Bland övriga föredrag kan nämnas ”Converged Infrastructure” för att nå upp till krav på effektivitet och tillgänglighet. Dessutom vad du bör tänka på när du bygger en ny hall eller uppgraderar din gamla. Slutligen smartare lösning med modulär IT-infrastruktur.</w:t>
      </w:r>
      <w:r w:rsidRPr="00131B95">
        <w:rPr>
          <w:sz w:val="20"/>
          <w:szCs w:val="20"/>
        </w:rPr>
        <w:br/>
      </w:r>
      <w:r w:rsidRPr="00131B95">
        <w:rPr>
          <w:rFonts w:ascii="Verdana" w:hAnsi="Verdana"/>
          <w:sz w:val="20"/>
          <w:szCs w:val="20"/>
        </w:rPr>
        <w:t>– Jag diskuterade kring ämnet Stor datorhall eller litet IT rum, stora eller små förlusteffekter, TIER1 eller TIER4. Det blev tips och idéer om hur man på ett enkelt sätt kan designa sin lösning för tillgänglighet med modulära och skalbara lösningar för fysisk IT-infrastruktur, säger Stefan Flodin.</w:t>
      </w:r>
    </w:p>
    <w:p w:rsidR="00131B95" w:rsidRDefault="00131B95" w:rsidP="00131B95">
      <w:pPr>
        <w:rPr>
          <w:rFonts w:ascii="Verdana" w:hAnsi="Verdana"/>
          <w:sz w:val="20"/>
          <w:szCs w:val="20"/>
        </w:rPr>
      </w:pPr>
    </w:p>
    <w:p w:rsidR="00131B95" w:rsidRDefault="00131B95" w:rsidP="00131B95">
      <w:pPr>
        <w:rPr>
          <w:rFonts w:ascii="Verdana" w:hAnsi="Verdana"/>
          <w:sz w:val="20"/>
          <w:szCs w:val="20"/>
        </w:rPr>
      </w:pPr>
    </w:p>
    <w:p w:rsidR="00131B95" w:rsidRDefault="00131B95" w:rsidP="00131B95">
      <w:pPr>
        <w:rPr>
          <w:rFonts w:ascii="Verdana" w:hAnsi="Verdana"/>
          <w:sz w:val="20"/>
          <w:szCs w:val="20"/>
        </w:rPr>
      </w:pPr>
    </w:p>
    <w:p w:rsidR="00131B95" w:rsidRDefault="00131B95" w:rsidP="00131B95">
      <w:pPr>
        <w:rPr>
          <w:rFonts w:ascii="Verdana" w:hAnsi="Verdana"/>
          <w:sz w:val="20"/>
          <w:szCs w:val="20"/>
        </w:rPr>
      </w:pPr>
    </w:p>
    <w:p w:rsidR="00131B95" w:rsidRDefault="00131B95" w:rsidP="00131B95">
      <w:pPr>
        <w:rPr>
          <w:rFonts w:ascii="Verdana" w:hAnsi="Verdana"/>
          <w:sz w:val="20"/>
          <w:szCs w:val="20"/>
        </w:rPr>
      </w:pPr>
    </w:p>
    <w:p w:rsidR="00131B95" w:rsidRDefault="00131B95" w:rsidP="00131B95">
      <w:pPr>
        <w:rPr>
          <w:rFonts w:ascii="Verdana" w:hAnsi="Verdana"/>
          <w:sz w:val="20"/>
          <w:szCs w:val="20"/>
        </w:rPr>
      </w:pPr>
    </w:p>
    <w:p w:rsidR="00EC2F70" w:rsidRDefault="00EC2F70" w:rsidP="00131B95">
      <w:pPr>
        <w:rPr>
          <w:rFonts w:ascii="Verdana" w:hAnsi="Verdana"/>
          <w:sz w:val="20"/>
          <w:szCs w:val="20"/>
        </w:rPr>
      </w:pPr>
    </w:p>
    <w:p w:rsidR="00EC2F70" w:rsidRDefault="00EC2F70" w:rsidP="00131B95">
      <w:pPr>
        <w:rPr>
          <w:rFonts w:ascii="Verdana" w:hAnsi="Verdana"/>
          <w:sz w:val="20"/>
          <w:szCs w:val="20"/>
        </w:rPr>
      </w:pPr>
    </w:p>
    <w:p w:rsidR="00EC2F70" w:rsidRDefault="00EC2F70" w:rsidP="00131B95">
      <w:pPr>
        <w:rPr>
          <w:rFonts w:ascii="Verdana" w:hAnsi="Verdana"/>
          <w:sz w:val="20"/>
          <w:szCs w:val="20"/>
        </w:rPr>
      </w:pPr>
    </w:p>
    <w:p w:rsidR="00EC2F70" w:rsidRDefault="00EC2F70" w:rsidP="00131B95">
      <w:pPr>
        <w:rPr>
          <w:rFonts w:ascii="Verdana" w:hAnsi="Verdana"/>
          <w:sz w:val="20"/>
          <w:szCs w:val="20"/>
        </w:rPr>
      </w:pPr>
    </w:p>
    <w:p w:rsidR="00EC2F70" w:rsidRDefault="00EC2F70" w:rsidP="00131B95">
      <w:pPr>
        <w:rPr>
          <w:rFonts w:ascii="Verdana" w:hAnsi="Verdana"/>
          <w:sz w:val="20"/>
          <w:szCs w:val="20"/>
        </w:rPr>
      </w:pPr>
    </w:p>
    <w:p w:rsidR="00EC2F70" w:rsidRDefault="00EC2F70" w:rsidP="00131B95">
      <w:pPr>
        <w:rPr>
          <w:rFonts w:ascii="Verdana" w:hAnsi="Verdana"/>
          <w:sz w:val="20"/>
          <w:szCs w:val="20"/>
        </w:rPr>
      </w:pPr>
    </w:p>
    <w:p w:rsidR="00131B95" w:rsidRDefault="00131B95" w:rsidP="00131B95">
      <w:pPr>
        <w:rPr>
          <w:rFonts w:ascii="Verdana" w:hAnsi="Verdana"/>
          <w:sz w:val="20"/>
          <w:szCs w:val="20"/>
        </w:rPr>
      </w:pPr>
    </w:p>
    <w:p w:rsidR="00BC3475" w:rsidRDefault="00BC3475" w:rsidP="00131B95">
      <w:pPr>
        <w:rPr>
          <w:rFonts w:ascii="Verdana" w:hAnsi="Verdana"/>
          <w:sz w:val="20"/>
          <w:szCs w:val="20"/>
        </w:rPr>
      </w:pPr>
      <w:bookmarkStart w:id="0" w:name="_GoBack"/>
      <w:bookmarkEnd w:id="0"/>
    </w:p>
    <w:p w:rsidR="00131B95" w:rsidRDefault="00131B95" w:rsidP="00131B95">
      <w:pPr>
        <w:rPr>
          <w:rFonts w:ascii="Verdana" w:hAnsi="Verdana"/>
          <w:sz w:val="20"/>
          <w:szCs w:val="20"/>
        </w:rPr>
      </w:pPr>
    </w:p>
    <w:p w:rsidR="00131B95" w:rsidRDefault="00131B95" w:rsidP="00131B95">
      <w:pPr>
        <w:rPr>
          <w:rFonts w:ascii="Verdana" w:hAnsi="Verdana"/>
          <w:sz w:val="20"/>
          <w:szCs w:val="20"/>
        </w:rPr>
      </w:pPr>
    </w:p>
    <w:p w:rsidR="00131B95" w:rsidRDefault="00131B95" w:rsidP="00131B95">
      <w:pPr>
        <w:rPr>
          <w:rFonts w:ascii="Verdana" w:hAnsi="Verdana"/>
          <w:sz w:val="20"/>
          <w:szCs w:val="20"/>
        </w:rPr>
      </w:pPr>
    </w:p>
    <w:p w:rsidR="00131B95" w:rsidRDefault="00131B95" w:rsidP="00131B95">
      <w:pPr>
        <w:rPr>
          <w:rFonts w:ascii="Verdana" w:hAnsi="Verdana"/>
          <w:sz w:val="20"/>
          <w:szCs w:val="20"/>
        </w:rPr>
      </w:pPr>
    </w:p>
    <w:p w:rsidR="00131B95" w:rsidRDefault="00131B95" w:rsidP="00131B95">
      <w:pPr>
        <w:rPr>
          <w:rFonts w:ascii="Verdana" w:hAnsi="Verdana"/>
          <w:sz w:val="20"/>
          <w:szCs w:val="20"/>
        </w:rPr>
      </w:pPr>
    </w:p>
    <w:p w:rsidR="00131B95" w:rsidRDefault="00131B95" w:rsidP="00131B95">
      <w:pPr>
        <w:rPr>
          <w:rFonts w:ascii="Verdana" w:hAnsi="Verdana"/>
          <w:sz w:val="20"/>
          <w:szCs w:val="20"/>
        </w:rPr>
      </w:pPr>
    </w:p>
    <w:p w:rsidR="00131B95" w:rsidRDefault="00131B95" w:rsidP="00131B95">
      <w:pPr>
        <w:rPr>
          <w:rFonts w:ascii="Verdana" w:hAnsi="Verdana"/>
          <w:sz w:val="20"/>
          <w:szCs w:val="20"/>
        </w:rPr>
      </w:pPr>
    </w:p>
    <w:p w:rsidR="00131B95" w:rsidRDefault="00131B95" w:rsidP="00131B95">
      <w:pPr>
        <w:rPr>
          <w:rFonts w:ascii="Verdana" w:hAnsi="Verdana"/>
          <w:sz w:val="20"/>
          <w:szCs w:val="20"/>
        </w:rPr>
      </w:pPr>
    </w:p>
    <w:p w:rsidR="00131B95" w:rsidRDefault="00131B95" w:rsidP="00131B95">
      <w:pPr>
        <w:rPr>
          <w:rFonts w:ascii="Verdana" w:hAnsi="Verdana"/>
          <w:sz w:val="20"/>
          <w:szCs w:val="20"/>
        </w:rPr>
      </w:pPr>
    </w:p>
    <w:p w:rsidR="00131B95" w:rsidRPr="00131B95" w:rsidRDefault="00131B95" w:rsidP="00131B95">
      <w:pPr>
        <w:rPr>
          <w:rFonts w:ascii="Arial" w:hAnsi="Arial" w:cs="Arial"/>
          <w:sz w:val="20"/>
          <w:szCs w:val="20"/>
        </w:rPr>
      </w:pPr>
    </w:p>
    <w:p w:rsidR="00D333D1" w:rsidRPr="00A574F8" w:rsidRDefault="00D333D1" w:rsidP="00D333D1">
      <w:pPr>
        <w:rPr>
          <w:rFonts w:ascii="Arial" w:hAnsi="Arial" w:cs="Arial"/>
          <w:bCs/>
          <w:sz w:val="20"/>
          <w:u w:val="single"/>
        </w:rPr>
      </w:pPr>
      <w:r w:rsidRPr="00131B95">
        <w:rPr>
          <w:rFonts w:ascii="Arial" w:hAnsi="Arial" w:cs="Arial"/>
          <w:bCs/>
          <w:sz w:val="20"/>
          <w:szCs w:val="20"/>
          <w:u w:val="single"/>
        </w:rPr>
        <w:tab/>
      </w:r>
      <w:r w:rsidRPr="00131B95">
        <w:rPr>
          <w:rFonts w:ascii="Arial" w:hAnsi="Arial" w:cs="Arial"/>
          <w:bCs/>
          <w:sz w:val="20"/>
          <w:szCs w:val="20"/>
          <w:u w:val="single"/>
        </w:rPr>
        <w:tab/>
      </w:r>
      <w:r w:rsidRPr="00131B95">
        <w:rPr>
          <w:rFonts w:ascii="Arial" w:hAnsi="Arial" w:cs="Arial"/>
          <w:bCs/>
          <w:sz w:val="20"/>
          <w:szCs w:val="20"/>
          <w:u w:val="single"/>
        </w:rPr>
        <w:tab/>
      </w:r>
      <w:r w:rsidRPr="00131B95">
        <w:rPr>
          <w:rFonts w:ascii="Arial" w:hAnsi="Arial" w:cs="Arial"/>
          <w:bCs/>
          <w:sz w:val="20"/>
          <w:szCs w:val="20"/>
          <w:u w:val="single"/>
        </w:rPr>
        <w:tab/>
      </w:r>
      <w:r w:rsidRPr="00131B95">
        <w:rPr>
          <w:rFonts w:ascii="Arial" w:hAnsi="Arial" w:cs="Arial"/>
          <w:bCs/>
          <w:sz w:val="20"/>
          <w:szCs w:val="20"/>
          <w:u w:val="single"/>
        </w:rPr>
        <w:tab/>
      </w:r>
      <w:r w:rsidRPr="00A574F8">
        <w:rPr>
          <w:rFonts w:ascii="Arial" w:hAnsi="Arial" w:cs="Arial"/>
          <w:bCs/>
          <w:sz w:val="20"/>
          <w:u w:val="single"/>
        </w:rPr>
        <w:tab/>
      </w:r>
    </w:p>
    <w:p w:rsidR="00755173" w:rsidRPr="00A574F8" w:rsidRDefault="006A266B" w:rsidP="00755173">
      <w:pPr>
        <w:autoSpaceDE w:val="0"/>
        <w:autoSpaceDN w:val="0"/>
        <w:adjustRightInd w:val="0"/>
        <w:rPr>
          <w:rFonts w:ascii="Arial" w:eastAsia="Calibri" w:hAnsi="Arial" w:cs="Arial"/>
          <w:color w:val="000000"/>
          <w:sz w:val="18"/>
          <w:szCs w:val="18"/>
        </w:rPr>
      </w:pPr>
      <w:r w:rsidRPr="00A574F8">
        <w:rPr>
          <w:rFonts w:ascii="Arial" w:hAnsi="Arial" w:cs="Arial"/>
          <w:b/>
          <w:bCs/>
          <w:sz w:val="18"/>
          <w:szCs w:val="18"/>
        </w:rPr>
        <w:t>För ytterligare information kontakta:</w:t>
      </w:r>
      <w:r w:rsidR="00FA654A" w:rsidRPr="00A574F8">
        <w:rPr>
          <w:rFonts w:ascii="Arial" w:hAnsi="Arial" w:cs="Arial"/>
          <w:b/>
          <w:bCs/>
          <w:sz w:val="18"/>
          <w:szCs w:val="18"/>
        </w:rPr>
        <w:br/>
      </w:r>
      <w:r w:rsidR="00131B95">
        <w:rPr>
          <w:rFonts w:ascii="Arial" w:eastAsia="Calibri" w:hAnsi="Arial" w:cs="Arial"/>
          <w:color w:val="000000"/>
          <w:sz w:val="18"/>
          <w:szCs w:val="18"/>
        </w:rPr>
        <w:t>Stefan Flodin</w:t>
      </w:r>
      <w:r w:rsidR="00755173" w:rsidRPr="00A574F8">
        <w:rPr>
          <w:rFonts w:ascii="Arial" w:eastAsia="Calibri" w:hAnsi="Arial" w:cs="Arial"/>
          <w:color w:val="000000"/>
          <w:sz w:val="18"/>
          <w:szCs w:val="18"/>
        </w:rPr>
        <w:t xml:space="preserve">, Scandinavian Product Manager </w:t>
      </w:r>
      <w:r w:rsidR="00131B95">
        <w:rPr>
          <w:rFonts w:ascii="Arial" w:eastAsia="Calibri" w:hAnsi="Arial" w:cs="Arial"/>
          <w:color w:val="000000"/>
          <w:sz w:val="18"/>
          <w:szCs w:val="18"/>
        </w:rPr>
        <w:t xml:space="preserve">IT </w:t>
      </w:r>
      <w:proofErr w:type="spellStart"/>
      <w:r w:rsidR="00131B95">
        <w:rPr>
          <w:rFonts w:ascii="Arial" w:eastAsia="Calibri" w:hAnsi="Arial" w:cs="Arial"/>
          <w:color w:val="000000"/>
          <w:sz w:val="18"/>
          <w:szCs w:val="18"/>
        </w:rPr>
        <w:t>Infrastructur</w:t>
      </w:r>
      <w:r w:rsidR="002A5BA6">
        <w:rPr>
          <w:rFonts w:ascii="Arial" w:eastAsia="Calibri" w:hAnsi="Arial" w:cs="Arial"/>
          <w:color w:val="000000"/>
          <w:sz w:val="18"/>
          <w:szCs w:val="18"/>
        </w:rPr>
        <w:t>e</w:t>
      </w:r>
      <w:proofErr w:type="spellEnd"/>
    </w:p>
    <w:p w:rsidR="006A266B" w:rsidRPr="00485A07" w:rsidRDefault="00755173" w:rsidP="00D333D1">
      <w:pPr>
        <w:pStyle w:val="Brdtext"/>
        <w:rPr>
          <w:rFonts w:ascii="Arial" w:hAnsi="Arial" w:cs="Arial"/>
        </w:rPr>
      </w:pPr>
      <w:r w:rsidRPr="00A574F8">
        <w:rPr>
          <w:rFonts w:ascii="Arial" w:hAnsi="Arial" w:cs="Arial"/>
          <w:sz w:val="18"/>
          <w:szCs w:val="18"/>
        </w:rPr>
        <w:t>Tel.</w:t>
      </w:r>
      <w:r w:rsidR="00D333D1" w:rsidRPr="00A574F8">
        <w:rPr>
          <w:rFonts w:ascii="Arial" w:hAnsi="Arial" w:cs="Arial"/>
          <w:sz w:val="18"/>
          <w:szCs w:val="18"/>
        </w:rPr>
        <w:t xml:space="preserve"> </w:t>
      </w:r>
      <w:r w:rsidRPr="00A574F8">
        <w:rPr>
          <w:rFonts w:ascii="Arial" w:hAnsi="Arial" w:cs="Arial"/>
          <w:sz w:val="18"/>
          <w:szCs w:val="18"/>
        </w:rPr>
        <w:t>0</w:t>
      </w:r>
      <w:r w:rsidRPr="00A574F8">
        <w:rPr>
          <w:rFonts w:ascii="Arial" w:eastAsia="Calibri" w:hAnsi="Arial" w:cs="Arial"/>
          <w:color w:val="000000"/>
          <w:sz w:val="18"/>
          <w:szCs w:val="18"/>
        </w:rPr>
        <w:t>7</w:t>
      </w:r>
      <w:r w:rsidR="00131B95">
        <w:rPr>
          <w:rFonts w:ascii="Arial" w:eastAsia="Calibri" w:hAnsi="Arial" w:cs="Arial"/>
          <w:color w:val="000000"/>
          <w:sz w:val="18"/>
          <w:szCs w:val="18"/>
        </w:rPr>
        <w:t>08</w:t>
      </w:r>
      <w:r w:rsidRPr="00A574F8">
        <w:rPr>
          <w:rFonts w:ascii="Arial" w:eastAsia="Calibri" w:hAnsi="Arial" w:cs="Arial"/>
          <w:color w:val="000000"/>
          <w:sz w:val="18"/>
          <w:szCs w:val="18"/>
        </w:rPr>
        <w:t>-</w:t>
      </w:r>
      <w:r w:rsidR="00131B95">
        <w:rPr>
          <w:rFonts w:ascii="Arial" w:eastAsia="Calibri" w:hAnsi="Arial" w:cs="Arial"/>
          <w:color w:val="000000"/>
          <w:sz w:val="18"/>
          <w:szCs w:val="18"/>
        </w:rPr>
        <w:t>47 98 86</w:t>
      </w:r>
      <w:r w:rsidR="00131B95">
        <w:rPr>
          <w:rFonts w:ascii="Arial" w:hAnsi="Arial" w:cs="Arial"/>
          <w:sz w:val="18"/>
          <w:szCs w:val="18"/>
        </w:rPr>
        <w:t>, e-post: stefan.flodin</w:t>
      </w:r>
      <w:r w:rsidRPr="00A574F8">
        <w:rPr>
          <w:rFonts w:ascii="Arial" w:hAnsi="Arial" w:cs="Arial"/>
          <w:sz w:val="18"/>
          <w:szCs w:val="18"/>
        </w:rPr>
        <w:t>@rittal.se</w:t>
      </w:r>
      <w:r w:rsidR="006A266B" w:rsidRPr="00485A07">
        <w:rPr>
          <w:rFonts w:ascii="Arial" w:hAnsi="Arial" w:cs="Arial"/>
          <w:sz w:val="20"/>
          <w:szCs w:val="20"/>
        </w:rPr>
        <w:tab/>
      </w:r>
      <w:r w:rsidR="006A266B" w:rsidRPr="00485A07">
        <w:rPr>
          <w:rFonts w:ascii="Arial" w:hAnsi="Arial" w:cs="Arial"/>
          <w:sz w:val="20"/>
          <w:szCs w:val="20"/>
        </w:rPr>
        <w:tab/>
      </w:r>
    </w:p>
    <w:p w:rsidR="006A266B" w:rsidRPr="00F57384" w:rsidRDefault="00F57384" w:rsidP="00F57384">
      <w:pPr>
        <w:pStyle w:val="Brdtext"/>
        <w:rPr>
          <w:rFonts w:ascii="Arial" w:hAnsi="Arial" w:cs="Arial"/>
          <w:sz w:val="18"/>
          <w:szCs w:val="18"/>
        </w:rPr>
      </w:pPr>
      <w:r w:rsidRPr="00961182">
        <w:rPr>
          <w:rStyle w:val="Betoning"/>
          <w:rFonts w:ascii="Arial" w:hAnsi="Arial" w:cs="Arial"/>
          <w:color w:val="333333"/>
          <w:sz w:val="16"/>
          <w:szCs w:val="16"/>
        </w:rPr>
        <w:t xml:space="preserve">Rittal, som ingår i den tyska koncernen Friedhelm Loh Group är världsledande inom apparatskåpssystem för industriautomation och fysisk IT-säkerhet. På Rittal Scandinavian ab hanterar 90 medarbetare 6 000 artiklar och 3 000 kunder. Dessa betjänas från huvudkontoret i Ängelholm, kontoren i Stockholm och Göteborg samt dotterbolagen i Norge och Finland. </w:t>
      </w:r>
      <w:r w:rsidRPr="00961182">
        <w:rPr>
          <w:rStyle w:val="Betoning"/>
          <w:rFonts w:ascii="Arial" w:hAnsi="Arial" w:cs="Arial"/>
          <w:color w:val="333333"/>
          <w:sz w:val="16"/>
          <w:szCs w:val="16"/>
        </w:rPr>
        <w:br/>
        <w:t>Omsättningen 2011 uppgick till drygt 755 MSEK.</w:t>
      </w:r>
    </w:p>
    <w:sectPr w:rsidR="006A266B" w:rsidRPr="00F57384" w:rsidSect="00643BEE">
      <w:headerReference w:type="default" r:id="rId10"/>
      <w:footerReference w:type="default" r:id="rId11"/>
      <w:headerReference w:type="first" r:id="rId12"/>
      <w:footerReference w:type="first" r:id="rId13"/>
      <w:pgSz w:w="11906" w:h="16838" w:code="9"/>
      <w:pgMar w:top="3119" w:right="1418" w:bottom="2268" w:left="1418" w:header="425" w:footer="140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A07" w:rsidRDefault="00485A07" w:rsidP="0083273E">
      <w:r>
        <w:separator/>
      </w:r>
    </w:p>
  </w:endnote>
  <w:endnote w:type="continuationSeparator" w:id="0">
    <w:p w:rsidR="00485A07" w:rsidRDefault="00485A07" w:rsidP="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07" w:rsidRDefault="00485A07" w:rsidP="006D5B91">
    <w:pPr>
      <w:pStyle w:val="Sidfot"/>
      <w:tabs>
        <w:tab w:val="clear" w:pos="4536"/>
        <w:tab w:val="clear" w:pos="9072"/>
        <w:tab w:val="left" w:pos="804"/>
      </w:tabs>
    </w:pPr>
    <w:r>
      <w:rPr>
        <w:noProof/>
      </w:rPr>
      <w:drawing>
        <wp:anchor distT="0" distB="0" distL="114300" distR="114300" simplePos="0" relativeHeight="251656704" behindDoc="0" locked="0" layoutInCell="1" allowOverlap="1" wp14:anchorId="2120ADCF" wp14:editId="7DB8B064">
          <wp:simplePos x="0" y="0"/>
          <wp:positionH relativeFrom="column">
            <wp:posOffset>-33655</wp:posOffset>
          </wp:positionH>
          <wp:positionV relativeFrom="paragraph">
            <wp:posOffset>567055</wp:posOffset>
          </wp:positionV>
          <wp:extent cx="1656080" cy="87630"/>
          <wp:effectExtent l="0" t="0" r="1270" b="7620"/>
          <wp:wrapNone/>
          <wp:docPr id="16"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3153F67F" wp14:editId="7D243DE0">
          <wp:extent cx="5447030" cy="7376795"/>
          <wp:effectExtent l="0" t="0" r="1270" b="0"/>
          <wp:docPr id="17" name="Bild 5"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_A4_Port_Stationery_BGw_5mm_Bleed_engl_R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7030" cy="737679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07" w:rsidRDefault="00485A07" w:rsidP="006D5B91">
    <w:pPr>
      <w:pStyle w:val="Sidfot"/>
      <w:ind w:left="-1417"/>
    </w:pPr>
    <w:r>
      <w:rPr>
        <w:noProof/>
      </w:rPr>
      <w:drawing>
        <wp:inline distT="0" distB="0" distL="0" distR="0" wp14:anchorId="4FE9DFF6" wp14:editId="5A41B389">
          <wp:extent cx="7562215" cy="179705"/>
          <wp:effectExtent l="0" t="0" r="635" b="0"/>
          <wp:docPr id="19" name="Bild 6" descr="pow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79705"/>
                  </a:xfrm>
                  <a:prstGeom prst="rect">
                    <a:avLst/>
                  </a:prstGeom>
                  <a:noFill/>
                  <a:ln>
                    <a:noFill/>
                  </a:ln>
                </pic:spPr>
              </pic:pic>
            </a:graphicData>
          </a:graphic>
        </wp:inline>
      </w:drawing>
    </w:r>
  </w:p>
  <w:p w:rsidR="00485A07" w:rsidRDefault="00485A07" w:rsidP="006D5B91">
    <w:pPr>
      <w:pStyle w:val="Sidfot"/>
      <w:tabs>
        <w:tab w:val="clear" w:pos="4536"/>
        <w:tab w:val="clear" w:pos="9072"/>
        <w:tab w:val="left" w:pos="804"/>
      </w:tabs>
    </w:pPr>
    <w:r>
      <w:rPr>
        <w:noProof/>
      </w:rPr>
      <w:drawing>
        <wp:anchor distT="0" distB="0" distL="114300" distR="114300" simplePos="0" relativeHeight="251659776" behindDoc="0" locked="0" layoutInCell="1" allowOverlap="1" wp14:anchorId="25918070" wp14:editId="59F91138">
          <wp:simplePos x="0" y="0"/>
          <wp:positionH relativeFrom="column">
            <wp:posOffset>-33655</wp:posOffset>
          </wp:positionH>
          <wp:positionV relativeFrom="paragraph">
            <wp:posOffset>567055</wp:posOffset>
          </wp:positionV>
          <wp:extent cx="1656080" cy="87630"/>
          <wp:effectExtent l="0" t="0" r="1270" b="7620"/>
          <wp:wrapNone/>
          <wp:docPr id="20"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br/>
    </w:r>
    <w:r>
      <w:rPr>
        <w:noProof/>
      </w:rPr>
      <w:drawing>
        <wp:inline distT="0" distB="0" distL="0" distR="0" wp14:anchorId="43166497" wp14:editId="4D1DC720">
          <wp:extent cx="5447030" cy="7376795"/>
          <wp:effectExtent l="0" t="0" r="1270" b="0"/>
          <wp:docPr id="21" name="Bild 7"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_A4_Port_Stationery_BGw_5mm_Bleed_engl_RZ"/>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47030" cy="7376795"/>
                  </a:xfrm>
                  <a:prstGeom prst="rect">
                    <a:avLst/>
                  </a:prstGeom>
                  <a:noFill/>
                  <a:ln>
                    <a:noFill/>
                  </a:ln>
                </pic:spPr>
              </pic:pic>
            </a:graphicData>
          </a:graphic>
        </wp:inline>
      </w:drawing>
    </w:r>
  </w:p>
  <w:p w:rsidR="00485A07" w:rsidRDefault="00485A07">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A07" w:rsidRDefault="00485A07" w:rsidP="0083273E">
      <w:r>
        <w:separator/>
      </w:r>
    </w:p>
  </w:footnote>
  <w:footnote w:type="continuationSeparator" w:id="0">
    <w:p w:rsidR="00485A07" w:rsidRDefault="00485A07" w:rsidP="00832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07" w:rsidRDefault="00485A07">
    <w:pPr>
      <w:pStyle w:val="Sidhuvud"/>
    </w:pPr>
    <w:r>
      <w:rPr>
        <w:noProof/>
      </w:rPr>
      <w:drawing>
        <wp:anchor distT="0" distB="0" distL="114300" distR="114300" simplePos="0" relativeHeight="251655680" behindDoc="0" locked="0" layoutInCell="1" allowOverlap="1" wp14:anchorId="5AD6A0FB" wp14:editId="76EA99F1">
          <wp:simplePos x="0" y="0"/>
          <wp:positionH relativeFrom="column">
            <wp:posOffset>5217160</wp:posOffset>
          </wp:positionH>
          <wp:positionV relativeFrom="paragraph">
            <wp:posOffset>320040</wp:posOffset>
          </wp:positionV>
          <wp:extent cx="901065" cy="1259840"/>
          <wp:effectExtent l="0" t="0" r="0" b="0"/>
          <wp:wrapNone/>
          <wp:docPr id="15"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07" w:rsidRDefault="00485A07" w:rsidP="006D5B91">
    <w:pPr>
      <w:pStyle w:val="Sidhuvud"/>
    </w:pPr>
  </w:p>
  <w:p w:rsidR="00485A07" w:rsidRDefault="00485A07">
    <w:pPr>
      <w:pStyle w:val="Sidhuvud"/>
    </w:pPr>
    <w:r>
      <w:rPr>
        <w:noProof/>
      </w:rPr>
      <mc:AlternateContent>
        <mc:Choice Requires="wps">
          <w:drawing>
            <wp:anchor distT="0" distB="0" distL="114300" distR="114300" simplePos="0" relativeHeight="251658752" behindDoc="0" locked="0" layoutInCell="1" allowOverlap="1" wp14:anchorId="7266AF1C" wp14:editId="6858C539">
              <wp:simplePos x="0" y="0"/>
              <wp:positionH relativeFrom="column">
                <wp:posOffset>5142230</wp:posOffset>
              </wp:positionH>
              <wp:positionV relativeFrom="paragraph">
                <wp:posOffset>1539875</wp:posOffset>
              </wp:positionV>
              <wp:extent cx="1462405" cy="1015365"/>
              <wp:effectExtent l="8255" t="6350" r="5715" b="698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015365"/>
                      </a:xfrm>
                      <a:prstGeom prst="rect">
                        <a:avLst/>
                      </a:prstGeom>
                      <a:solidFill>
                        <a:srgbClr val="FFFFFF"/>
                      </a:solidFill>
                      <a:ln w="9525">
                        <a:solidFill>
                          <a:srgbClr val="FFFFFF"/>
                        </a:solidFill>
                        <a:miter lim="800000"/>
                        <a:headEnd/>
                        <a:tailEnd/>
                      </a:ln>
                    </wps:spPr>
                    <wps:txbx>
                      <w:txbxContent>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t>Rittalgatan 1</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0C0682B" wp14:editId="1068F39E">
                                <wp:extent cx="73025" cy="73025"/>
                                <wp:effectExtent l="0" t="0" r="3175" b="3175"/>
                                <wp:docPr id="2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442600</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556BE81" wp14:editId="0BD726FE">
                                <wp:extent cx="73025" cy="73025"/>
                                <wp:effectExtent l="0" t="0" r="3175" b="3175"/>
                                <wp:docPr id="23"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442644</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485A07" w:rsidRPr="00BD042B" w:rsidRDefault="00485A07"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485A07" w:rsidRPr="00BD042B" w:rsidRDefault="00485A07"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485A07" w:rsidRPr="00BD042B" w:rsidRDefault="00485A07" w:rsidP="006D5B91">
                          <w:pPr>
                            <w:spacing w:line="160" w:lineRule="exact"/>
                            <w:rPr>
                              <w:rFonts w:ascii="Arial" w:hAnsi="Arial" w:cs="Arial"/>
                              <w:sz w:val="14"/>
                              <w:szCs w:val="14"/>
                            </w:rPr>
                          </w:pPr>
                          <w:r w:rsidRPr="00BD042B">
                            <w:rPr>
                              <w:rFonts w:ascii="Arial" w:hAnsi="Arial" w:cs="Arial"/>
                              <w:noProof/>
                              <w:sz w:val="14"/>
                              <w:szCs w:val="14"/>
                            </w:rPr>
                            <w:drawing>
                              <wp:inline distT="0" distB="0" distL="0" distR="0" wp14:anchorId="57FFA6BA" wp14:editId="05AC2037">
                                <wp:extent cx="73025" cy="73025"/>
                                <wp:effectExtent l="0" t="0" r="3175" b="3175"/>
                                <wp:docPr id="24"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t>
                          </w:r>
                          <w:hyperlink r:id="rId4" w:history="1">
                            <w:r w:rsidRPr="00BD042B">
                              <w:rPr>
                                <w:rStyle w:val="Hyperlnk"/>
                                <w:rFonts w:ascii="Arial" w:hAnsi="Arial" w:cs="Arial"/>
                                <w:sz w:val="14"/>
                                <w:szCs w:val="14"/>
                              </w:rPr>
                              <w:t>info@rittal.se</w:t>
                            </w:r>
                          </w:hyperlink>
                          <w:r w:rsidRPr="00BD042B">
                            <w:rPr>
                              <w:rFonts w:ascii="Arial" w:hAnsi="Arial" w:cs="Arial"/>
                              <w:sz w:val="14"/>
                              <w:szCs w:val="14"/>
                            </w:rPr>
                            <w:t xml:space="preserve"> </w:t>
                          </w:r>
                          <w:r w:rsidRPr="00BD042B">
                            <w:rPr>
                              <w:rFonts w:ascii="Arial" w:hAnsi="Arial" w:cs="Arial"/>
                              <w:noProof/>
                              <w:sz w:val="14"/>
                              <w:szCs w:val="14"/>
                            </w:rPr>
                            <w:drawing>
                              <wp:inline distT="0" distB="0" distL="0" distR="0" wp14:anchorId="375C8E03" wp14:editId="74C0CD1F">
                                <wp:extent cx="73025" cy="73025"/>
                                <wp:effectExtent l="0" t="0" r="3175" b="3175"/>
                                <wp:docPr id="25"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www.rittal.se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04.9pt;margin-top:121.25pt;width:115.15pt;height:79.9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" strokecolor="white">
              <v:textbox style="mso-fit-shape-to-text:t">
                <w:txbxContent>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t>Rittalgatan 1</w:t>
                    </w:r>
                  </w:p>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0C0682B" wp14:editId="1068F39E">
                          <wp:extent cx="73025" cy="73025"/>
                          <wp:effectExtent l="0" t="0" r="3175" b="3175"/>
                          <wp:docPr id="2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442600</w:t>
                    </w:r>
                  </w:p>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556BE81" wp14:editId="0BD726FE">
                          <wp:extent cx="73025" cy="73025"/>
                          <wp:effectExtent l="0" t="0" r="3175" b="3175"/>
                          <wp:docPr id="23"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442644</w:t>
                    </w:r>
                  </w:p>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663772" w:rsidRPr="00BD042B" w:rsidRDefault="00663772"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663772" w:rsidRPr="00BD042B" w:rsidRDefault="00663772"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663772" w:rsidRPr="00BD042B" w:rsidRDefault="00663772" w:rsidP="006D5B91">
                    <w:pPr>
                      <w:spacing w:line="160" w:lineRule="exact"/>
                      <w:rPr>
                        <w:rFonts w:ascii="Arial" w:hAnsi="Arial" w:cs="Arial"/>
                        <w:sz w:val="14"/>
                        <w:szCs w:val="14"/>
                      </w:rPr>
                    </w:pPr>
                    <w:r w:rsidRPr="00BD042B">
                      <w:rPr>
                        <w:rFonts w:ascii="Arial" w:hAnsi="Arial" w:cs="Arial"/>
                        <w:noProof/>
                        <w:sz w:val="14"/>
                        <w:szCs w:val="14"/>
                      </w:rPr>
                      <w:drawing>
                        <wp:inline distT="0" distB="0" distL="0" distR="0" wp14:anchorId="57FFA6BA" wp14:editId="05AC2037">
                          <wp:extent cx="73025" cy="73025"/>
                          <wp:effectExtent l="0" t="0" r="3175" b="3175"/>
                          <wp:docPr id="24"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t>
                    </w:r>
                    <w:hyperlink r:id="rId9" w:history="1">
                      <w:r w:rsidRPr="00BD042B">
                        <w:rPr>
                          <w:rStyle w:val="Hyperlnk"/>
                          <w:rFonts w:ascii="Arial" w:hAnsi="Arial" w:cs="Arial"/>
                          <w:sz w:val="14"/>
                          <w:szCs w:val="14"/>
                        </w:rPr>
                        <w:t>info@rittal.se</w:t>
                      </w:r>
                    </w:hyperlink>
                    <w:r w:rsidRPr="00BD042B">
                      <w:rPr>
                        <w:rFonts w:ascii="Arial" w:hAnsi="Arial" w:cs="Arial"/>
                        <w:sz w:val="14"/>
                        <w:szCs w:val="14"/>
                      </w:rPr>
                      <w:t xml:space="preserve"> </w:t>
                    </w:r>
                    <w:r w:rsidRPr="00BD042B">
                      <w:rPr>
                        <w:rFonts w:ascii="Arial" w:hAnsi="Arial" w:cs="Arial"/>
                        <w:noProof/>
                        <w:sz w:val="14"/>
                        <w:szCs w:val="14"/>
                      </w:rPr>
                      <w:drawing>
                        <wp:inline distT="0" distB="0" distL="0" distR="0" wp14:anchorId="375C8E03" wp14:editId="74C0CD1F">
                          <wp:extent cx="73025" cy="73025"/>
                          <wp:effectExtent l="0" t="0" r="3175" b="3175"/>
                          <wp:docPr id="25"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www.rittal.se</w:t>
                    </w:r>
                  </w:p>
                </w:txbxContent>
              </v:textbox>
            </v:shape>
          </w:pict>
        </mc:Fallback>
      </mc:AlternateContent>
    </w:r>
    <w:r>
      <w:rPr>
        <w:noProof/>
      </w:rPr>
      <w:drawing>
        <wp:anchor distT="0" distB="0" distL="114300" distR="114300" simplePos="0" relativeHeight="251657728" behindDoc="0" locked="0" layoutInCell="1" allowOverlap="1" wp14:anchorId="309305E2" wp14:editId="13557157">
          <wp:simplePos x="0" y="0"/>
          <wp:positionH relativeFrom="column">
            <wp:posOffset>5188585</wp:posOffset>
          </wp:positionH>
          <wp:positionV relativeFrom="paragraph">
            <wp:posOffset>144780</wp:posOffset>
          </wp:positionV>
          <wp:extent cx="901065" cy="1259840"/>
          <wp:effectExtent l="0" t="0" r="0" b="0"/>
          <wp:wrapNone/>
          <wp:docPr id="18"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8pt;height:28pt" o:bullet="t">
        <v:imagedata r:id="rId1" o:title="Icons_GA_Telefon"/>
      </v:shape>
    </w:pict>
  </w:numPicBullet>
  <w:numPicBullet w:numPicBulletId="1">
    <w:pict>
      <v:shape id="_x0000_i1037" type="#_x0000_t75" style="width:28pt;height:28pt" o:bullet="t">
        <v:imagedata r:id="rId2" o:title="Icons_GA_Mail"/>
      </v:shape>
    </w:pict>
  </w:numPicBullet>
  <w:abstractNum w:abstractNumId="0">
    <w:nsid w:val="45FF0FDD"/>
    <w:multiLevelType w:val="hybridMultilevel"/>
    <w:tmpl w:val="A986FF0A"/>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abstractNum w:abstractNumId="1">
    <w:nsid w:val="4A381440"/>
    <w:multiLevelType w:val="hybridMultilevel"/>
    <w:tmpl w:val="FEC0C5EA"/>
    <w:lvl w:ilvl="0" w:tplc="271E0EE0">
      <w:start w:val="1"/>
      <w:numFmt w:val="bullet"/>
      <w:lvlText w:val=""/>
      <w:lvlPicBulletId w:val="0"/>
      <w:lvlJc w:val="left"/>
      <w:pPr>
        <w:tabs>
          <w:tab w:val="num" w:pos="720"/>
        </w:tabs>
        <w:ind w:left="720" w:hanging="360"/>
      </w:pPr>
      <w:rPr>
        <w:rFonts w:ascii="Symbol" w:hAnsi="Symbol" w:hint="default"/>
      </w:rPr>
    </w:lvl>
    <w:lvl w:ilvl="1" w:tplc="E2AA4860" w:tentative="1">
      <w:start w:val="1"/>
      <w:numFmt w:val="bullet"/>
      <w:lvlText w:val=""/>
      <w:lvlJc w:val="left"/>
      <w:pPr>
        <w:tabs>
          <w:tab w:val="num" w:pos="1440"/>
        </w:tabs>
        <w:ind w:left="1440" w:hanging="360"/>
      </w:pPr>
      <w:rPr>
        <w:rFonts w:ascii="Symbol" w:hAnsi="Symbol" w:hint="default"/>
      </w:rPr>
    </w:lvl>
    <w:lvl w:ilvl="2" w:tplc="0A50DA86" w:tentative="1">
      <w:start w:val="1"/>
      <w:numFmt w:val="bullet"/>
      <w:lvlText w:val=""/>
      <w:lvlJc w:val="left"/>
      <w:pPr>
        <w:tabs>
          <w:tab w:val="num" w:pos="2160"/>
        </w:tabs>
        <w:ind w:left="2160" w:hanging="360"/>
      </w:pPr>
      <w:rPr>
        <w:rFonts w:ascii="Symbol" w:hAnsi="Symbol" w:hint="default"/>
      </w:rPr>
    </w:lvl>
    <w:lvl w:ilvl="3" w:tplc="F58A576C" w:tentative="1">
      <w:start w:val="1"/>
      <w:numFmt w:val="bullet"/>
      <w:lvlText w:val=""/>
      <w:lvlJc w:val="left"/>
      <w:pPr>
        <w:tabs>
          <w:tab w:val="num" w:pos="2880"/>
        </w:tabs>
        <w:ind w:left="2880" w:hanging="360"/>
      </w:pPr>
      <w:rPr>
        <w:rFonts w:ascii="Symbol" w:hAnsi="Symbol" w:hint="default"/>
      </w:rPr>
    </w:lvl>
    <w:lvl w:ilvl="4" w:tplc="538EE564" w:tentative="1">
      <w:start w:val="1"/>
      <w:numFmt w:val="bullet"/>
      <w:lvlText w:val=""/>
      <w:lvlJc w:val="left"/>
      <w:pPr>
        <w:tabs>
          <w:tab w:val="num" w:pos="3600"/>
        </w:tabs>
        <w:ind w:left="3600" w:hanging="360"/>
      </w:pPr>
      <w:rPr>
        <w:rFonts w:ascii="Symbol" w:hAnsi="Symbol" w:hint="default"/>
      </w:rPr>
    </w:lvl>
    <w:lvl w:ilvl="5" w:tplc="DE90E560" w:tentative="1">
      <w:start w:val="1"/>
      <w:numFmt w:val="bullet"/>
      <w:lvlText w:val=""/>
      <w:lvlJc w:val="left"/>
      <w:pPr>
        <w:tabs>
          <w:tab w:val="num" w:pos="4320"/>
        </w:tabs>
        <w:ind w:left="4320" w:hanging="360"/>
      </w:pPr>
      <w:rPr>
        <w:rFonts w:ascii="Symbol" w:hAnsi="Symbol" w:hint="default"/>
      </w:rPr>
    </w:lvl>
    <w:lvl w:ilvl="6" w:tplc="1C0C72D0" w:tentative="1">
      <w:start w:val="1"/>
      <w:numFmt w:val="bullet"/>
      <w:lvlText w:val=""/>
      <w:lvlJc w:val="left"/>
      <w:pPr>
        <w:tabs>
          <w:tab w:val="num" w:pos="5040"/>
        </w:tabs>
        <w:ind w:left="5040" w:hanging="360"/>
      </w:pPr>
      <w:rPr>
        <w:rFonts w:ascii="Symbol" w:hAnsi="Symbol" w:hint="default"/>
      </w:rPr>
    </w:lvl>
    <w:lvl w:ilvl="7" w:tplc="17FA1470" w:tentative="1">
      <w:start w:val="1"/>
      <w:numFmt w:val="bullet"/>
      <w:lvlText w:val=""/>
      <w:lvlJc w:val="left"/>
      <w:pPr>
        <w:tabs>
          <w:tab w:val="num" w:pos="5760"/>
        </w:tabs>
        <w:ind w:left="5760" w:hanging="360"/>
      </w:pPr>
      <w:rPr>
        <w:rFonts w:ascii="Symbol" w:hAnsi="Symbol" w:hint="default"/>
      </w:rPr>
    </w:lvl>
    <w:lvl w:ilvl="8" w:tplc="641601C4" w:tentative="1">
      <w:start w:val="1"/>
      <w:numFmt w:val="bullet"/>
      <w:lvlText w:val=""/>
      <w:lvlJc w:val="left"/>
      <w:pPr>
        <w:tabs>
          <w:tab w:val="num" w:pos="6480"/>
        </w:tabs>
        <w:ind w:left="6480" w:hanging="360"/>
      </w:pPr>
      <w:rPr>
        <w:rFonts w:ascii="Symbol" w:hAnsi="Symbol" w:hint="default"/>
      </w:rPr>
    </w:lvl>
  </w:abstractNum>
  <w:abstractNum w:abstractNumId="2">
    <w:nsid w:val="65890D29"/>
    <w:multiLevelType w:val="hybridMultilevel"/>
    <w:tmpl w:val="42B6B266"/>
    <w:lvl w:ilvl="0" w:tplc="69681372">
      <w:start w:val="1"/>
      <w:numFmt w:val="bullet"/>
      <w:lvlText w:val=""/>
      <w:lvlPicBulletId w:val="0"/>
      <w:lvlJc w:val="left"/>
      <w:pPr>
        <w:tabs>
          <w:tab w:val="num" w:pos="720"/>
        </w:tabs>
        <w:ind w:left="720" w:hanging="360"/>
      </w:pPr>
      <w:rPr>
        <w:rFonts w:ascii="Symbol" w:hAnsi="Symbol" w:hint="default"/>
      </w:rPr>
    </w:lvl>
    <w:lvl w:ilvl="1" w:tplc="7F36E0A8" w:tentative="1">
      <w:start w:val="1"/>
      <w:numFmt w:val="bullet"/>
      <w:lvlText w:val=""/>
      <w:lvlJc w:val="left"/>
      <w:pPr>
        <w:tabs>
          <w:tab w:val="num" w:pos="1440"/>
        </w:tabs>
        <w:ind w:left="1440" w:hanging="360"/>
      </w:pPr>
      <w:rPr>
        <w:rFonts w:ascii="Symbol" w:hAnsi="Symbol" w:hint="default"/>
      </w:rPr>
    </w:lvl>
    <w:lvl w:ilvl="2" w:tplc="361A0D38" w:tentative="1">
      <w:start w:val="1"/>
      <w:numFmt w:val="bullet"/>
      <w:lvlText w:val=""/>
      <w:lvlJc w:val="left"/>
      <w:pPr>
        <w:tabs>
          <w:tab w:val="num" w:pos="2160"/>
        </w:tabs>
        <w:ind w:left="2160" w:hanging="360"/>
      </w:pPr>
      <w:rPr>
        <w:rFonts w:ascii="Symbol" w:hAnsi="Symbol" w:hint="default"/>
      </w:rPr>
    </w:lvl>
    <w:lvl w:ilvl="3" w:tplc="6562C0DA" w:tentative="1">
      <w:start w:val="1"/>
      <w:numFmt w:val="bullet"/>
      <w:lvlText w:val=""/>
      <w:lvlJc w:val="left"/>
      <w:pPr>
        <w:tabs>
          <w:tab w:val="num" w:pos="2880"/>
        </w:tabs>
        <w:ind w:left="2880" w:hanging="360"/>
      </w:pPr>
      <w:rPr>
        <w:rFonts w:ascii="Symbol" w:hAnsi="Symbol" w:hint="default"/>
      </w:rPr>
    </w:lvl>
    <w:lvl w:ilvl="4" w:tplc="F9DABFDA" w:tentative="1">
      <w:start w:val="1"/>
      <w:numFmt w:val="bullet"/>
      <w:lvlText w:val=""/>
      <w:lvlJc w:val="left"/>
      <w:pPr>
        <w:tabs>
          <w:tab w:val="num" w:pos="3600"/>
        </w:tabs>
        <w:ind w:left="3600" w:hanging="360"/>
      </w:pPr>
      <w:rPr>
        <w:rFonts w:ascii="Symbol" w:hAnsi="Symbol" w:hint="default"/>
      </w:rPr>
    </w:lvl>
    <w:lvl w:ilvl="5" w:tplc="A0D8F66C" w:tentative="1">
      <w:start w:val="1"/>
      <w:numFmt w:val="bullet"/>
      <w:lvlText w:val=""/>
      <w:lvlJc w:val="left"/>
      <w:pPr>
        <w:tabs>
          <w:tab w:val="num" w:pos="4320"/>
        </w:tabs>
        <w:ind w:left="4320" w:hanging="360"/>
      </w:pPr>
      <w:rPr>
        <w:rFonts w:ascii="Symbol" w:hAnsi="Symbol" w:hint="default"/>
      </w:rPr>
    </w:lvl>
    <w:lvl w:ilvl="6" w:tplc="48E4B492" w:tentative="1">
      <w:start w:val="1"/>
      <w:numFmt w:val="bullet"/>
      <w:lvlText w:val=""/>
      <w:lvlJc w:val="left"/>
      <w:pPr>
        <w:tabs>
          <w:tab w:val="num" w:pos="5040"/>
        </w:tabs>
        <w:ind w:left="5040" w:hanging="360"/>
      </w:pPr>
      <w:rPr>
        <w:rFonts w:ascii="Symbol" w:hAnsi="Symbol" w:hint="default"/>
      </w:rPr>
    </w:lvl>
    <w:lvl w:ilvl="7" w:tplc="DA601C58" w:tentative="1">
      <w:start w:val="1"/>
      <w:numFmt w:val="bullet"/>
      <w:lvlText w:val=""/>
      <w:lvlJc w:val="left"/>
      <w:pPr>
        <w:tabs>
          <w:tab w:val="num" w:pos="5760"/>
        </w:tabs>
        <w:ind w:left="5760" w:hanging="360"/>
      </w:pPr>
      <w:rPr>
        <w:rFonts w:ascii="Symbol" w:hAnsi="Symbol" w:hint="default"/>
      </w:rPr>
    </w:lvl>
    <w:lvl w:ilvl="8" w:tplc="BA4ED5C8" w:tentative="1">
      <w:start w:val="1"/>
      <w:numFmt w:val="bullet"/>
      <w:lvlText w:val=""/>
      <w:lvlJc w:val="left"/>
      <w:pPr>
        <w:tabs>
          <w:tab w:val="num" w:pos="6480"/>
        </w:tabs>
        <w:ind w:left="6480" w:hanging="360"/>
      </w:pPr>
      <w:rPr>
        <w:rFonts w:ascii="Symbol" w:hAnsi="Symbol" w:hint="default"/>
      </w:rPr>
    </w:lvl>
  </w:abstractNum>
  <w:abstractNum w:abstractNumId="3">
    <w:nsid w:val="7ED63B05"/>
    <w:multiLevelType w:val="hybridMultilevel"/>
    <w:tmpl w:val="ED44E518"/>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CD0"/>
    <w:rsid w:val="0002317B"/>
    <w:rsid w:val="00024524"/>
    <w:rsid w:val="000537A4"/>
    <w:rsid w:val="00063E4D"/>
    <w:rsid w:val="00080715"/>
    <w:rsid w:val="000860F4"/>
    <w:rsid w:val="00086F2C"/>
    <w:rsid w:val="00092DF5"/>
    <w:rsid w:val="000A141F"/>
    <w:rsid w:val="000E4FA1"/>
    <w:rsid w:val="000F07C3"/>
    <w:rsid w:val="001022A9"/>
    <w:rsid w:val="00131B95"/>
    <w:rsid w:val="001B5BEA"/>
    <w:rsid w:val="001C23CC"/>
    <w:rsid w:val="001D5496"/>
    <w:rsid w:val="001E449D"/>
    <w:rsid w:val="001E64E9"/>
    <w:rsid w:val="002042B7"/>
    <w:rsid w:val="00224BDA"/>
    <w:rsid w:val="002458B4"/>
    <w:rsid w:val="0029135D"/>
    <w:rsid w:val="002955BB"/>
    <w:rsid w:val="002A5BA6"/>
    <w:rsid w:val="002D7603"/>
    <w:rsid w:val="003273E5"/>
    <w:rsid w:val="0033358C"/>
    <w:rsid w:val="00352A21"/>
    <w:rsid w:val="0037533F"/>
    <w:rsid w:val="003C2D1C"/>
    <w:rsid w:val="003E6D71"/>
    <w:rsid w:val="00410901"/>
    <w:rsid w:val="004367B0"/>
    <w:rsid w:val="00443D9D"/>
    <w:rsid w:val="00445D32"/>
    <w:rsid w:val="004536CA"/>
    <w:rsid w:val="0046461D"/>
    <w:rsid w:val="00485A07"/>
    <w:rsid w:val="004A2D6D"/>
    <w:rsid w:val="005156EE"/>
    <w:rsid w:val="00581B8E"/>
    <w:rsid w:val="005B78E6"/>
    <w:rsid w:val="005C1024"/>
    <w:rsid w:val="005D507F"/>
    <w:rsid w:val="00620582"/>
    <w:rsid w:val="00643BEE"/>
    <w:rsid w:val="00663772"/>
    <w:rsid w:val="00687547"/>
    <w:rsid w:val="006A21EC"/>
    <w:rsid w:val="006A266B"/>
    <w:rsid w:val="006B6704"/>
    <w:rsid w:val="006C47BC"/>
    <w:rsid w:val="006D5B91"/>
    <w:rsid w:val="007247C5"/>
    <w:rsid w:val="00754D76"/>
    <w:rsid w:val="00755173"/>
    <w:rsid w:val="007751BC"/>
    <w:rsid w:val="007C0FD8"/>
    <w:rsid w:val="007C10DF"/>
    <w:rsid w:val="007E7383"/>
    <w:rsid w:val="007E73F9"/>
    <w:rsid w:val="00801297"/>
    <w:rsid w:val="0083273E"/>
    <w:rsid w:val="008349E2"/>
    <w:rsid w:val="00862D70"/>
    <w:rsid w:val="008873D6"/>
    <w:rsid w:val="008E200D"/>
    <w:rsid w:val="008E51FD"/>
    <w:rsid w:val="00903445"/>
    <w:rsid w:val="00965DE3"/>
    <w:rsid w:val="0097079E"/>
    <w:rsid w:val="0098321F"/>
    <w:rsid w:val="00996BA1"/>
    <w:rsid w:val="009A7C69"/>
    <w:rsid w:val="009B0725"/>
    <w:rsid w:val="009D7AAA"/>
    <w:rsid w:val="009F00E7"/>
    <w:rsid w:val="00A0639C"/>
    <w:rsid w:val="00A4082F"/>
    <w:rsid w:val="00A574F8"/>
    <w:rsid w:val="00B05AE0"/>
    <w:rsid w:val="00B240C9"/>
    <w:rsid w:val="00B36FA2"/>
    <w:rsid w:val="00B742D4"/>
    <w:rsid w:val="00B913DC"/>
    <w:rsid w:val="00B97B63"/>
    <w:rsid w:val="00BA5559"/>
    <w:rsid w:val="00BC3475"/>
    <w:rsid w:val="00BC56CA"/>
    <w:rsid w:val="00BD042B"/>
    <w:rsid w:val="00C84E14"/>
    <w:rsid w:val="00CB6531"/>
    <w:rsid w:val="00CC21CD"/>
    <w:rsid w:val="00CC6A9C"/>
    <w:rsid w:val="00CC6FE3"/>
    <w:rsid w:val="00CC7979"/>
    <w:rsid w:val="00D24E5F"/>
    <w:rsid w:val="00D333D1"/>
    <w:rsid w:val="00D3705D"/>
    <w:rsid w:val="00D45CD0"/>
    <w:rsid w:val="00D60616"/>
    <w:rsid w:val="00D62B1F"/>
    <w:rsid w:val="00DA39F1"/>
    <w:rsid w:val="00DB2EDE"/>
    <w:rsid w:val="00DB7E12"/>
    <w:rsid w:val="00DC08B1"/>
    <w:rsid w:val="00DD2DD1"/>
    <w:rsid w:val="00DD4FCD"/>
    <w:rsid w:val="00DF08AD"/>
    <w:rsid w:val="00DF6EA3"/>
    <w:rsid w:val="00E45513"/>
    <w:rsid w:val="00EA4F05"/>
    <w:rsid w:val="00EB6E11"/>
    <w:rsid w:val="00EC2F70"/>
    <w:rsid w:val="00EC57FB"/>
    <w:rsid w:val="00EC593C"/>
    <w:rsid w:val="00EE64E0"/>
    <w:rsid w:val="00EF4D77"/>
    <w:rsid w:val="00F57384"/>
    <w:rsid w:val="00FA654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basedOn w:val="Standardstycketeckensnitt"/>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uiPriority w:val="20"/>
    <w:qFormat/>
    <w:rsid w:val="006A266B"/>
    <w:rPr>
      <w:i/>
      <w:iCs/>
    </w:rPr>
  </w:style>
  <w:style w:type="paragraph" w:customStyle="1" w:styleId="PIFlietext">
    <w:name w:val="PI Fließtext"/>
    <w:basedOn w:val="Normal"/>
    <w:rsid w:val="002458B4"/>
    <w:pPr>
      <w:spacing w:after="240" w:line="312" w:lineRule="auto"/>
      <w:ind w:right="3493"/>
    </w:pPr>
    <w:rPr>
      <w:rFonts w:ascii="Arial" w:hAnsi="Arial" w:cs="Arial"/>
      <w:sz w:val="22"/>
      <w:lang w:val="de-DE"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basedOn w:val="Standardstycketeckensnitt"/>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uiPriority w:val="20"/>
    <w:qFormat/>
    <w:rsid w:val="006A266B"/>
    <w:rPr>
      <w:i/>
      <w:iCs/>
    </w:rPr>
  </w:style>
  <w:style w:type="paragraph" w:customStyle="1" w:styleId="PIFlietext">
    <w:name w:val="PI Fließtext"/>
    <w:basedOn w:val="Normal"/>
    <w:rsid w:val="002458B4"/>
    <w:pPr>
      <w:spacing w:after="240" w:line="312" w:lineRule="auto"/>
      <w:ind w:right="3493"/>
    </w:pPr>
    <w:rPr>
      <w:rFonts w:ascii="Arial" w:hAnsi="Arial" w:cs="Arial"/>
      <w:sz w:val="22"/>
      <w:lang w:val="de-D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6.wmf"/><Relationship Id="rId2" Type="http://schemas.openxmlformats.org/officeDocument/2006/relationships/image" Target="media/image5.jpe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80.jpeg"/><Relationship Id="rId3" Type="http://schemas.openxmlformats.org/officeDocument/2006/relationships/image" Target="media/image9.jpeg"/><Relationship Id="rId7" Type="http://schemas.openxmlformats.org/officeDocument/2006/relationships/image" Target="media/image70.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60.jpeg"/><Relationship Id="rId11" Type="http://schemas.openxmlformats.org/officeDocument/2006/relationships/image" Target="media/image4.jpeg"/><Relationship Id="rId5" Type="http://schemas.openxmlformats.org/officeDocument/2006/relationships/image" Target="media/image10.jpeg"/><Relationship Id="rId10" Type="http://schemas.openxmlformats.org/officeDocument/2006/relationships/image" Target="media/image90.jpeg"/><Relationship Id="rId4" Type="http://schemas.openxmlformats.org/officeDocument/2006/relationships/hyperlink" Target="mailto:info@rittal.se" TargetMode="External"/><Relationship Id="rId9" Type="http://schemas.openxmlformats.org/officeDocument/2006/relationships/hyperlink" Target="mailto:info@rittal.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25E89-1B0F-4796-B7E4-12DCCFA20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542</Words>
  <Characters>2875</Characters>
  <Application>Microsoft Office Word</Application>
  <DocSecurity>0</DocSecurity>
  <Lines>23</Lines>
  <Paragraphs>6</Paragraphs>
  <ScaleCrop>false</ScaleCrop>
  <HeadingPairs>
    <vt:vector size="2" baseType="variant">
      <vt:variant>
        <vt:lpstr>Rubrik</vt:lpstr>
      </vt:variant>
      <vt:variant>
        <vt:i4>1</vt:i4>
      </vt:variant>
    </vt:vector>
  </HeadingPairs>
  <TitlesOfParts>
    <vt:vector size="1" baseType="lpstr">
      <vt:lpstr/>
    </vt:vector>
  </TitlesOfParts>
  <Company>Rittal</Company>
  <LinksUpToDate>false</LinksUpToDate>
  <CharactersWithSpaces>3411</CharactersWithSpaces>
  <SharedDoc>false</SharedDoc>
  <HLinks>
    <vt:vector size="6" baseType="variant">
      <vt:variant>
        <vt:i4>3080194</vt:i4>
      </vt:variant>
      <vt:variant>
        <vt:i4>0</vt:i4>
      </vt:variant>
      <vt:variant>
        <vt:i4>0</vt:i4>
      </vt:variant>
      <vt:variant>
        <vt:i4>5</vt:i4>
      </vt:variant>
      <vt:variant>
        <vt:lpwstr>mailto:info@rittal.se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Hansson</dc:creator>
  <cp:lastModifiedBy>Anna Hansson</cp:lastModifiedBy>
  <cp:revision>2</cp:revision>
  <cp:lastPrinted>2012-11-12T07:47:00Z</cp:lastPrinted>
  <dcterms:created xsi:type="dcterms:W3CDTF">2012-12-04T10:30:00Z</dcterms:created>
  <dcterms:modified xsi:type="dcterms:W3CDTF">2012-12-04T10:30:00Z</dcterms:modified>
</cp:coreProperties>
</file>