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BA" w:rsidRDefault="00225E20" w:rsidP="00225E20">
      <w:pPr>
        <w:jc w:val="right"/>
        <w:rPr>
          <w:lang w:val="sv-SE"/>
        </w:rPr>
      </w:pPr>
      <w:r>
        <w:rPr>
          <w:lang w:val="sv-SE"/>
        </w:rPr>
        <w:t>Juni 2016</w:t>
      </w:r>
    </w:p>
    <w:p w:rsidR="00225E20" w:rsidRPr="00AE7196" w:rsidRDefault="00225E20" w:rsidP="00225E20">
      <w:pPr>
        <w:rPr>
          <w:rFonts w:ascii="Arial" w:hAnsi="Arial" w:cs="Arial"/>
          <w:color w:val="7F7F7F"/>
          <w:sz w:val="24"/>
          <w:szCs w:val="24"/>
          <w:lang w:val="sv-SE"/>
        </w:rPr>
      </w:pPr>
      <w:r w:rsidRPr="00AE7196">
        <w:rPr>
          <w:rFonts w:ascii="Arial" w:hAnsi="Arial" w:cs="Arial"/>
          <w:color w:val="0079C1"/>
          <w:sz w:val="32"/>
          <w:szCs w:val="32"/>
          <w:lang w:val="sv-SE"/>
        </w:rPr>
        <w:t xml:space="preserve">Ny </w:t>
      </w:r>
      <w:r>
        <w:rPr>
          <w:rFonts w:ascii="Arial" w:hAnsi="Arial" w:cs="Arial"/>
          <w:color w:val="0079C1"/>
          <w:sz w:val="32"/>
          <w:szCs w:val="32"/>
          <w:lang w:val="sv-SE"/>
        </w:rPr>
        <w:t xml:space="preserve">produksjonsmetode </w:t>
      </w:r>
      <w:r w:rsidRPr="00AE7196">
        <w:rPr>
          <w:rFonts w:ascii="Arial" w:hAnsi="Arial" w:cs="Arial"/>
          <w:color w:val="0079C1"/>
          <w:sz w:val="32"/>
          <w:szCs w:val="32"/>
          <w:lang w:val="sv-SE"/>
        </w:rPr>
        <w:t>av diamantsegment</w:t>
      </w:r>
      <w:r>
        <w:rPr>
          <w:rFonts w:ascii="Arial" w:hAnsi="Arial" w:cs="Arial"/>
          <w:color w:val="0079C1"/>
          <w:sz w:val="32"/>
          <w:szCs w:val="32"/>
          <w:lang w:val="sv-SE"/>
        </w:rPr>
        <w:t>er</w:t>
      </w:r>
      <w:r w:rsidRPr="00AE7196">
        <w:rPr>
          <w:rFonts w:ascii="Arial" w:hAnsi="Arial" w:cs="Arial"/>
          <w:color w:val="0079C1"/>
          <w:sz w:val="32"/>
          <w:szCs w:val="32"/>
          <w:lang w:val="sv-SE"/>
        </w:rPr>
        <w:t xml:space="preserve"> g</w:t>
      </w:r>
      <w:r>
        <w:rPr>
          <w:rFonts w:ascii="Arial" w:hAnsi="Arial" w:cs="Arial"/>
          <w:color w:val="0079C1"/>
          <w:sz w:val="32"/>
          <w:szCs w:val="32"/>
          <w:lang w:val="sv-SE"/>
        </w:rPr>
        <w:t>i</w:t>
      </w:r>
      <w:r w:rsidRPr="00AE7196">
        <w:rPr>
          <w:rFonts w:ascii="Arial" w:hAnsi="Arial" w:cs="Arial"/>
          <w:color w:val="0079C1"/>
          <w:sz w:val="32"/>
          <w:szCs w:val="32"/>
          <w:lang w:val="sv-SE"/>
        </w:rPr>
        <w:t xml:space="preserve">r </w:t>
      </w:r>
      <w:r>
        <w:rPr>
          <w:rFonts w:ascii="Arial" w:hAnsi="Arial" w:cs="Arial"/>
          <w:color w:val="0079C1"/>
          <w:sz w:val="32"/>
          <w:szCs w:val="32"/>
          <w:lang w:val="sv-SE"/>
        </w:rPr>
        <w:t>lengre</w:t>
      </w:r>
      <w:r w:rsidRPr="00AE7196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  <w:r>
        <w:rPr>
          <w:rFonts w:ascii="Arial" w:hAnsi="Arial" w:cs="Arial"/>
          <w:color w:val="0079C1"/>
          <w:sz w:val="32"/>
          <w:szCs w:val="32"/>
          <w:lang w:val="sv-SE"/>
        </w:rPr>
        <w:t>levetid</w:t>
      </w:r>
      <w:r>
        <w:rPr>
          <w:rFonts w:ascii="Arial" w:hAnsi="Arial" w:cs="Arial"/>
          <w:color w:val="0079C1"/>
          <w:sz w:val="32"/>
          <w:szCs w:val="32"/>
          <w:lang w:val="sv-SE"/>
        </w:rPr>
        <w:t xml:space="preserve"> o</w:t>
      </w:r>
      <w:r>
        <w:rPr>
          <w:rFonts w:ascii="Arial" w:hAnsi="Arial" w:cs="Arial"/>
          <w:color w:val="0079C1"/>
          <w:sz w:val="32"/>
          <w:szCs w:val="32"/>
          <w:lang w:val="sv-SE"/>
        </w:rPr>
        <w:t>g</w:t>
      </w:r>
      <w:r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  <w:r>
        <w:rPr>
          <w:rFonts w:ascii="Arial" w:hAnsi="Arial" w:cs="Arial"/>
          <w:color w:val="0079C1"/>
          <w:sz w:val="32"/>
          <w:szCs w:val="32"/>
          <w:lang w:val="sv-SE"/>
        </w:rPr>
        <w:t>hurtigere</w:t>
      </w:r>
      <w:r>
        <w:rPr>
          <w:rFonts w:ascii="Arial" w:hAnsi="Arial" w:cs="Arial"/>
          <w:color w:val="0079C1"/>
          <w:sz w:val="32"/>
          <w:szCs w:val="32"/>
          <w:lang w:val="sv-SE"/>
        </w:rPr>
        <w:t xml:space="preserve"> kap</w:t>
      </w:r>
      <w:r>
        <w:rPr>
          <w:rFonts w:ascii="Arial" w:hAnsi="Arial" w:cs="Arial"/>
          <w:color w:val="0079C1"/>
          <w:sz w:val="32"/>
          <w:szCs w:val="32"/>
          <w:lang w:val="sv-SE"/>
        </w:rPr>
        <w:t>p</w:t>
      </w:r>
      <w:r>
        <w:rPr>
          <w:rFonts w:ascii="Arial" w:hAnsi="Arial" w:cs="Arial"/>
          <w:color w:val="0079C1"/>
          <w:sz w:val="32"/>
          <w:szCs w:val="32"/>
          <w:lang w:val="sv-SE"/>
        </w:rPr>
        <w:t>ing</w:t>
      </w:r>
      <w:r w:rsidRPr="00AE7196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</w:p>
    <w:p w:rsidR="00225E20" w:rsidRDefault="00225E20" w:rsidP="00225E20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6225A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Norton har introdu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 w:rsidRPr="006225A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ert en ny teknologi som revolu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Pr="006225A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6225A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produksjonen</w:t>
      </w:r>
      <w:r w:rsidRPr="006225A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 diamantsegment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er</w:t>
      </w:r>
      <w:r w:rsidRPr="006225A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Den ny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produksjons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metoden, som har bete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gnelsen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iHD, har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ordele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som bl.a. 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ngre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levetid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,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hurtigere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kap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ing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rre 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ulighet til å produsere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segment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lik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former.</w:t>
      </w:r>
    </w:p>
    <w:p w:rsidR="00225E20" w:rsidRDefault="00225E20" w:rsidP="00225E20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225E20" w:rsidRDefault="00225E20" w:rsidP="00225E20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Den ny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produksjonsprosessen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Infiltrated High Density (iHD) 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en 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eg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 homogen densitet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 hel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segmentet ut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 at man beh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ver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å bruke 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try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 (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noe som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konven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onell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segment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er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). Norton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kan ta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æ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 dett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produsere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eg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 robust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segment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som slit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 j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evn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beh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older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formen samt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hurtigere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bearbe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iding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 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omdreining</w:t>
      </w:r>
      <w:r w:rsidRPr="009A6F3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225E20" w:rsidRDefault="00225E20" w:rsidP="00225E20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225E20" w:rsidRDefault="00225E20" w:rsidP="00225E20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Diamantkorne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blir med iHD en integrer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av segmentstrukturen. Under den patenter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produksjonsprosessen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impregner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 segmentstrukturen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med et bindem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del som 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older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fast diamantkorne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 segmentet. Dett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en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optimal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bruk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diamanten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verkt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øyet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lengre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levetid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225E20" w:rsidRDefault="00225E20" w:rsidP="00225E20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225E20" w:rsidRDefault="00225E20" w:rsidP="00225E20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Nortons optimer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te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produksjonsproses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så st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rre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ulighet til å produsere u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lik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former på segmenten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lik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bruk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sområde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noe som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rb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edrer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ytelsen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802D9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ytte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rlig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lik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applika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oner. Produkter med iHD-segment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pp til 20 %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lengre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levetid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 kap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ing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pp til 40 %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 slip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ing. Ve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 kap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ing av betong kan 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gingen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jøres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pp til 20 %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raskere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 granit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30 %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raskere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 De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så 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øyere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kerhet 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fastholdingen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av segmentene økes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med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pp til 60 %.</w:t>
      </w:r>
    </w:p>
    <w:p w:rsidR="00225E20" w:rsidRDefault="00225E20" w:rsidP="00225E20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225E20" w:rsidRPr="00DA58B2" w:rsidRDefault="00225E20" w:rsidP="00225E20">
      <w:pPr>
        <w:spacing w:after="0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”Nortons Infiltrated High Density te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knologi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(iHD) i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ombina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 med teknik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en 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å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lasersve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ise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diamantsegmenten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de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største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gjennombruddet i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dett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århundre. Ta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æ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 fler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års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forskning o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utv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kling g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denn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revolu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oner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nde pro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ess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uo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vertr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uffen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ytelse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, h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øyere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ik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kerhet, l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avere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energif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rbruk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st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rre m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ulighet til å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v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elge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Pr="00DA58B2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segmentform.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” s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Audun Hjelseth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, 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salgsansvarlig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hos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Saint-Gobain Abrasives A</w:t>
      </w:r>
      <w:r w:rsidR="006A667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  <w:r w:rsidRPr="006225A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</w:p>
    <w:p w:rsidR="00A81ABA" w:rsidRPr="00225E20" w:rsidRDefault="00A81ABA" w:rsidP="00A81ABA">
      <w:pPr>
        <w:rPr>
          <w:lang w:val="sv-SE"/>
        </w:rPr>
      </w:pPr>
      <w:bookmarkStart w:id="0" w:name="_GoBack"/>
      <w:bookmarkEnd w:id="0"/>
    </w:p>
    <w:p w:rsidR="00A81ABA" w:rsidRPr="00225E20" w:rsidRDefault="00A81ABA" w:rsidP="00A81ABA">
      <w:pPr>
        <w:rPr>
          <w:lang w:val="sv-SE"/>
        </w:rPr>
      </w:pPr>
    </w:p>
    <w:p w:rsidR="00A81ABA" w:rsidRPr="00225E20" w:rsidRDefault="00A81ABA" w:rsidP="00A81ABA">
      <w:pPr>
        <w:rPr>
          <w:lang w:val="sv-SE"/>
        </w:rPr>
      </w:pPr>
    </w:p>
    <w:p w:rsidR="00A81ABA" w:rsidRPr="00225E20" w:rsidRDefault="00A81ABA" w:rsidP="00A81ABA">
      <w:pPr>
        <w:rPr>
          <w:lang w:val="sv-SE"/>
        </w:rPr>
      </w:pPr>
    </w:p>
    <w:p w:rsidR="008D46D9" w:rsidRPr="00225E20" w:rsidRDefault="00A81ABA" w:rsidP="00A81ABA">
      <w:pPr>
        <w:tabs>
          <w:tab w:val="left" w:pos="3134"/>
        </w:tabs>
        <w:rPr>
          <w:lang w:val="sv-SE"/>
        </w:rPr>
      </w:pPr>
      <w:r w:rsidRPr="00225E20">
        <w:rPr>
          <w:lang w:val="sv-SE"/>
        </w:rPr>
        <w:tab/>
      </w:r>
    </w:p>
    <w:sectPr w:rsidR="008D46D9" w:rsidRPr="00225E20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30" w:rsidRDefault="00515C30" w:rsidP="000B27D9">
      <w:pPr>
        <w:spacing w:after="0" w:line="240" w:lineRule="auto"/>
      </w:pPr>
      <w:r>
        <w:separator/>
      </w:r>
    </w:p>
  </w:endnote>
  <w:end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747E6" wp14:editId="3F5E4442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7D9" w:rsidRPr="008D46D9" w:rsidRDefault="00A81ABA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Saint-Gobain Abrasives AS, </w:t>
                          </w:r>
                          <w:r w:rsidR="000B27D9"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 84</w:t>
                          </w:r>
                          <w:r w:rsidR="00DC71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0582 Oslo, P.b. 11, Alna, 0614 Oslo</w:t>
                          </w:r>
                        </w:p>
                        <w:p w:rsidR="000B27D9" w:rsidRPr="008D46D9" w:rsidRDefault="000B27D9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="00A81ABA"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0B27D9" w:rsidRPr="008D46D9" w:rsidRDefault="00A81ABA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Saint-Gobain Abrasives AS, </w:t>
                    </w:r>
                    <w:r w:rsidR="000B27D9"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Brobekkveien 84</w:t>
                    </w:r>
                    <w:r w:rsidR="00DC71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0582 Oslo, P.b. 11, Alna, 0614 Oslo</w:t>
                    </w:r>
                  </w:p>
                  <w:p w:rsidR="000B27D9" w:rsidRPr="008D46D9" w:rsidRDefault="000B27D9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="00A81ABA"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30" w:rsidRDefault="00515C30" w:rsidP="000B27D9">
      <w:pPr>
        <w:spacing w:after="0" w:line="240" w:lineRule="auto"/>
      </w:pPr>
      <w:r>
        <w:separator/>
      </w:r>
    </w:p>
  </w:footnote>
  <w:foot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Topptekst"/>
    </w:pPr>
  </w:p>
  <w:p w:rsidR="000B27D9" w:rsidRDefault="000B27D9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w:drawing>
        <wp:anchor distT="0" distB="0" distL="114300" distR="114300" simplePos="0" relativeHeight="251659264" behindDoc="1" locked="1" layoutInCell="1" allowOverlap="1" wp14:anchorId="22C500AC" wp14:editId="7AB79CCC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225E20"/>
    <w:rsid w:val="003F3723"/>
    <w:rsid w:val="00515C30"/>
    <w:rsid w:val="00683DBE"/>
    <w:rsid w:val="006A667A"/>
    <w:rsid w:val="0073766D"/>
    <w:rsid w:val="008D46D9"/>
    <w:rsid w:val="00A81ABA"/>
    <w:rsid w:val="00C925AF"/>
    <w:rsid w:val="00DC7148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2F1B-6308-4F78-A019-8A034999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2</cp:revision>
  <dcterms:created xsi:type="dcterms:W3CDTF">2016-06-02T07:12:00Z</dcterms:created>
  <dcterms:modified xsi:type="dcterms:W3CDTF">2016-06-02T07:12:00Z</dcterms:modified>
</cp:coreProperties>
</file>