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C2" w:rsidRPr="00777D77" w:rsidRDefault="004B03C2" w:rsidP="004B03C2">
      <w:pPr>
        <w:widowControl/>
        <w:rPr>
          <w:rFonts w:asciiTheme="minorHAnsi" w:hAnsiTheme="minorHAnsi" w:cs="MetaBold-Roman"/>
          <w:b/>
          <w:bCs/>
          <w:sz w:val="36"/>
          <w:szCs w:val="36"/>
        </w:rPr>
      </w:pPr>
      <w:r w:rsidRPr="00777D77">
        <w:rPr>
          <w:rFonts w:asciiTheme="minorHAnsi" w:hAnsiTheme="minorHAnsi" w:cs="MetaBold-Roman"/>
          <w:b/>
          <w:bCs/>
          <w:sz w:val="36"/>
          <w:szCs w:val="36"/>
        </w:rPr>
        <w:t xml:space="preserve">Bianco </w:t>
      </w:r>
      <w:proofErr w:type="spellStart"/>
      <w:r w:rsidRPr="00777D77">
        <w:rPr>
          <w:rFonts w:asciiTheme="minorHAnsi" w:hAnsiTheme="minorHAnsi" w:cs="MetaBold-Roman"/>
          <w:b/>
          <w:bCs/>
          <w:sz w:val="36"/>
          <w:szCs w:val="36"/>
        </w:rPr>
        <w:t>Selection</w:t>
      </w:r>
      <w:proofErr w:type="spellEnd"/>
      <w:r w:rsidRPr="00777D77">
        <w:rPr>
          <w:rFonts w:asciiTheme="minorHAnsi" w:hAnsiTheme="minorHAnsi" w:cs="MetaBold-Roman"/>
          <w:b/>
          <w:bCs/>
          <w:sz w:val="36"/>
          <w:szCs w:val="36"/>
        </w:rPr>
        <w:t xml:space="preserve"> und Bianco </w:t>
      </w:r>
      <w:proofErr w:type="spellStart"/>
      <w:r w:rsidRPr="00777D77">
        <w:rPr>
          <w:rFonts w:asciiTheme="minorHAnsi" w:hAnsiTheme="minorHAnsi" w:cs="MetaBold-Roman"/>
          <w:b/>
          <w:bCs/>
          <w:sz w:val="36"/>
          <w:szCs w:val="36"/>
        </w:rPr>
        <w:t>Activ</w:t>
      </w:r>
      <w:proofErr w:type="spellEnd"/>
      <w:r w:rsidRPr="00777D77">
        <w:rPr>
          <w:rFonts w:asciiTheme="minorHAnsi" w:hAnsiTheme="minorHAnsi" w:cs="MetaBold-Roman"/>
          <w:b/>
          <w:bCs/>
          <w:sz w:val="36"/>
          <w:szCs w:val="36"/>
        </w:rPr>
        <w:t xml:space="preserve"> – eine Baureihe – zwei Linien!</w:t>
      </w:r>
    </w:p>
    <w:p w:rsidR="004B03C2" w:rsidRDefault="004B03C2" w:rsidP="004B03C2">
      <w:pPr>
        <w:widowControl/>
        <w:rPr>
          <w:rFonts w:asciiTheme="minorHAnsi" w:hAnsiTheme="minorHAnsi" w:cs="MetaBold-Roman"/>
          <w:b/>
          <w:bCs/>
          <w:sz w:val="28"/>
          <w:szCs w:val="28"/>
        </w:rPr>
      </w:pPr>
    </w:p>
    <w:p w:rsidR="004B03C2" w:rsidRPr="00777D77" w:rsidRDefault="004B03C2" w:rsidP="004B03C2">
      <w:pPr>
        <w:widowControl/>
        <w:rPr>
          <w:rFonts w:asciiTheme="minorHAnsi" w:hAnsiTheme="minorHAnsi" w:cs="MetaBold-Roman"/>
          <w:b/>
          <w:bCs/>
          <w:sz w:val="28"/>
          <w:szCs w:val="28"/>
        </w:rPr>
      </w:pPr>
      <w:r w:rsidRPr="00777D77">
        <w:rPr>
          <w:rFonts w:asciiTheme="minorHAnsi" w:hAnsiTheme="minorHAnsi" w:cs="MetaBold-Roman"/>
          <w:b/>
          <w:bCs/>
          <w:sz w:val="28"/>
          <w:szCs w:val="28"/>
        </w:rPr>
        <w:t>Hier finden Aktive und Familien ihren komfortablen Reisebegleiter.</w:t>
      </w:r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Der Bianco ist ein </w:t>
      </w:r>
      <w:r>
        <w:rPr>
          <w:rFonts w:asciiTheme="minorHAnsi" w:hAnsiTheme="minorHAnsi" w:cs="MetaNormal-Roman"/>
          <w:sz w:val="22"/>
          <w:szCs w:val="22"/>
        </w:rPr>
        <w:t>Wohnwagen</w:t>
      </w:r>
      <w:r w:rsidRPr="00FE053D">
        <w:rPr>
          <w:rFonts w:asciiTheme="minorHAnsi" w:hAnsiTheme="minorHAnsi" w:cs="MetaNormal-Roman"/>
          <w:sz w:val="22"/>
          <w:szCs w:val="22"/>
        </w:rPr>
        <w:t xml:space="preserve"> für alle. Eine große Auswahl an innovativen Grundrissen in den beiden unterschiedlichen</w:t>
      </w:r>
      <w:r>
        <w:rPr>
          <w:rFonts w:asciiTheme="minorHAnsi" w:hAnsiTheme="minorHAnsi" w:cs="MetaNormal-Roman"/>
          <w:sz w:val="22"/>
          <w:szCs w:val="22"/>
        </w:rPr>
        <w:t xml:space="preserve"> </w:t>
      </w:r>
      <w:r w:rsidRPr="00FE053D">
        <w:rPr>
          <w:rFonts w:asciiTheme="minorHAnsi" w:hAnsiTheme="minorHAnsi" w:cs="MetaNormal-Roman"/>
          <w:sz w:val="22"/>
          <w:szCs w:val="22"/>
        </w:rPr>
        <w:t xml:space="preserve">Ausstattungslinien bietet dem ambitionierten Caravaner vielfältige Möglichkeiten seinen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Caravantraum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zu verwirklichen.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Vom Alleinreisenden bis zur Großfamilie –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oder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.</w:t>
      </w:r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Im Außenbereich folgen die Fendt-Caravans einem gemeinsamen Erscheinungsbild.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Im Innenbereich gibt es aber immer entscheidende baureihentypische Unterschiede.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Untenstehend eine Auflistung einiger Bianco-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-Besonderheiten:</w:t>
      </w:r>
    </w:p>
    <w:p w:rsidR="004B03C2" w:rsidRDefault="004B03C2" w:rsidP="004B03C2">
      <w:pPr>
        <w:widowControl/>
        <w:rPr>
          <w:rFonts w:asciiTheme="minorHAnsi" w:hAnsiTheme="minorHAnsi" w:cs="MetaBold-Roman"/>
          <w:b/>
          <w:bCs/>
          <w:sz w:val="22"/>
          <w:szCs w:val="22"/>
        </w:rPr>
      </w:pPr>
    </w:p>
    <w:p w:rsidR="004B03C2" w:rsidRPr="00777D77" w:rsidRDefault="004B03C2" w:rsidP="004B03C2">
      <w:pPr>
        <w:widowControl/>
        <w:rPr>
          <w:rFonts w:asciiTheme="minorHAnsi" w:hAnsiTheme="minorHAnsi" w:cs="MetaBold-Roman"/>
          <w:b/>
          <w:bCs/>
          <w:sz w:val="36"/>
          <w:szCs w:val="36"/>
        </w:rPr>
      </w:pPr>
      <w:r w:rsidRPr="00777D77">
        <w:rPr>
          <w:rFonts w:asciiTheme="minorHAnsi" w:hAnsiTheme="minorHAnsi" w:cs="MetaBold-Roman"/>
          <w:b/>
          <w:bCs/>
          <w:sz w:val="36"/>
          <w:szCs w:val="36"/>
        </w:rPr>
        <w:t xml:space="preserve">Bianco </w:t>
      </w:r>
      <w:proofErr w:type="spellStart"/>
      <w:r w:rsidRPr="00777D77">
        <w:rPr>
          <w:rFonts w:asciiTheme="minorHAnsi" w:hAnsiTheme="minorHAnsi" w:cs="MetaBold-Roman"/>
          <w:b/>
          <w:bCs/>
          <w:sz w:val="36"/>
          <w:szCs w:val="36"/>
        </w:rPr>
        <w:t>Selection</w:t>
      </w:r>
      <w:proofErr w:type="spellEnd"/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- Der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ist die Baureihe für den Vielreisenden, der den gewohnten Fendt-Komfort nicht missen möchte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- Er bietet die meisten Varianten an Reisecaravans mit kompakter Länge und ist auch mit Kinderzimmergrundrisse</w:t>
      </w:r>
      <w:r>
        <w:rPr>
          <w:rFonts w:asciiTheme="minorHAnsi" w:hAnsiTheme="minorHAnsi" w:cs="MetaNormal-Roman"/>
          <w:sz w:val="22"/>
          <w:szCs w:val="22"/>
        </w:rPr>
        <w:t xml:space="preserve">n </w:t>
      </w:r>
      <w:r w:rsidRPr="00FE053D">
        <w:rPr>
          <w:rFonts w:asciiTheme="minorHAnsi" w:hAnsiTheme="minorHAnsi" w:cs="MetaNormal-Roman"/>
          <w:sz w:val="22"/>
          <w:szCs w:val="22"/>
        </w:rPr>
        <w:t>erhältlich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- Der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bietet eine Vielzahl an Küchenanordnungen und Badlösungen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- Der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ist im Möbeldekor Nabucco-Cherry und in zwei Stoffvarianten erhältlich: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Burano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und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Torcello</w:t>
      </w:r>
      <w:proofErr w:type="spellEnd"/>
    </w:p>
    <w:p w:rsidR="004B03C2" w:rsidRDefault="004B03C2" w:rsidP="004B03C2">
      <w:pPr>
        <w:widowControl/>
        <w:rPr>
          <w:rFonts w:asciiTheme="minorHAnsi" w:hAnsiTheme="minorHAnsi" w:cs="MetaBold-Roman"/>
          <w:b/>
          <w:bCs/>
          <w:sz w:val="22"/>
          <w:szCs w:val="22"/>
        </w:rPr>
      </w:pPr>
    </w:p>
    <w:p w:rsidR="004B03C2" w:rsidRPr="00777D77" w:rsidRDefault="004B03C2" w:rsidP="004B03C2">
      <w:pPr>
        <w:widowControl/>
        <w:rPr>
          <w:rFonts w:asciiTheme="minorHAnsi" w:hAnsiTheme="minorHAnsi" w:cs="MetaBold-Roman"/>
          <w:b/>
          <w:bCs/>
          <w:sz w:val="36"/>
          <w:szCs w:val="36"/>
        </w:rPr>
      </w:pPr>
      <w:r w:rsidRPr="00777D77">
        <w:rPr>
          <w:rFonts w:asciiTheme="minorHAnsi" w:hAnsiTheme="minorHAnsi" w:cs="MetaBold-Roman"/>
          <w:b/>
          <w:bCs/>
          <w:sz w:val="36"/>
          <w:szCs w:val="36"/>
        </w:rPr>
        <w:t xml:space="preserve">Bianco </w:t>
      </w:r>
      <w:proofErr w:type="spellStart"/>
      <w:r w:rsidRPr="00777D77">
        <w:rPr>
          <w:rFonts w:asciiTheme="minorHAnsi" w:hAnsiTheme="minorHAnsi" w:cs="MetaBold-Roman"/>
          <w:b/>
          <w:bCs/>
          <w:sz w:val="36"/>
          <w:szCs w:val="36"/>
        </w:rPr>
        <w:t>Activ</w:t>
      </w:r>
      <w:proofErr w:type="spellEnd"/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Innerhalb der Baureihe Bianco gibt es zwei verschiedene Ausstattungsvarianten und unterschiedliche Grundrisse.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Die Besonderheiten des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sehen Sie hier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zusammengefasst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: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- Der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überrascht mit außergewöhnlichen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Grundriss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-Lösungen für ambitionierte Vielreisende.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>
        <w:rPr>
          <w:rFonts w:asciiTheme="minorHAnsi" w:hAnsiTheme="minorHAnsi" w:cs="MetaNormal-Roman"/>
          <w:sz w:val="22"/>
          <w:szCs w:val="22"/>
        </w:rPr>
        <w:t xml:space="preserve">   </w:t>
      </w:r>
      <w:r w:rsidRPr="00FE053D">
        <w:rPr>
          <w:rFonts w:asciiTheme="minorHAnsi" w:hAnsiTheme="minorHAnsi" w:cs="MetaNormal-Roman"/>
          <w:sz w:val="22"/>
          <w:szCs w:val="22"/>
        </w:rPr>
        <w:t>Die Baureihe ist Trendsetter in Punkto Wohnkomfort bei Reisecaravans und verfügt über etliche Extras,</w:t>
      </w:r>
      <w:r>
        <w:rPr>
          <w:rFonts w:asciiTheme="minorHAnsi" w:hAnsiTheme="minorHAnsi" w:cs="MetaNormal-Roman"/>
          <w:sz w:val="22"/>
          <w:szCs w:val="22"/>
        </w:rPr>
        <w:t xml:space="preserve"> </w:t>
      </w:r>
      <w:r w:rsidRPr="00FE053D">
        <w:rPr>
          <w:rFonts w:asciiTheme="minorHAnsi" w:hAnsiTheme="minorHAnsi" w:cs="MetaNormal-Roman"/>
          <w:sz w:val="22"/>
          <w:szCs w:val="22"/>
        </w:rPr>
        <w:t>wie beidseitige Außenstauklappen mit variabler Querlademöglichkeit (modellabhängig)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>
        <w:rPr>
          <w:rFonts w:asciiTheme="minorHAnsi" w:hAnsiTheme="minorHAnsi" w:cs="MetaNormal-Roman"/>
          <w:sz w:val="22"/>
          <w:szCs w:val="22"/>
        </w:rPr>
        <w:t xml:space="preserve">- Neu ist auch die </w:t>
      </w:r>
      <w:proofErr w:type="spellStart"/>
      <w:r>
        <w:rPr>
          <w:rFonts w:asciiTheme="minorHAnsi" w:hAnsiTheme="minorHAnsi" w:cs="MetaNormal-Roman"/>
          <w:sz w:val="22"/>
          <w:szCs w:val="22"/>
        </w:rPr>
        <w:t>iNet</w:t>
      </w:r>
      <w:proofErr w:type="spellEnd"/>
      <w:r>
        <w:rPr>
          <w:rFonts w:asciiTheme="minorHAnsi" w:hAnsiTheme="minorHAnsi" w:cs="MetaNormal-Roman"/>
          <w:sz w:val="22"/>
          <w:szCs w:val="22"/>
        </w:rPr>
        <w:t xml:space="preserve"> Box für die Steuerung der Heizung über Smartphone App (</w:t>
      </w:r>
      <w:proofErr w:type="spellStart"/>
      <w:r>
        <w:rPr>
          <w:rFonts w:asciiTheme="minorHAnsi" w:hAnsiTheme="minorHAnsi" w:cs="MetaNormal-Roman"/>
          <w:sz w:val="22"/>
          <w:szCs w:val="22"/>
        </w:rPr>
        <w:t>Truma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)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- Er bietet Grundrisse, die für den aktiven Einsatz besonders geeignet sind und ha</w:t>
      </w:r>
      <w:r>
        <w:rPr>
          <w:rFonts w:asciiTheme="minorHAnsi" w:hAnsiTheme="minorHAnsi" w:cs="MetaNormal-Roman"/>
          <w:sz w:val="22"/>
          <w:szCs w:val="22"/>
        </w:rPr>
        <w:t xml:space="preserve">t auch ein Modell mit Querküche </w:t>
      </w:r>
      <w:r w:rsidRPr="00FE053D">
        <w:rPr>
          <w:rFonts w:asciiTheme="minorHAnsi" w:hAnsiTheme="minorHAnsi" w:cs="MetaNormal-Roman"/>
          <w:sz w:val="22"/>
          <w:szCs w:val="22"/>
        </w:rPr>
        <w:t>(495 SFE)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- Der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ist ebenso wie der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im Möbeldekor Nabucco-Ch</w:t>
      </w:r>
      <w:r>
        <w:rPr>
          <w:rFonts w:asciiTheme="minorHAnsi" w:hAnsiTheme="minorHAnsi" w:cs="MetaNormal-Roman"/>
          <w:sz w:val="22"/>
          <w:szCs w:val="22"/>
        </w:rPr>
        <w:t xml:space="preserve">erry und in zwei Stoffvarianten erhältlich: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Burano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und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Torcello</w:t>
      </w:r>
      <w:proofErr w:type="spellEnd"/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777D77" w:rsidRDefault="004B03C2" w:rsidP="004B03C2">
      <w:pPr>
        <w:widowControl/>
        <w:rPr>
          <w:rFonts w:asciiTheme="minorHAnsi" w:hAnsiTheme="minorHAnsi" w:cs="MetaNormal-Roman"/>
          <w:b/>
          <w:sz w:val="28"/>
          <w:szCs w:val="28"/>
        </w:rPr>
      </w:pPr>
      <w:r w:rsidRPr="00777D77">
        <w:rPr>
          <w:rFonts w:asciiTheme="minorHAnsi" w:hAnsiTheme="minorHAnsi" w:cs="MetaNormal-Roman"/>
          <w:b/>
          <w:sz w:val="28"/>
          <w:szCs w:val="28"/>
        </w:rPr>
        <w:t xml:space="preserve">Neuerungen beim Bianco </w:t>
      </w:r>
      <w:proofErr w:type="spellStart"/>
      <w:r w:rsidRPr="00777D77">
        <w:rPr>
          <w:rFonts w:asciiTheme="minorHAnsi" w:hAnsiTheme="minorHAnsi" w:cs="MetaNormal-Roman"/>
          <w:b/>
          <w:sz w:val="28"/>
          <w:szCs w:val="28"/>
        </w:rPr>
        <w:t>Selection</w:t>
      </w:r>
      <w:proofErr w:type="spellEnd"/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Neuheiten fließen, je nach Eignung, in alle Baureihen ein – so auch beim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und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,</w:t>
      </w:r>
      <w:r>
        <w:rPr>
          <w:rFonts w:asciiTheme="minorHAnsi" w:hAnsiTheme="minorHAnsi" w:cs="MetaNormal-Roman"/>
          <w:sz w:val="22"/>
          <w:szCs w:val="22"/>
        </w:rPr>
        <w:t xml:space="preserve"> denn bei Fendt-Caravan gibt es </w:t>
      </w:r>
      <w:r w:rsidRPr="00FE053D">
        <w:rPr>
          <w:rFonts w:asciiTheme="minorHAnsi" w:hAnsiTheme="minorHAnsi" w:cs="MetaNormal-Roman"/>
          <w:sz w:val="22"/>
          <w:szCs w:val="22"/>
        </w:rPr>
        <w:t>im Außendesign und Aufbau ein gemeinsames Erscheinungsbild. In dieser Saison sind dies folgende Punkte: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 gestaltetes Heck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 Rangiergriffe im Heck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Neue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Schlussleuchteneinfassung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in Chrom- und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Carbonoptik</w:t>
      </w:r>
      <w:proofErr w:type="spellEnd"/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Neue, höhere Serviceklappe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Wassertankeinfülldeckel jetzt mit Halteband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Verlängerte Kurbelstützen</w:t>
      </w:r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lastRenderedPageBreak/>
        <w:t>Den Unterschied der einzelnen Baureihen machen die „Wohnwelten“.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Verschiedene Materialien und Gestaltungslinien schaffen eigenständige Auftritte mit unterschiedlichem Flair.</w:t>
      </w:r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Beim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gibt es folgende Neuerungen im Innenbereich: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Das neue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-Programm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umfasst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9 Grundrisse, davon drei „Kinderzimmer-Grundrisse“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 Kinderzimmerleuchten mit 2 USB-Steckdosen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 Schwanenhalsleuchten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Höhere Betten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Besteckeinsätze mit neuer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Softtouch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-Oberfläche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 Kühlschrankfront in Edelstahl</w:t>
      </w:r>
      <w:r>
        <w:rPr>
          <w:rFonts w:asciiTheme="minorHAnsi" w:hAnsiTheme="minorHAnsi" w:cs="MetaNormal-Roman"/>
          <w:sz w:val="22"/>
          <w:szCs w:val="22"/>
        </w:rPr>
        <w:t>-Optik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iNet</w:t>
      </w:r>
      <w:proofErr w:type="spellEnd"/>
      <w:r>
        <w:rPr>
          <w:rFonts w:asciiTheme="minorHAnsi" w:hAnsiTheme="minorHAnsi" w:cs="MetaNormal-Roman"/>
          <w:sz w:val="22"/>
          <w:szCs w:val="22"/>
        </w:rPr>
        <w:t>-Box (</w:t>
      </w:r>
      <w:proofErr w:type="spellStart"/>
      <w:r>
        <w:rPr>
          <w:rFonts w:asciiTheme="minorHAnsi" w:hAnsiTheme="minorHAnsi" w:cs="MetaNormal-Roman"/>
          <w:sz w:val="22"/>
          <w:szCs w:val="22"/>
        </w:rPr>
        <w:t>Truma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)</w:t>
      </w:r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Stoffkombinationen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fu</w:t>
      </w:r>
      <w:r w:rsidRPr="00FE053D">
        <w:rPr>
          <w:rFonts w:asciiTheme="minorHAnsi" w:eastAsia="KozMinPr6N-Medium-Identity-H" w:hAnsiTheme="minorHAnsi" w:cs="KozMinPr6N-Medium-Identity-H"/>
          <w:sz w:val="22"/>
          <w:szCs w:val="22"/>
        </w:rPr>
        <w:t>̈</w:t>
      </w:r>
      <w:r w:rsidRPr="00FE053D">
        <w:rPr>
          <w:rFonts w:asciiTheme="minorHAnsi" w:hAnsiTheme="minorHAnsi" w:cs="MetaNormal-Roman"/>
          <w:sz w:val="22"/>
          <w:szCs w:val="22"/>
        </w:rPr>
        <w:t>r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den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Selection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: „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Burano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“ ode</w:t>
      </w:r>
      <w:r>
        <w:rPr>
          <w:rFonts w:asciiTheme="minorHAnsi" w:hAnsiTheme="minorHAnsi" w:cs="MetaNormal-Roman"/>
          <w:sz w:val="22"/>
          <w:szCs w:val="22"/>
        </w:rPr>
        <w:t>r „</w:t>
      </w:r>
      <w:proofErr w:type="spellStart"/>
      <w:r>
        <w:rPr>
          <w:rFonts w:asciiTheme="minorHAnsi" w:hAnsiTheme="minorHAnsi" w:cs="MetaNormal-Roman"/>
          <w:sz w:val="22"/>
          <w:szCs w:val="22"/>
        </w:rPr>
        <w:t>Torcello</w:t>
      </w:r>
      <w:proofErr w:type="spellEnd"/>
      <w:r>
        <w:rPr>
          <w:rFonts w:asciiTheme="minorHAnsi" w:hAnsiTheme="minorHAnsi" w:cs="MetaNormal-Roman"/>
          <w:sz w:val="22"/>
          <w:szCs w:val="22"/>
        </w:rPr>
        <w:t xml:space="preserve">“ abgestimmt auf die </w:t>
      </w:r>
      <w:r w:rsidRPr="00FE053D">
        <w:rPr>
          <w:rFonts w:asciiTheme="minorHAnsi" w:hAnsiTheme="minorHAnsi" w:cs="MetaNormal-Roman"/>
          <w:sz w:val="22"/>
          <w:szCs w:val="22"/>
        </w:rPr>
        <w:t>Möbel in „Nabucco-Cherry-Dekor“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Neuerungen und Besonderheiten beim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im Außenbereich: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Hohe, beidseitige Außenstauklappen (modellabhängig)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 gestaltetes Heck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 Rangiergriffe im Heck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Neue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Schlussleuchteneinfa</w:t>
      </w:r>
      <w:r>
        <w:rPr>
          <w:rFonts w:asciiTheme="minorHAnsi" w:hAnsiTheme="minorHAnsi" w:cs="MetaNormal-Roman"/>
          <w:sz w:val="22"/>
          <w:szCs w:val="22"/>
        </w:rPr>
        <w:t>ssung</w:t>
      </w:r>
      <w:proofErr w:type="spellEnd"/>
      <w:r>
        <w:rPr>
          <w:rFonts w:asciiTheme="minorHAnsi" w:hAnsiTheme="minorHAnsi" w:cs="MetaNormal-Roman"/>
          <w:sz w:val="22"/>
          <w:szCs w:val="22"/>
        </w:rPr>
        <w:t xml:space="preserve"> in Chrom- und </w:t>
      </w:r>
      <w:proofErr w:type="spellStart"/>
      <w:r>
        <w:rPr>
          <w:rFonts w:asciiTheme="minorHAnsi" w:hAnsiTheme="minorHAnsi" w:cs="MetaNormal-Roman"/>
          <w:sz w:val="22"/>
          <w:szCs w:val="22"/>
        </w:rPr>
        <w:t>Carbonoptik</w:t>
      </w:r>
      <w:proofErr w:type="spellEnd"/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Wassertankeinfülldeckel jetzt mit Halteband</w:t>
      </w:r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Verlängerte Kurbelstützen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Die „Wohnwelten“ machen den Unterschied. Sie unterscheiden bei Fendt-Caravan die einzelnen Baureihen.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Durch den Einsatz unterschiedlicher Gestaltungslinien und Materialien entstehen eigenständige Auftr</w:t>
      </w:r>
      <w:r>
        <w:rPr>
          <w:rFonts w:asciiTheme="minorHAnsi" w:hAnsiTheme="minorHAnsi" w:cs="MetaNormal-Roman"/>
          <w:sz w:val="22"/>
          <w:szCs w:val="22"/>
        </w:rPr>
        <w:t xml:space="preserve">itte von jung und praktisch bis </w:t>
      </w:r>
      <w:r w:rsidRPr="00FE053D">
        <w:rPr>
          <w:rFonts w:asciiTheme="minorHAnsi" w:hAnsiTheme="minorHAnsi" w:cs="MetaNormal-Roman"/>
          <w:sz w:val="22"/>
          <w:szCs w:val="22"/>
        </w:rPr>
        <w:t>edel und elegant.</w:t>
      </w:r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Beim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wurden folgende Neuheiten im Innenbereich realisiert: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Das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-Programm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umfasst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5 Grundrisse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Neuer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Grundriss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: 550 KMG (Kinderzimmer-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Grundriss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)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 Kinderzimmerleuchten mit 2 USB-Steckdosen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>
        <w:rPr>
          <w:rFonts w:asciiTheme="minorHAnsi" w:hAnsiTheme="minorHAnsi" w:cs="MetaNormal-Roman"/>
          <w:sz w:val="22"/>
          <w:szCs w:val="22"/>
        </w:rPr>
        <w:t xml:space="preserve">• </w:t>
      </w:r>
      <w:r w:rsidRPr="00FE053D">
        <w:rPr>
          <w:rFonts w:asciiTheme="minorHAnsi" w:hAnsiTheme="minorHAnsi" w:cs="MetaNormal-Roman"/>
          <w:sz w:val="22"/>
          <w:szCs w:val="22"/>
        </w:rPr>
        <w:t>Beleuchtung im Kleiderschrank mit Bewegungssensor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 Schwanenhalsleuchten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Besteckeinsätze mit neuer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Softtouch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-Oberfläche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>• Neue Kühlschrankfront in Edelstahl</w:t>
      </w:r>
      <w:r>
        <w:rPr>
          <w:rFonts w:asciiTheme="minorHAnsi" w:hAnsiTheme="minorHAnsi" w:cs="MetaNormal-Roman"/>
          <w:sz w:val="22"/>
          <w:szCs w:val="22"/>
        </w:rPr>
        <w:t>-Optik</w:t>
      </w:r>
    </w:p>
    <w:p w:rsidR="004B03C2" w:rsidRPr="00FE053D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>
        <w:rPr>
          <w:rFonts w:asciiTheme="minorHAnsi" w:hAnsiTheme="minorHAnsi" w:cs="MetaNormal-Roman"/>
          <w:sz w:val="22"/>
          <w:szCs w:val="22"/>
        </w:rPr>
        <w:t xml:space="preserve">• </w:t>
      </w:r>
      <w:proofErr w:type="spellStart"/>
      <w:r>
        <w:rPr>
          <w:rFonts w:asciiTheme="minorHAnsi" w:hAnsiTheme="minorHAnsi" w:cs="MetaNormal-Roman"/>
          <w:sz w:val="22"/>
          <w:szCs w:val="22"/>
        </w:rPr>
        <w:t>iNet</w:t>
      </w:r>
      <w:proofErr w:type="spellEnd"/>
      <w:r>
        <w:rPr>
          <w:rFonts w:asciiTheme="minorHAnsi" w:hAnsiTheme="minorHAnsi" w:cs="MetaNormal-Roman"/>
          <w:sz w:val="22"/>
          <w:szCs w:val="22"/>
        </w:rPr>
        <w:t>-Box (</w:t>
      </w:r>
      <w:proofErr w:type="spellStart"/>
      <w:r>
        <w:rPr>
          <w:rFonts w:asciiTheme="minorHAnsi" w:hAnsiTheme="minorHAnsi" w:cs="MetaNormal-Roman"/>
          <w:sz w:val="22"/>
          <w:szCs w:val="22"/>
        </w:rPr>
        <w:t>Truma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) für Steuerung der Heizung über Smartphone App</w:t>
      </w:r>
    </w:p>
    <w:p w:rsidR="004B03C2" w:rsidRDefault="004B03C2" w:rsidP="004B03C2">
      <w:pPr>
        <w:widowControl/>
        <w:rPr>
          <w:rFonts w:asciiTheme="minorHAnsi" w:hAnsiTheme="minorHAnsi" w:cs="MetaNormal-Roman"/>
          <w:sz w:val="22"/>
          <w:szCs w:val="22"/>
        </w:rPr>
      </w:pPr>
      <w:r w:rsidRPr="00FE053D">
        <w:rPr>
          <w:rFonts w:asciiTheme="minorHAnsi" w:hAnsiTheme="minorHAnsi" w:cs="MetaNormal-Roman"/>
          <w:sz w:val="22"/>
          <w:szCs w:val="22"/>
        </w:rPr>
        <w:t xml:space="preserve">• Stoffkombinationen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fu</w:t>
      </w:r>
      <w:r w:rsidRPr="00FE053D">
        <w:rPr>
          <w:rFonts w:asciiTheme="minorHAnsi" w:eastAsia="KozMinPr6N-Medium-Identity-H" w:hAnsiTheme="minorHAnsi" w:cs="KozMinPr6N-Medium-Identity-H"/>
          <w:sz w:val="22"/>
          <w:szCs w:val="22"/>
        </w:rPr>
        <w:t>̈</w:t>
      </w:r>
      <w:r w:rsidRPr="00FE053D">
        <w:rPr>
          <w:rFonts w:asciiTheme="minorHAnsi" w:hAnsiTheme="minorHAnsi" w:cs="MetaNormal-Roman"/>
          <w:sz w:val="22"/>
          <w:szCs w:val="22"/>
        </w:rPr>
        <w:t>r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 xml:space="preserve"> den Bianco 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Activ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: „</w:t>
      </w:r>
      <w:proofErr w:type="spellStart"/>
      <w:r w:rsidRPr="00FE053D">
        <w:rPr>
          <w:rFonts w:asciiTheme="minorHAnsi" w:hAnsiTheme="minorHAnsi" w:cs="MetaNormal-Roman"/>
          <w:sz w:val="22"/>
          <w:szCs w:val="22"/>
        </w:rPr>
        <w:t>Burano</w:t>
      </w:r>
      <w:proofErr w:type="spellEnd"/>
      <w:r w:rsidRPr="00FE053D">
        <w:rPr>
          <w:rFonts w:asciiTheme="minorHAnsi" w:hAnsiTheme="minorHAnsi" w:cs="MetaNormal-Roman"/>
          <w:sz w:val="22"/>
          <w:szCs w:val="22"/>
        </w:rPr>
        <w:t>“ ode</w:t>
      </w:r>
      <w:r>
        <w:rPr>
          <w:rFonts w:asciiTheme="minorHAnsi" w:hAnsiTheme="minorHAnsi" w:cs="MetaNormal-Roman"/>
          <w:sz w:val="22"/>
          <w:szCs w:val="22"/>
        </w:rPr>
        <w:t>r „</w:t>
      </w:r>
      <w:proofErr w:type="spellStart"/>
      <w:r>
        <w:rPr>
          <w:rFonts w:asciiTheme="minorHAnsi" w:hAnsiTheme="minorHAnsi" w:cs="MetaNormal-Roman"/>
          <w:sz w:val="22"/>
          <w:szCs w:val="22"/>
        </w:rPr>
        <w:t>Torcello</w:t>
      </w:r>
      <w:proofErr w:type="spellEnd"/>
      <w:r>
        <w:rPr>
          <w:rFonts w:asciiTheme="minorHAnsi" w:hAnsiTheme="minorHAnsi" w:cs="MetaNormal-Roman"/>
          <w:sz w:val="22"/>
          <w:szCs w:val="22"/>
        </w:rPr>
        <w:t xml:space="preserve">“ abgestimmt auf die </w:t>
      </w:r>
      <w:r w:rsidRPr="00FE053D">
        <w:rPr>
          <w:rFonts w:asciiTheme="minorHAnsi" w:hAnsiTheme="minorHAnsi" w:cs="MetaNormal-Roman"/>
          <w:sz w:val="22"/>
          <w:szCs w:val="22"/>
        </w:rPr>
        <w:t>Möbel in „Nabucco-Cherry-Dekor“</w:t>
      </w:r>
    </w:p>
    <w:p w:rsidR="00275563" w:rsidRDefault="00275563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  <w:bookmarkStart w:id="0" w:name="_GoBack"/>
      <w:bookmarkEnd w:id="0"/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</w:tblGrid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keepNext/>
              <w:keepLines/>
              <w:widowControl/>
              <w:autoSpaceDE/>
              <w:autoSpaceDN/>
              <w:adjustRightInd/>
              <w:spacing w:before="200" w:line="360" w:lineRule="auto"/>
              <w:outlineLvl w:val="7"/>
              <w:rPr>
                <w:rFonts w:ascii="Calibri" w:eastAsia="MS Gothic" w:hAnsi="Calibri"/>
                <w:b/>
                <w:sz w:val="22"/>
                <w:szCs w:val="22"/>
              </w:rPr>
            </w:pPr>
            <w:r w:rsidRPr="0079564A">
              <w:rPr>
                <w:rFonts w:ascii="Calibri" w:eastAsia="MS Gothic" w:hAnsi="Calibri"/>
                <w:b/>
                <w:sz w:val="22"/>
                <w:szCs w:val="22"/>
              </w:rPr>
              <w:lastRenderedPageBreak/>
              <w:t xml:space="preserve">Bianco </w:t>
            </w:r>
            <w:proofErr w:type="spellStart"/>
            <w:r w:rsidRPr="0079564A">
              <w:rPr>
                <w:rFonts w:ascii="Calibri" w:eastAsia="MS Gothic" w:hAnsi="Calibri"/>
                <w:b/>
                <w:sz w:val="22"/>
                <w:szCs w:val="22"/>
              </w:rPr>
              <w:t>Selection</w:t>
            </w:r>
            <w:proofErr w:type="spellEnd"/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jc w:val="center"/>
              <w:rPr>
                <w:rFonts w:ascii="Calibri" w:eastAsia="MS Mincho" w:hAnsi="Calibri" w:cs="Tahoma"/>
                <w:b/>
                <w:iCs/>
                <w:snapToGrid w:val="0"/>
                <w:sz w:val="22"/>
                <w:szCs w:val="22"/>
                <w:lang w:val="it-IT"/>
              </w:rPr>
            </w:pPr>
            <w:proofErr w:type="spellStart"/>
            <w:r w:rsidRPr="0079564A">
              <w:rPr>
                <w:rFonts w:ascii="Calibri" w:eastAsia="MS Mincho" w:hAnsi="Calibri" w:cs="Tahoma"/>
                <w:b/>
                <w:iCs/>
                <w:snapToGrid w:val="0"/>
                <w:sz w:val="22"/>
                <w:szCs w:val="22"/>
                <w:lang w:val="it-IT"/>
              </w:rPr>
              <w:t>Preise</w:t>
            </w:r>
            <w:proofErr w:type="spellEnd"/>
            <w:r w:rsidRPr="0079564A">
              <w:rPr>
                <w:rFonts w:ascii="Calibri" w:eastAsia="MS Mincho" w:hAnsi="Calibri" w:cs="Tahoma"/>
                <w:b/>
                <w:iCs/>
                <w:snapToGrid w:val="0"/>
                <w:sz w:val="22"/>
                <w:szCs w:val="22"/>
                <w:lang w:val="it-IT"/>
              </w:rPr>
              <w:t xml:space="preserve"> in EURO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390 FH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17.650,00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435 SF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20.150,00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445 TFB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20.350,00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465 SFB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20.890,00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465 TG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20.950,00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515 SG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22.390,00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515 SKE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22.190,00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515 SKM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22.190,00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550 SKM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23.290,00</w:t>
            </w:r>
          </w:p>
        </w:tc>
      </w:tr>
    </w:tbl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</w:tblGrid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jc w:val="center"/>
              <w:rPr>
                <w:rFonts w:ascii="Calibri" w:eastAsia="MS Mincho" w:hAnsi="Calibri" w:cs="Tahoma"/>
                <w:b/>
                <w:iCs/>
                <w:snapToGrid w:val="0"/>
                <w:sz w:val="22"/>
                <w:szCs w:val="22"/>
              </w:rPr>
            </w:pPr>
            <w:r w:rsidRPr="0079564A">
              <w:rPr>
                <w:rFonts w:ascii="Calibri" w:eastAsia="MS Mincho" w:hAnsi="Calibri" w:cs="Tahoma"/>
                <w:b/>
                <w:iCs/>
                <w:snapToGrid w:val="0"/>
                <w:sz w:val="22"/>
                <w:szCs w:val="22"/>
              </w:rPr>
              <w:t xml:space="preserve">Bianco </w:t>
            </w:r>
            <w:proofErr w:type="spellStart"/>
            <w:r w:rsidRPr="0079564A">
              <w:rPr>
                <w:rFonts w:ascii="Calibri" w:eastAsia="MS Mincho" w:hAnsi="Calibri" w:cs="Tahoma"/>
                <w:b/>
                <w:iCs/>
                <w:snapToGrid w:val="0"/>
                <w:sz w:val="22"/>
                <w:szCs w:val="22"/>
              </w:rPr>
              <w:t>Activ</w:t>
            </w:r>
            <w:proofErr w:type="spellEnd"/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jc w:val="center"/>
              <w:rPr>
                <w:rFonts w:ascii="Calibri" w:eastAsia="MS Mincho" w:hAnsi="Calibri" w:cs="Tahoma"/>
                <w:b/>
                <w:iCs/>
                <w:snapToGrid w:val="0"/>
                <w:sz w:val="22"/>
                <w:szCs w:val="22"/>
              </w:rPr>
            </w:pPr>
            <w:r w:rsidRPr="0079564A">
              <w:rPr>
                <w:rFonts w:ascii="Calibri" w:eastAsia="MS Mincho" w:hAnsi="Calibri" w:cs="Tahoma"/>
                <w:b/>
                <w:iCs/>
                <w:snapToGrid w:val="0"/>
                <w:sz w:val="22"/>
                <w:szCs w:val="22"/>
              </w:rPr>
              <w:t>Preise in EURO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390 FHE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18.550,00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465 SGE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21.990,00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495 SFE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22.390,00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515 SGE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iCs/>
                <w:snapToGrid w:val="0"/>
                <w:sz w:val="22"/>
                <w:szCs w:val="22"/>
                <w:lang w:val="en-GB"/>
              </w:rPr>
              <w:t>23.190,00</w:t>
            </w:r>
          </w:p>
        </w:tc>
      </w:tr>
      <w:tr w:rsidR="0079564A" w:rsidRPr="0079564A" w:rsidTr="004546E4">
        <w:tc>
          <w:tcPr>
            <w:tcW w:w="1630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-2"/>
              <w:rPr>
                <w:rFonts w:ascii="Calibri" w:eastAsia="MS Mincho" w:hAnsi="Calibri" w:cs="Tahoma"/>
                <w:b/>
                <w:i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b/>
                <w:i/>
                <w:iCs/>
                <w:snapToGrid w:val="0"/>
                <w:sz w:val="22"/>
                <w:szCs w:val="22"/>
                <w:lang w:val="en-GB"/>
              </w:rPr>
              <w:t>550 KMG</w:t>
            </w:r>
          </w:p>
        </w:tc>
        <w:tc>
          <w:tcPr>
            <w:tcW w:w="2409" w:type="dxa"/>
          </w:tcPr>
          <w:p w:rsidR="0079564A" w:rsidRPr="0079564A" w:rsidRDefault="0079564A" w:rsidP="0079564A">
            <w:pPr>
              <w:widowControl/>
              <w:autoSpaceDE/>
              <w:autoSpaceDN/>
              <w:adjustRightInd/>
              <w:spacing w:line="360" w:lineRule="auto"/>
              <w:ind w:right="497"/>
              <w:jc w:val="right"/>
              <w:rPr>
                <w:rFonts w:ascii="Calibri" w:eastAsia="MS Mincho" w:hAnsi="Calibri" w:cs="Tahoma"/>
                <w:b/>
                <w:i/>
                <w:iCs/>
                <w:snapToGrid w:val="0"/>
                <w:sz w:val="22"/>
                <w:szCs w:val="22"/>
                <w:lang w:val="en-GB"/>
              </w:rPr>
            </w:pPr>
            <w:r w:rsidRPr="0079564A">
              <w:rPr>
                <w:rFonts w:ascii="Calibri" w:eastAsia="MS Mincho" w:hAnsi="Calibri" w:cs="Tahoma"/>
                <w:b/>
                <w:i/>
                <w:iCs/>
                <w:snapToGrid w:val="0"/>
                <w:sz w:val="22"/>
                <w:szCs w:val="22"/>
                <w:lang w:val="en-GB"/>
              </w:rPr>
              <w:t>24.490,00</w:t>
            </w:r>
          </w:p>
        </w:tc>
      </w:tr>
    </w:tbl>
    <w:p w:rsidR="0079564A" w:rsidRDefault="0079564A" w:rsidP="004B03C2">
      <w:pPr>
        <w:widowControl/>
        <w:rPr>
          <w:rFonts w:asciiTheme="minorHAnsi" w:hAnsiTheme="minorHAnsi" w:cs="MetaNormal-Roman"/>
          <w:sz w:val="22"/>
          <w:szCs w:val="22"/>
        </w:rPr>
      </w:pPr>
    </w:p>
    <w:sectPr w:rsidR="007956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l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zMinPr6N-Medium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CA2"/>
    <w:multiLevelType w:val="hybridMultilevel"/>
    <w:tmpl w:val="B4A81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76B97"/>
    <w:multiLevelType w:val="hybridMultilevel"/>
    <w:tmpl w:val="ADD66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2"/>
    <w:rsid w:val="00275563"/>
    <w:rsid w:val="004B03C2"/>
    <w:rsid w:val="005F408E"/>
    <w:rsid w:val="0079564A"/>
    <w:rsid w:val="00A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4B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4B0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4B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4B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Fendt-Caravan GmbH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Kamm, Thomas</dc:creator>
  <cp:lastModifiedBy>Kamm, Thomas</cp:lastModifiedBy>
  <cp:revision>2</cp:revision>
  <dcterms:created xsi:type="dcterms:W3CDTF">2017-06-14T05:26:00Z</dcterms:created>
  <dcterms:modified xsi:type="dcterms:W3CDTF">2017-06-14T05:26:00Z</dcterms:modified>
</cp:coreProperties>
</file>