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6730" w14:textId="77777777" w:rsidR="0021221F" w:rsidRPr="009352AA" w:rsidRDefault="0021221F">
      <w:pPr>
        <w:rPr>
          <w:lang w:val="sv-SE"/>
        </w:rPr>
      </w:pPr>
    </w:p>
    <w:p w14:paraId="287D92E7" w14:textId="77777777" w:rsidR="0021221F" w:rsidRPr="009352AA" w:rsidRDefault="0021221F">
      <w:pPr>
        <w:rPr>
          <w:lang w:val="sv-SE"/>
        </w:rPr>
      </w:pPr>
    </w:p>
    <w:tbl>
      <w:tblPr>
        <w:tblW w:w="9558" w:type="dxa"/>
        <w:tblLook w:val="01E0" w:firstRow="1" w:lastRow="1" w:firstColumn="1" w:lastColumn="1" w:noHBand="0" w:noVBand="0"/>
      </w:tblPr>
      <w:tblGrid>
        <w:gridCol w:w="4813"/>
        <w:gridCol w:w="4745"/>
      </w:tblGrid>
      <w:tr w:rsidR="005B2A05" w:rsidRPr="009352AA" w14:paraId="13DDBFAA" w14:textId="77777777" w:rsidTr="00521BC0">
        <w:trPr>
          <w:trHeight w:val="1027"/>
        </w:trPr>
        <w:tc>
          <w:tcPr>
            <w:tcW w:w="4813" w:type="dxa"/>
          </w:tcPr>
          <w:p w14:paraId="7479620F" w14:textId="7C3C9BEA" w:rsidR="00041DF8" w:rsidRPr="009352AA" w:rsidRDefault="00041DF8" w:rsidP="00041DF8">
            <w:pPr>
              <w:rPr>
                <w:rFonts w:ascii="Arial" w:hAnsi="Arial" w:cs="Arial"/>
                <w:b/>
                <w:lang w:val="sv-SE"/>
              </w:rPr>
            </w:pPr>
            <w:r w:rsidRPr="009352AA">
              <w:rPr>
                <w:rFonts w:ascii="Arial" w:hAnsi="Arial" w:cs="Arial"/>
                <w:b/>
                <w:lang w:val="sv-SE"/>
              </w:rPr>
              <w:t xml:space="preserve">Capgemini </w:t>
            </w:r>
            <w:r w:rsidR="00DD7A62" w:rsidRPr="009352AA">
              <w:rPr>
                <w:rFonts w:ascii="Arial" w:hAnsi="Arial" w:cs="Arial"/>
                <w:b/>
                <w:lang w:val="sv-SE"/>
              </w:rPr>
              <w:t>press</w:t>
            </w:r>
            <w:r w:rsidR="0021221F" w:rsidRPr="009352AA">
              <w:rPr>
                <w:rFonts w:ascii="Arial" w:hAnsi="Arial" w:cs="Arial"/>
                <w:b/>
                <w:lang w:val="sv-SE"/>
              </w:rPr>
              <w:t>konta</w:t>
            </w:r>
            <w:r w:rsidR="00272789" w:rsidRPr="009352AA">
              <w:rPr>
                <w:rFonts w:ascii="Arial" w:hAnsi="Arial" w:cs="Arial"/>
                <w:b/>
                <w:lang w:val="sv-SE"/>
              </w:rPr>
              <w:t>k</w:t>
            </w:r>
            <w:r w:rsidRPr="009352AA">
              <w:rPr>
                <w:rFonts w:ascii="Arial" w:hAnsi="Arial" w:cs="Arial"/>
                <w:b/>
                <w:lang w:val="sv-SE"/>
              </w:rPr>
              <w:t>t:</w:t>
            </w:r>
          </w:p>
          <w:p w14:paraId="6FB3D7DA" w14:textId="77777777" w:rsidR="00330FA4" w:rsidRPr="009352AA" w:rsidRDefault="0021221F" w:rsidP="00041DF8">
            <w:pPr>
              <w:rPr>
                <w:rFonts w:ascii="Arial" w:hAnsi="Arial" w:cs="Arial"/>
                <w:i/>
                <w:lang w:val="sv-SE"/>
              </w:rPr>
            </w:pPr>
            <w:r w:rsidRPr="009352AA">
              <w:rPr>
                <w:rFonts w:ascii="Arial" w:hAnsi="Arial" w:cs="Arial"/>
                <w:i/>
                <w:lang w:val="sv-SE"/>
              </w:rPr>
              <w:t>Gunilla Resare</w:t>
            </w:r>
          </w:p>
          <w:p w14:paraId="616CB084" w14:textId="77777777" w:rsidR="007728D4" w:rsidRPr="009352AA" w:rsidRDefault="0021221F" w:rsidP="00041DF8">
            <w:pPr>
              <w:rPr>
                <w:rFonts w:ascii="Arial" w:hAnsi="Arial" w:cs="Arial"/>
                <w:i/>
                <w:lang w:val="sv-SE"/>
              </w:rPr>
            </w:pPr>
            <w:r w:rsidRPr="009352AA">
              <w:rPr>
                <w:rFonts w:ascii="Arial" w:hAnsi="Arial" w:cs="Arial"/>
                <w:i/>
                <w:lang w:val="sv-SE"/>
              </w:rPr>
              <w:t xml:space="preserve">Tel: + 47 45 00 25 42 </w:t>
            </w:r>
          </w:p>
          <w:p w14:paraId="21BCAE91" w14:textId="77777777" w:rsidR="00857A01" w:rsidRPr="009352AA" w:rsidRDefault="00857A01" w:rsidP="00041DF8">
            <w:pPr>
              <w:rPr>
                <w:rFonts w:ascii="Arial" w:hAnsi="Arial" w:cs="Arial"/>
                <w:i/>
                <w:lang w:val="sv-SE"/>
              </w:rPr>
            </w:pPr>
            <w:r w:rsidRPr="009352AA">
              <w:rPr>
                <w:rFonts w:ascii="Arial" w:hAnsi="Arial" w:cs="Arial"/>
                <w:i/>
                <w:lang w:val="sv-SE"/>
              </w:rPr>
              <w:t xml:space="preserve">E-mail: </w:t>
            </w:r>
            <w:hyperlink r:id="rId8" w:history="1">
              <w:r w:rsidR="0021221F" w:rsidRPr="009352AA">
                <w:rPr>
                  <w:rStyle w:val="Hyperkobling"/>
                  <w:rFonts w:ascii="Arial" w:hAnsi="Arial" w:cs="Arial"/>
                  <w:i/>
                  <w:lang w:val="sv-SE"/>
                </w:rPr>
                <w:t>gunilla.resare@capgemini.com</w:t>
              </w:r>
            </w:hyperlink>
          </w:p>
          <w:p w14:paraId="5E81B8C1" w14:textId="77777777" w:rsidR="00857A01" w:rsidRPr="009352AA" w:rsidRDefault="00857A01" w:rsidP="00041DF8">
            <w:pPr>
              <w:rPr>
                <w:rFonts w:ascii="Arial" w:hAnsi="Arial" w:cs="Arial"/>
                <w:i/>
                <w:lang w:val="sv-SE"/>
              </w:rPr>
            </w:pPr>
          </w:p>
          <w:p w14:paraId="3199BA47" w14:textId="77777777" w:rsidR="00857A01" w:rsidRPr="009352AA" w:rsidRDefault="00857A01" w:rsidP="00041DF8">
            <w:pPr>
              <w:rPr>
                <w:rFonts w:ascii="Arial" w:hAnsi="Arial" w:cs="Arial"/>
                <w:i/>
                <w:lang w:val="sv-SE"/>
              </w:rPr>
            </w:pPr>
          </w:p>
          <w:p w14:paraId="718BFA6D" w14:textId="77777777" w:rsidR="005B2A05" w:rsidRPr="009352AA" w:rsidRDefault="00521BC0" w:rsidP="00521BC0">
            <w:pPr>
              <w:pStyle w:val="xmsonormal"/>
              <w:shd w:val="clear" w:color="auto" w:fill="FFFFFF"/>
              <w:spacing w:before="0" w:beforeAutospacing="0" w:after="0" w:afterAutospacing="0"/>
              <w:rPr>
                <w:rFonts w:ascii="Arial" w:hAnsi="Arial" w:cs="Arial"/>
                <w:lang w:val="sv-SE"/>
              </w:rPr>
            </w:pPr>
            <w:r w:rsidRPr="009352AA">
              <w:rPr>
                <w:rFonts w:ascii="Calibri" w:hAnsi="Calibri"/>
                <w:color w:val="1F497D"/>
                <w:sz w:val="22"/>
                <w:szCs w:val="22"/>
                <w:lang w:val="sv-SE"/>
              </w:rPr>
              <w:br/>
            </w:r>
          </w:p>
        </w:tc>
        <w:tc>
          <w:tcPr>
            <w:tcW w:w="4745" w:type="dxa"/>
          </w:tcPr>
          <w:p w14:paraId="22131020" w14:textId="0E26DD28" w:rsidR="006A68F2" w:rsidRPr="009352AA" w:rsidRDefault="006A68F2" w:rsidP="00B21DA7">
            <w:pPr>
              <w:jc w:val="right"/>
              <w:rPr>
                <w:rFonts w:ascii="Arial" w:hAnsi="Arial" w:cs="Arial"/>
                <w:b/>
                <w:lang w:val="sv-SE"/>
              </w:rPr>
            </w:pPr>
            <w:r w:rsidRPr="009352AA">
              <w:rPr>
                <w:rFonts w:ascii="Arial" w:hAnsi="Arial" w:cs="Arial"/>
                <w:b/>
                <w:lang w:val="sv-SE"/>
              </w:rPr>
              <w:t xml:space="preserve">BNP Paribas </w:t>
            </w:r>
            <w:r w:rsidR="00DD7A62" w:rsidRPr="009352AA">
              <w:rPr>
                <w:rFonts w:ascii="Arial" w:hAnsi="Arial" w:cs="Arial"/>
                <w:b/>
                <w:lang w:val="sv-SE"/>
              </w:rPr>
              <w:t>press</w:t>
            </w:r>
            <w:r w:rsidR="0021221F" w:rsidRPr="009352AA">
              <w:rPr>
                <w:rFonts w:ascii="Arial" w:hAnsi="Arial" w:cs="Arial"/>
                <w:b/>
                <w:lang w:val="sv-SE"/>
              </w:rPr>
              <w:t>kontakt</w:t>
            </w:r>
            <w:r w:rsidRPr="009352AA">
              <w:rPr>
                <w:rFonts w:ascii="Arial" w:hAnsi="Arial" w:cs="Arial"/>
                <w:b/>
                <w:lang w:val="sv-SE"/>
              </w:rPr>
              <w:t>:</w:t>
            </w:r>
          </w:p>
          <w:p w14:paraId="505E5E16" w14:textId="77777777" w:rsidR="00521BC0" w:rsidRPr="009352AA" w:rsidRDefault="00521BC0" w:rsidP="00B21DA7">
            <w:pPr>
              <w:jc w:val="right"/>
              <w:rPr>
                <w:rFonts w:ascii="Arial" w:hAnsi="Arial" w:cs="Arial"/>
                <w:i/>
                <w:lang w:val="sv-SE"/>
              </w:rPr>
            </w:pPr>
            <w:r w:rsidRPr="009352AA">
              <w:rPr>
                <w:rFonts w:ascii="Arial" w:hAnsi="Arial" w:cs="Arial"/>
                <w:i/>
                <w:lang w:val="sv-SE"/>
              </w:rPr>
              <w:t>Malka Nusynowicz</w:t>
            </w:r>
          </w:p>
          <w:p w14:paraId="4F4C5040" w14:textId="6991C607" w:rsidR="005B2A05" w:rsidRPr="009352AA" w:rsidRDefault="00D27E31" w:rsidP="00B21DA7">
            <w:pPr>
              <w:jc w:val="right"/>
              <w:rPr>
                <w:rFonts w:ascii="Arial" w:hAnsi="Arial" w:cs="Arial"/>
                <w:i/>
                <w:lang w:val="sv-SE"/>
              </w:rPr>
            </w:pPr>
            <w:r w:rsidRPr="009352AA">
              <w:rPr>
                <w:rFonts w:ascii="Arial" w:hAnsi="Arial" w:cs="Arial"/>
                <w:i/>
                <w:lang w:val="sv-SE"/>
              </w:rPr>
              <w:t>Tel</w:t>
            </w:r>
            <w:r w:rsidR="005B2A05" w:rsidRPr="009352AA">
              <w:rPr>
                <w:rFonts w:ascii="Arial" w:hAnsi="Arial" w:cs="Arial"/>
                <w:i/>
                <w:lang w:val="sv-SE"/>
              </w:rPr>
              <w:t xml:space="preserve">:+ </w:t>
            </w:r>
            <w:r w:rsidR="00521BC0" w:rsidRPr="009352AA">
              <w:rPr>
                <w:rFonts w:ascii="Arial" w:hAnsi="Arial" w:cs="Arial"/>
                <w:i/>
                <w:lang w:val="sv-SE"/>
              </w:rPr>
              <w:t>34 932 16 03 68</w:t>
            </w:r>
          </w:p>
          <w:p w14:paraId="3DAF946C" w14:textId="77777777" w:rsidR="005B2A05" w:rsidRPr="009352AA" w:rsidRDefault="005B2A05" w:rsidP="00521BC0">
            <w:pPr>
              <w:jc w:val="right"/>
              <w:rPr>
                <w:rFonts w:ascii="Arial" w:hAnsi="Arial" w:cs="Arial"/>
                <w:lang w:val="sv-SE"/>
              </w:rPr>
            </w:pPr>
            <w:r w:rsidRPr="009352AA">
              <w:rPr>
                <w:rFonts w:ascii="Arial" w:hAnsi="Arial" w:cs="Arial"/>
                <w:i/>
                <w:lang w:val="sv-SE"/>
              </w:rPr>
              <w:t xml:space="preserve">E-mail: </w:t>
            </w:r>
            <w:hyperlink r:id="rId9" w:tgtFrame="_blank" w:history="1">
              <w:r w:rsidR="00521BC0" w:rsidRPr="009352AA">
                <w:rPr>
                  <w:rStyle w:val="Hyperkobling"/>
                  <w:rFonts w:ascii="Calibri" w:hAnsi="Calibri"/>
                  <w:sz w:val="22"/>
                  <w:szCs w:val="22"/>
                  <w:lang w:val="sv-SE"/>
                </w:rPr>
                <w:t>malka.nusynowicz@bnpparibas.com</w:t>
              </w:r>
            </w:hyperlink>
          </w:p>
        </w:tc>
      </w:tr>
    </w:tbl>
    <w:p w14:paraId="3D0E9AB9" w14:textId="6F2621D5" w:rsidR="00533E04" w:rsidRPr="009352AA" w:rsidRDefault="00DD7A62" w:rsidP="00DD7A62">
      <w:pPr>
        <w:spacing w:line="360" w:lineRule="auto"/>
        <w:jc w:val="center"/>
        <w:rPr>
          <w:rFonts w:ascii="Arial" w:hAnsi="Arial" w:cs="Arial"/>
          <w:b/>
          <w:sz w:val="24"/>
          <w:szCs w:val="24"/>
          <w:lang w:val="sv-SE"/>
        </w:rPr>
      </w:pPr>
      <w:r w:rsidRPr="009352AA">
        <w:rPr>
          <w:rFonts w:ascii="Arial" w:hAnsi="Arial" w:cs="Arial"/>
          <w:b/>
          <w:sz w:val="24"/>
          <w:szCs w:val="24"/>
          <w:lang w:val="sv-SE"/>
        </w:rPr>
        <w:t xml:space="preserve">Svenska kortköpen upp med 23,5 procent </w:t>
      </w:r>
    </w:p>
    <w:p w14:paraId="74528D5C" w14:textId="77777777" w:rsidR="0021221F" w:rsidRPr="009352AA" w:rsidRDefault="0021221F" w:rsidP="0021221F">
      <w:pPr>
        <w:jc w:val="center"/>
        <w:rPr>
          <w:rFonts w:ascii="Arial" w:hAnsi="Arial" w:cs="Arial"/>
          <w:b/>
          <w:sz w:val="24"/>
          <w:szCs w:val="24"/>
          <w:lang w:val="sv-SE"/>
        </w:rPr>
      </w:pPr>
    </w:p>
    <w:p w14:paraId="063F8243" w14:textId="1814C068" w:rsidR="00DD7A62" w:rsidRPr="009352AA" w:rsidRDefault="00DD7A62" w:rsidP="00DD7A62">
      <w:pPr>
        <w:tabs>
          <w:tab w:val="left" w:pos="5580"/>
        </w:tabs>
        <w:spacing w:line="360" w:lineRule="auto"/>
        <w:jc w:val="both"/>
        <w:rPr>
          <w:rFonts w:ascii="Arial" w:hAnsi="Arial" w:cs="Arial"/>
          <w:b/>
          <w:lang w:val="sv-SE"/>
        </w:rPr>
      </w:pPr>
      <w:r w:rsidRPr="009352AA">
        <w:rPr>
          <w:rFonts w:ascii="Arial" w:hAnsi="Arial" w:cs="Arial"/>
          <w:b/>
          <w:lang w:val="sv-SE"/>
        </w:rPr>
        <w:t xml:space="preserve">Stockholm, 9 oktober, 2017 – Antalet kontantlösa betalningar i Sverige ökade med 16,9 procent under 2015, och uppgick till totalt 3 989 miljoner transaktioner. Svenskarna betalar oftast med konto- och kreditkort och kategorin växte med hela 23,5 procent under året. Detta visar </w:t>
      </w:r>
      <w:hyperlink r:id="rId10" w:history="1">
        <w:r w:rsidRPr="009352AA">
          <w:rPr>
            <w:rStyle w:val="Hyperkobling"/>
            <w:rFonts w:ascii="Arial" w:hAnsi="Arial" w:cs="Arial"/>
            <w:b/>
            <w:color w:val="auto"/>
            <w:lang w:val="sv-SE"/>
          </w:rPr>
          <w:t>World Payment Report 2017</w:t>
        </w:r>
      </w:hyperlink>
      <w:r w:rsidRPr="009352AA">
        <w:rPr>
          <w:rFonts w:ascii="Arial" w:hAnsi="Arial" w:cs="Arial"/>
          <w:b/>
          <w:lang w:val="sv-SE"/>
        </w:rPr>
        <w:t xml:space="preserve"> (WPR 2017) utgiven av </w:t>
      </w:r>
      <w:hyperlink r:id="rId11" w:history="1">
        <w:r w:rsidRPr="009352AA">
          <w:rPr>
            <w:rStyle w:val="Hyperkobling"/>
            <w:rFonts w:ascii="Arial" w:hAnsi="Arial" w:cs="Arial"/>
            <w:b/>
            <w:color w:val="auto"/>
            <w:lang w:val="sv-SE"/>
          </w:rPr>
          <w:t>Capgemini</w:t>
        </w:r>
      </w:hyperlink>
      <w:r w:rsidRPr="009352AA">
        <w:rPr>
          <w:rFonts w:ascii="Arial" w:hAnsi="Arial" w:cs="Arial"/>
          <w:b/>
          <w:lang w:val="sv-SE"/>
        </w:rPr>
        <w:t xml:space="preserve"> i samarbete med </w:t>
      </w:r>
      <w:hyperlink r:id="rId12" w:history="1">
        <w:r w:rsidRPr="009352AA">
          <w:rPr>
            <w:rStyle w:val="Hyperkobling"/>
            <w:rFonts w:ascii="Arial" w:hAnsi="Arial" w:cs="Arial"/>
            <w:b/>
            <w:color w:val="auto"/>
            <w:lang w:val="sv-SE"/>
          </w:rPr>
          <w:t>BNP Paribas</w:t>
        </w:r>
      </w:hyperlink>
      <w:r w:rsidRPr="009352AA">
        <w:rPr>
          <w:rStyle w:val="Hyperkobling"/>
          <w:rFonts w:ascii="Arial" w:hAnsi="Arial" w:cs="Arial"/>
          <w:b/>
          <w:color w:val="auto"/>
          <w:u w:val="none"/>
          <w:lang w:val="sv-SE"/>
        </w:rPr>
        <w:t xml:space="preserve"> </w:t>
      </w:r>
      <w:r w:rsidRPr="009352AA">
        <w:rPr>
          <w:rFonts w:ascii="Arial" w:hAnsi="Arial" w:cs="Arial"/>
          <w:b/>
          <w:lang w:val="sv-SE"/>
        </w:rPr>
        <w:t>som varje år kartlägger betalningstrender på den globala marknaden.</w:t>
      </w:r>
    </w:p>
    <w:p w14:paraId="6754C93B" w14:textId="77777777" w:rsidR="0021221F" w:rsidRPr="009352AA" w:rsidRDefault="0021221F" w:rsidP="0021221F">
      <w:pPr>
        <w:rPr>
          <w:lang w:val="sv-SE"/>
        </w:rPr>
      </w:pPr>
    </w:p>
    <w:p w14:paraId="33D93872" w14:textId="5354D167" w:rsidR="00DD7A62" w:rsidRPr="009352AA" w:rsidRDefault="00DD7A62" w:rsidP="00DD7A62">
      <w:pPr>
        <w:tabs>
          <w:tab w:val="left" w:pos="5580"/>
        </w:tabs>
        <w:spacing w:line="360" w:lineRule="auto"/>
        <w:rPr>
          <w:rFonts w:ascii="Arial" w:hAnsi="Arial" w:cs="Arial"/>
          <w:i/>
          <w:lang w:val="sv-SE"/>
        </w:rPr>
      </w:pPr>
      <w:r w:rsidRPr="009352AA">
        <w:rPr>
          <w:rFonts w:ascii="Arial" w:hAnsi="Arial" w:cs="Arial"/>
          <w:lang w:val="sv-SE"/>
        </w:rPr>
        <w:t>Bank- och kreditkort är fortfarande svenskarnas vanligaste icke-kontanta betalningsmedel och står för 66 procent av alla betalningar som inte görs kontant. Under 2015 genomförde svenska folket 2 635 miljoner kortbetalningar vilket i genomsnitt motsvarar 267</w:t>
      </w:r>
      <w:r w:rsidRPr="009352AA">
        <w:rPr>
          <w:rStyle w:val="Fotnotereferanse"/>
          <w:rFonts w:ascii="Arial" w:hAnsi="Arial" w:cs="Arial"/>
          <w:lang w:val="sv-SE"/>
        </w:rPr>
        <w:footnoteReference w:id="1"/>
      </w:r>
      <w:r w:rsidRPr="009352AA">
        <w:rPr>
          <w:rFonts w:ascii="Arial" w:hAnsi="Arial" w:cs="Arial"/>
          <w:lang w:val="sv-SE"/>
        </w:rPr>
        <w:t xml:space="preserve"> transaktioner per svensk och år.</w:t>
      </w:r>
    </w:p>
    <w:p w14:paraId="219E8958" w14:textId="77777777" w:rsidR="00DD7A62" w:rsidRPr="009352AA" w:rsidRDefault="00DD7A62" w:rsidP="00DD7A62">
      <w:pPr>
        <w:tabs>
          <w:tab w:val="left" w:pos="5580"/>
        </w:tabs>
        <w:spacing w:line="360" w:lineRule="auto"/>
        <w:rPr>
          <w:rFonts w:ascii="Arial" w:hAnsi="Arial" w:cs="Arial"/>
          <w:i/>
          <w:lang w:val="sv-SE"/>
        </w:rPr>
      </w:pPr>
    </w:p>
    <w:p w14:paraId="4B4AD3F2" w14:textId="6D7A838B" w:rsidR="00DD7A62" w:rsidRPr="009352AA" w:rsidRDefault="00DD7A62" w:rsidP="00DD7A62">
      <w:pPr>
        <w:tabs>
          <w:tab w:val="left" w:pos="5580"/>
        </w:tabs>
        <w:spacing w:line="360" w:lineRule="auto"/>
        <w:rPr>
          <w:rFonts w:ascii="Arial" w:hAnsi="Arial"/>
          <w:i/>
          <w:lang w:val="sv-SE"/>
        </w:rPr>
      </w:pPr>
      <w:r w:rsidRPr="009352AA">
        <w:rPr>
          <w:rFonts w:ascii="Arial" w:hAnsi="Arial" w:cs="Arial"/>
          <w:i/>
          <w:lang w:val="sv-SE" w:eastAsia="sv-SE"/>
        </w:rPr>
        <w:t>«Det är anmärkningsvärt att ökningen av korttransaktioner i Sverige är så pass stor som 23,5 procent. En förklaring kan vara att allt fler använder telefonen för att surfa och handla online, och att populära tjänster i appar är uppbyggda kring just kortbetalningar. Samtidigt ser vi att värdet per korttransaktion hela tiden sjunker, det vill säga att svensken är villig att betala med kort även vid små köp</w:t>
      </w:r>
      <w:r w:rsidRPr="009352AA">
        <w:rPr>
          <w:rFonts w:ascii="Arial" w:hAnsi="Arial" w:cs="Arial"/>
          <w:lang w:val="sv-SE" w:eastAsia="sv-SE"/>
        </w:rPr>
        <w:t xml:space="preserve">,» </w:t>
      </w:r>
      <w:r w:rsidRPr="009352AA">
        <w:rPr>
          <w:rFonts w:ascii="Arial" w:hAnsi="Arial"/>
          <w:lang w:val="sv-SE"/>
        </w:rPr>
        <w:t>säger Pascal Olin, betalnings- och e-handelsexpert på Capgemini Consulting.</w:t>
      </w:r>
    </w:p>
    <w:p w14:paraId="0CE732B9" w14:textId="5A07AEE3" w:rsidR="00DD7A62" w:rsidRPr="009352AA" w:rsidRDefault="00DD7A62" w:rsidP="00DD7A62">
      <w:pPr>
        <w:tabs>
          <w:tab w:val="left" w:pos="5580"/>
        </w:tabs>
        <w:spacing w:line="360" w:lineRule="auto"/>
        <w:jc w:val="both"/>
        <w:rPr>
          <w:rFonts w:ascii="Arial" w:hAnsi="Arial" w:cs="Arial"/>
          <w:lang w:val="sv-SE"/>
        </w:rPr>
      </w:pPr>
      <w:r w:rsidRPr="009352AA">
        <w:rPr>
          <w:rFonts w:ascii="Arial" w:hAnsi="Arial" w:cs="Arial"/>
          <w:lang w:val="sv-SE"/>
        </w:rPr>
        <w:br/>
      </w:r>
      <w:r w:rsidRPr="009352AA">
        <w:rPr>
          <w:rFonts w:ascii="Arial" w:hAnsi="Arial" w:cs="Arial"/>
          <w:b/>
          <w:lang w:val="sv-SE"/>
        </w:rPr>
        <w:t>Korttransaktioner på nätet ökar och mobilt tar över</w:t>
      </w:r>
    </w:p>
    <w:p w14:paraId="1C918800" w14:textId="64F8CBEF" w:rsidR="00DD7A62" w:rsidRPr="009352AA" w:rsidRDefault="00DD7A62" w:rsidP="00DD7A62">
      <w:pPr>
        <w:tabs>
          <w:tab w:val="left" w:pos="5580"/>
        </w:tabs>
        <w:spacing w:line="360" w:lineRule="auto"/>
        <w:rPr>
          <w:rFonts w:ascii="Arial" w:hAnsi="Arial" w:cs="Arial"/>
          <w:lang w:val="sv-SE"/>
        </w:rPr>
      </w:pPr>
      <w:r w:rsidRPr="009352AA">
        <w:rPr>
          <w:rFonts w:ascii="Arial" w:hAnsi="Arial" w:cs="Arial"/>
          <w:lang w:val="sv-SE"/>
        </w:rPr>
        <w:t>Under 2015 gjordes 31,2 procent av världens alla korttransaktioner på internet. Den siffran förväntas öka till 45 procent år 2019. Antalet mobilbetalningar</w:t>
      </w:r>
      <w:r w:rsidRPr="009352AA">
        <w:rPr>
          <w:rStyle w:val="Fotnotereferanse"/>
          <w:rFonts w:ascii="Arial" w:hAnsi="Arial" w:cs="Arial"/>
          <w:lang w:val="sv-SE"/>
        </w:rPr>
        <w:footnoteReference w:id="2"/>
      </w:r>
      <w:r w:rsidR="008643E1">
        <w:rPr>
          <w:rFonts w:ascii="Arial" w:hAnsi="Arial" w:cs="Arial"/>
          <w:lang w:val="sv-SE"/>
        </w:rPr>
        <w:t xml:space="preserve"> förutspås öka med 120</w:t>
      </w:r>
      <w:bookmarkStart w:id="0" w:name="_GoBack"/>
      <w:bookmarkEnd w:id="0"/>
      <w:r w:rsidRPr="009352AA">
        <w:rPr>
          <w:rFonts w:ascii="Arial" w:hAnsi="Arial" w:cs="Arial"/>
          <w:lang w:val="sv-SE"/>
        </w:rPr>
        <w:t xml:space="preserve"> procent fram till och med 2019, från 49,5 miljarder transaktioner 2015 till 108,8 miljarder transaktioner 2019. Mell</w:t>
      </w:r>
      <w:r w:rsidR="00195045">
        <w:rPr>
          <w:rFonts w:ascii="Arial" w:hAnsi="Arial" w:cs="Arial"/>
          <w:lang w:val="sv-SE"/>
        </w:rPr>
        <w:t xml:space="preserve">an 2014 och 2015 ökade antalet </w:t>
      </w:r>
      <w:r w:rsidRPr="009352AA">
        <w:rPr>
          <w:rFonts w:ascii="Arial" w:hAnsi="Arial" w:cs="Arial"/>
          <w:lang w:val="sv-SE"/>
        </w:rPr>
        <w:t>betalningar via mobilen med 41 procent</w:t>
      </w:r>
      <w:r w:rsidRPr="009352AA">
        <w:rPr>
          <w:rStyle w:val="Fotnotereferanse"/>
          <w:rFonts w:ascii="Arial" w:hAnsi="Arial" w:cs="Arial"/>
          <w:lang w:val="sv-SE"/>
        </w:rPr>
        <w:footnoteReference w:id="3"/>
      </w:r>
      <w:r w:rsidRPr="009352AA">
        <w:rPr>
          <w:rFonts w:ascii="Arial" w:hAnsi="Arial" w:cs="Arial"/>
          <w:lang w:val="sv-SE"/>
        </w:rPr>
        <w:t>.</w:t>
      </w:r>
    </w:p>
    <w:p w14:paraId="161B2299" w14:textId="77777777" w:rsidR="00DD7A62" w:rsidRPr="009352AA" w:rsidRDefault="00DD7A62" w:rsidP="00DD7A62">
      <w:pPr>
        <w:tabs>
          <w:tab w:val="left" w:pos="5580"/>
        </w:tabs>
        <w:spacing w:line="360" w:lineRule="auto"/>
        <w:rPr>
          <w:rFonts w:ascii="Arial" w:hAnsi="Arial" w:cs="Arial"/>
          <w:lang w:val="sv-SE"/>
        </w:rPr>
      </w:pPr>
    </w:p>
    <w:p w14:paraId="2A0AFCB5" w14:textId="77777777" w:rsidR="00DD7A62" w:rsidRPr="009352AA" w:rsidRDefault="00DD7A62" w:rsidP="00DD7A62">
      <w:pPr>
        <w:tabs>
          <w:tab w:val="left" w:pos="5580"/>
        </w:tabs>
        <w:spacing w:line="360" w:lineRule="auto"/>
        <w:rPr>
          <w:rFonts w:ascii="Arial" w:hAnsi="Arial" w:cs="Arial"/>
          <w:lang w:val="sv-SE"/>
        </w:rPr>
      </w:pPr>
      <w:r w:rsidRPr="009352AA">
        <w:rPr>
          <w:rFonts w:ascii="Arial" w:hAnsi="Arial" w:cs="Arial"/>
          <w:lang w:val="sv-SE"/>
        </w:rPr>
        <w:t>Kina är det land som leder utvecklingen av mobilbetalningar. Värdet av Kinas mobilbetalningar beräknas ha stigit till 10 biljoner kinesiska yen (motsvarande 1,45 biljoner USD) mellan 2014 och 2015. Den siffran förväntas öka till 22 biljoner kinesiska yen år 2022 (motsvarande 3,2 biljoner USD)</w:t>
      </w:r>
      <w:r w:rsidRPr="009352AA">
        <w:rPr>
          <w:rStyle w:val="Fotnotereferanse"/>
          <w:rFonts w:ascii="Arial" w:hAnsi="Arial" w:cs="Arial"/>
          <w:lang w:val="sv-SE"/>
        </w:rPr>
        <w:footnoteReference w:id="4"/>
      </w:r>
      <w:r w:rsidRPr="009352AA">
        <w:rPr>
          <w:rFonts w:ascii="Arial" w:hAnsi="Arial" w:cs="Arial"/>
          <w:lang w:val="sv-SE"/>
        </w:rPr>
        <w:t xml:space="preserve">. </w:t>
      </w:r>
    </w:p>
    <w:p w14:paraId="028D7D48" w14:textId="77777777" w:rsidR="00DD7A62" w:rsidRPr="009352AA" w:rsidRDefault="00DD7A62" w:rsidP="00DD7A62">
      <w:pPr>
        <w:tabs>
          <w:tab w:val="left" w:pos="5580"/>
        </w:tabs>
        <w:spacing w:line="360" w:lineRule="auto"/>
        <w:rPr>
          <w:rFonts w:ascii="Arial" w:hAnsi="Arial" w:cs="Arial"/>
          <w:lang w:val="sv-SE"/>
        </w:rPr>
      </w:pPr>
    </w:p>
    <w:p w14:paraId="090BD840" w14:textId="248A6669" w:rsidR="00DD7A62" w:rsidRPr="009352AA" w:rsidRDefault="00DD7A62" w:rsidP="00DD7A62">
      <w:pPr>
        <w:spacing w:line="360" w:lineRule="auto"/>
        <w:rPr>
          <w:rFonts w:ascii="Arial" w:hAnsi="Arial" w:cs="Arial"/>
          <w:i/>
          <w:lang w:val="sv-SE"/>
        </w:rPr>
      </w:pPr>
      <w:r w:rsidRPr="009352AA">
        <w:rPr>
          <w:rFonts w:ascii="Arial" w:hAnsi="Arial" w:cs="Arial"/>
          <w:i/>
          <w:lang w:val="sv-SE"/>
        </w:rPr>
        <w:t>«Kina är först ut i en utveckling där kunden istället för handlaren eller banken styr vilket betalningssätt som används. Där finns betalningslösningar som WeChat och Alipay, som tillsammans har flera hundra miljoner användare. Under 2016 möjliggjorde dessa två aktörer transaktioner värda 3,2 miljarder dollar, bara i Kina. Det är enorma summor i svenska mått mätt och en tjugofaldig ökning på bara fyra år</w:t>
      </w:r>
      <w:r w:rsidR="00195045" w:rsidRPr="009352AA">
        <w:rPr>
          <w:rFonts w:ascii="Arial" w:hAnsi="Arial" w:cs="Arial"/>
          <w:i/>
          <w:lang w:val="sv-SE"/>
        </w:rPr>
        <w:t>»</w:t>
      </w:r>
      <w:r w:rsidRPr="009352AA">
        <w:rPr>
          <w:rFonts w:ascii="Arial" w:hAnsi="Arial" w:cs="Arial"/>
          <w:i/>
          <w:lang w:val="sv-SE"/>
        </w:rPr>
        <w:t xml:space="preserve"> säger Pascal Olin.</w:t>
      </w:r>
    </w:p>
    <w:p w14:paraId="2673BF5C" w14:textId="77777777" w:rsidR="00DD7A62" w:rsidRPr="009352AA" w:rsidRDefault="00DD7A62" w:rsidP="00DD7A62">
      <w:pPr>
        <w:tabs>
          <w:tab w:val="left" w:pos="5580"/>
        </w:tabs>
        <w:spacing w:line="360" w:lineRule="auto"/>
        <w:rPr>
          <w:rFonts w:ascii="Arial" w:hAnsi="Arial" w:cs="Arial"/>
          <w:i/>
          <w:lang w:val="sv-SE"/>
        </w:rPr>
      </w:pPr>
    </w:p>
    <w:p w14:paraId="4180E80E" w14:textId="77777777" w:rsidR="00DD7A62" w:rsidRPr="009352AA" w:rsidRDefault="00DD7A62" w:rsidP="00DD7A62">
      <w:pPr>
        <w:tabs>
          <w:tab w:val="left" w:pos="5580"/>
        </w:tabs>
        <w:spacing w:line="360" w:lineRule="auto"/>
        <w:rPr>
          <w:rFonts w:ascii="Arial" w:hAnsi="Arial" w:cs="Arial"/>
          <w:lang w:val="sv-SE"/>
        </w:rPr>
      </w:pPr>
      <w:r w:rsidRPr="009352AA">
        <w:rPr>
          <w:rFonts w:ascii="Arial" w:hAnsi="Arial" w:cs="Arial"/>
          <w:lang w:val="sv-SE"/>
        </w:rPr>
        <w:t xml:space="preserve">Utmärkande för de kinesiska mobila betalningsjättarna är att de gått direkt på mobilen som plattform. Det är en trend som förväntas bli ännu viktigare i en tid när </w:t>
      </w:r>
      <w:r w:rsidRPr="00195045">
        <w:rPr>
          <w:rFonts w:ascii="Arial" w:hAnsi="Arial" w:cs="Arial"/>
          <w:color w:val="000000" w:themeColor="text1"/>
          <w:lang w:val="sv-SE"/>
        </w:rPr>
        <w:t>internet of things</w:t>
      </w:r>
      <w:r w:rsidRPr="009352AA">
        <w:rPr>
          <w:rFonts w:ascii="Arial" w:hAnsi="Arial" w:cs="Arial"/>
          <w:lang w:val="sv-SE"/>
        </w:rPr>
        <w:t xml:space="preserve"> och teknik som exempelvis blockchain förväntas utmana det existerande ekosystemet för betalningar. Capgemini ser en utveckling där betalningen inte längre bara är en transaktion utan istället en viktig del av konsumenternas köpupplevelse, oavsett om köpet görs online eller i fysisk butik. </w:t>
      </w:r>
    </w:p>
    <w:p w14:paraId="09534229" w14:textId="77777777" w:rsidR="00DD7A62" w:rsidRPr="009352AA" w:rsidRDefault="00DD7A62" w:rsidP="00DD7A62">
      <w:pPr>
        <w:tabs>
          <w:tab w:val="left" w:pos="5580"/>
        </w:tabs>
        <w:spacing w:line="360" w:lineRule="auto"/>
        <w:rPr>
          <w:rFonts w:ascii="Arial" w:hAnsi="Arial"/>
          <w:i/>
          <w:lang w:val="sv-SE"/>
        </w:rPr>
      </w:pPr>
    </w:p>
    <w:p w14:paraId="5A1DCB40" w14:textId="2986FB7B" w:rsidR="00DD7A62" w:rsidRPr="009352AA" w:rsidRDefault="00127B55" w:rsidP="00DD7A62">
      <w:pPr>
        <w:spacing w:line="360" w:lineRule="auto"/>
        <w:rPr>
          <w:rFonts w:ascii="Arial" w:hAnsi="Arial" w:cs="Arial"/>
          <w:i/>
          <w:lang w:val="sv-SE"/>
        </w:rPr>
      </w:pPr>
      <w:r w:rsidRPr="009352AA">
        <w:rPr>
          <w:rFonts w:ascii="Arial" w:hAnsi="Arial" w:cs="Arial"/>
          <w:i/>
          <w:lang w:val="sv-SE"/>
        </w:rPr>
        <w:t>«</w:t>
      </w:r>
      <w:r w:rsidR="00DD7A62" w:rsidRPr="009352AA">
        <w:rPr>
          <w:rFonts w:ascii="Arial" w:hAnsi="Arial" w:cs="Arial"/>
          <w:i/>
          <w:lang w:val="sv-SE"/>
        </w:rPr>
        <w:t>Framtidens vinnare på betalningsmarknaden är den aktör som kan erbjuda betalningar digitalt och i realtid, både online och i fysisk butik, helst utan att du märker det. De måste vara enkla och kostnadseffektiva att använda för både konsument och handlare. Facebook Messenger har redan börjat experimentera med betalningar i USA och de stora kinesiska spelarna expanderar. Icke att förglömma är Apple Pay som är på ingång och Samsung Pay som finns i Sverige sedan i våras. Det blir intressant att se hur våra svenska banker samt företag som Izettle och Klarna han</w:t>
      </w:r>
      <w:r w:rsidR="00195045">
        <w:rPr>
          <w:rFonts w:ascii="Arial" w:hAnsi="Arial" w:cs="Arial"/>
          <w:i/>
          <w:lang w:val="sv-SE"/>
        </w:rPr>
        <w:t>terar utmaningarna på hemmaplan</w:t>
      </w:r>
      <w:r w:rsidRPr="009352AA">
        <w:rPr>
          <w:rFonts w:ascii="Arial" w:hAnsi="Arial" w:cs="Arial"/>
          <w:i/>
          <w:lang w:val="sv-SE"/>
        </w:rPr>
        <w:t>»</w:t>
      </w:r>
      <w:r w:rsidR="00DD7A62" w:rsidRPr="009352AA">
        <w:rPr>
          <w:rFonts w:ascii="Arial" w:hAnsi="Arial" w:cs="Arial"/>
          <w:i/>
          <w:lang w:val="sv-SE"/>
        </w:rPr>
        <w:t xml:space="preserve"> säger Pascal Olin.</w:t>
      </w:r>
    </w:p>
    <w:p w14:paraId="194F4E7D" w14:textId="77777777" w:rsidR="00983AFD" w:rsidRPr="009352AA" w:rsidRDefault="00983AFD" w:rsidP="00983AFD">
      <w:pPr>
        <w:spacing w:line="360" w:lineRule="auto"/>
        <w:jc w:val="both"/>
        <w:rPr>
          <w:rFonts w:ascii="Arial" w:hAnsi="Arial" w:cs="Arial"/>
          <w:lang w:val="sv-SE"/>
        </w:rPr>
      </w:pPr>
    </w:p>
    <w:p w14:paraId="391A2215" w14:textId="450B8B11" w:rsidR="00DD7A62" w:rsidRPr="009352AA" w:rsidRDefault="00127B55" w:rsidP="00195045">
      <w:pPr>
        <w:spacing w:line="360" w:lineRule="auto"/>
        <w:rPr>
          <w:rFonts w:ascii="Arial" w:hAnsi="Arial" w:cs="Arial"/>
          <w:b/>
          <w:lang w:val="sv-SE"/>
        </w:rPr>
      </w:pPr>
      <w:r w:rsidRPr="009352AA">
        <w:rPr>
          <w:rFonts w:ascii="Arial" w:hAnsi="Arial" w:cs="Arial"/>
          <w:iCs/>
          <w:lang w:val="sv-SE"/>
        </w:rPr>
        <w:t>I kombination med</w:t>
      </w:r>
      <w:r w:rsidR="009352AA">
        <w:rPr>
          <w:rFonts w:ascii="Arial" w:hAnsi="Arial" w:cs="Arial"/>
          <w:iCs/>
          <w:lang w:val="sv-SE"/>
        </w:rPr>
        <w:t xml:space="preserve"> att</w:t>
      </w:r>
      <w:r w:rsidRPr="009352AA">
        <w:rPr>
          <w:rFonts w:ascii="Arial" w:hAnsi="Arial" w:cs="Arial"/>
          <w:iCs/>
          <w:lang w:val="sv-SE"/>
        </w:rPr>
        <w:t xml:space="preserve"> tjänster och produkter utvecklas kommer också ett antal nya regelverk, exempelvis PSD2, som syftar till att standardisera och integrera betalningsmarknaden. Rapporten belyser dess påverkan men också risken kring brist av samordning vilket kan hota förväntad standardisering och transparens</w:t>
      </w:r>
      <w:r w:rsidR="00195045">
        <w:rPr>
          <w:rFonts w:ascii="Arial" w:hAnsi="Arial" w:cs="Arial"/>
          <w:iCs/>
          <w:lang w:val="sv-SE"/>
        </w:rPr>
        <w:t>.</w:t>
      </w:r>
    </w:p>
    <w:p w14:paraId="3A9A416B" w14:textId="77777777" w:rsidR="00DD7A62" w:rsidRPr="009352AA" w:rsidRDefault="00DD7A62" w:rsidP="00DD7A62">
      <w:pPr>
        <w:spacing w:line="276" w:lineRule="auto"/>
        <w:rPr>
          <w:rFonts w:ascii="Arial" w:hAnsi="Arial" w:cs="Arial"/>
          <w:b/>
          <w:lang w:val="sv-SE"/>
        </w:rPr>
      </w:pPr>
    </w:p>
    <w:p w14:paraId="5F385D82" w14:textId="77777777" w:rsidR="00DD7A62" w:rsidRPr="009352AA" w:rsidRDefault="00DD7A62" w:rsidP="00DD7A62">
      <w:pPr>
        <w:spacing w:line="276" w:lineRule="auto"/>
        <w:rPr>
          <w:rFonts w:ascii="Arial" w:hAnsi="Arial" w:cs="Arial"/>
          <w:b/>
          <w:lang w:val="sv-SE"/>
        </w:rPr>
      </w:pPr>
      <w:r w:rsidRPr="009352AA">
        <w:rPr>
          <w:rFonts w:ascii="Arial" w:hAnsi="Arial" w:cs="Arial"/>
          <w:b/>
          <w:lang w:val="sv-SE"/>
        </w:rPr>
        <w:t>Om World Payments Report 2017</w:t>
      </w:r>
    </w:p>
    <w:p w14:paraId="10682364" w14:textId="1F9097E2" w:rsidR="00DD7A62" w:rsidRPr="009352AA" w:rsidRDefault="00DD7A62" w:rsidP="00DD7A62">
      <w:pPr>
        <w:spacing w:line="276" w:lineRule="auto"/>
        <w:rPr>
          <w:rFonts w:ascii="Arial" w:hAnsi="Arial" w:cs="Arial"/>
          <w:lang w:val="sv-SE"/>
        </w:rPr>
      </w:pPr>
      <w:r w:rsidRPr="009352AA">
        <w:rPr>
          <w:rFonts w:ascii="Arial" w:hAnsi="Arial" w:cs="Arial"/>
          <w:lang w:val="sv-SE"/>
        </w:rPr>
        <w:t>I mer än ett decennium har Capgeminis och BNP Paribas</w:t>
      </w:r>
      <w:r w:rsidRPr="009352AA">
        <w:rPr>
          <w:rStyle w:val="Fotnotereferanse"/>
          <w:rFonts w:ascii="Arial" w:hAnsi="Arial" w:cs="Arial"/>
          <w:lang w:val="sv-SE"/>
        </w:rPr>
        <w:footnoteReference w:id="5"/>
      </w:r>
      <w:r w:rsidRPr="009352AA">
        <w:rPr>
          <w:rFonts w:ascii="Arial" w:hAnsi="Arial" w:cs="Arial"/>
          <w:lang w:val="sv-SE"/>
        </w:rPr>
        <w:t xml:space="preserve"> </w:t>
      </w:r>
      <w:hyperlink r:id="rId13" w:history="1">
        <w:r w:rsidRPr="009352AA">
          <w:rPr>
            <w:rStyle w:val="Hyperkobling"/>
            <w:rFonts w:ascii="Arial" w:hAnsi="Arial"/>
            <w:b/>
            <w:lang w:val="sv-SE"/>
          </w:rPr>
          <w:t>World Payments Report</w:t>
        </w:r>
      </w:hyperlink>
      <w:r w:rsidRPr="009352AA">
        <w:rPr>
          <w:rFonts w:ascii="Arial" w:hAnsi="Arial" w:cs="Arial"/>
          <w:lang w:val="sv-SE"/>
        </w:rPr>
        <w:t xml:space="preserve"> varit källa till viktiga data, trender och kommentarer om globala och regionala icke-kontanta betalningar och till centrala reglerande och branschinitiativ som styr dem. Årets rapport undersöker hur digital innovation påverkar företag och banker och ger insikter i form av en webbenkät och djupintervjuer med beslutsfattare som genomfördes i juni 2017.</w:t>
      </w:r>
    </w:p>
    <w:p w14:paraId="06225AAB" w14:textId="77777777" w:rsidR="00DD7A62" w:rsidRPr="009352AA" w:rsidRDefault="00DD7A62" w:rsidP="00DD7A62">
      <w:pPr>
        <w:spacing w:line="276" w:lineRule="auto"/>
        <w:rPr>
          <w:rFonts w:ascii="Arial" w:hAnsi="Arial" w:cs="Arial"/>
          <w:szCs w:val="22"/>
          <w:lang w:val="sv-SE"/>
        </w:rPr>
      </w:pPr>
    </w:p>
    <w:p w14:paraId="6EFD1375" w14:textId="77777777" w:rsidR="00DD7A62" w:rsidRPr="009352AA" w:rsidRDefault="00DD7A62" w:rsidP="00DD7A62">
      <w:pPr>
        <w:spacing w:line="276" w:lineRule="auto"/>
        <w:rPr>
          <w:rStyle w:val="Hyperkobling"/>
          <w:rFonts w:ascii="Arial" w:hAnsi="Arial" w:cs="Arial"/>
          <w:lang w:val="sv-SE"/>
        </w:rPr>
      </w:pPr>
      <w:r w:rsidRPr="009352AA">
        <w:rPr>
          <w:rFonts w:ascii="Arial" w:hAnsi="Arial" w:cs="Arial"/>
          <w:szCs w:val="22"/>
          <w:lang w:val="sv-SE"/>
        </w:rPr>
        <w:t>World Payments Report 2017 kan laddas ned från</w:t>
      </w:r>
      <w:r w:rsidRPr="009352AA">
        <w:rPr>
          <w:rFonts w:ascii="Arial" w:hAnsi="Arial" w:cs="Arial"/>
          <w:lang w:val="sv-SE"/>
        </w:rPr>
        <w:t xml:space="preserve"> </w:t>
      </w:r>
      <w:hyperlink r:id="rId14" w:history="1">
        <w:r w:rsidRPr="009352AA">
          <w:rPr>
            <w:rStyle w:val="Hyperkobling"/>
            <w:rFonts w:ascii="Arial" w:hAnsi="Arial" w:cs="Arial"/>
            <w:lang w:val="sv-SE"/>
          </w:rPr>
          <w:t>www.worldpaymentsreport.com</w:t>
        </w:r>
      </w:hyperlink>
    </w:p>
    <w:p w14:paraId="7DE05853" w14:textId="77777777" w:rsidR="00DD7A62" w:rsidRPr="009352AA" w:rsidRDefault="00DD7A62" w:rsidP="00DD7A62">
      <w:pPr>
        <w:pStyle w:val="NormalWeb"/>
        <w:shd w:val="clear" w:color="auto" w:fill="FFFFFF"/>
        <w:spacing w:before="0" w:beforeAutospacing="0" w:after="0" w:afterAutospacing="0" w:line="276" w:lineRule="auto"/>
        <w:textAlignment w:val="baseline"/>
        <w:rPr>
          <w:rStyle w:val="Sterk"/>
          <w:rFonts w:ascii="Arial" w:hAnsi="Arial" w:cs="Arial"/>
          <w:sz w:val="20"/>
          <w:szCs w:val="22"/>
          <w:lang w:val="sv-SE"/>
        </w:rPr>
      </w:pPr>
    </w:p>
    <w:p w14:paraId="22A96CDA" w14:textId="77777777" w:rsidR="00DD7A62" w:rsidRPr="009352AA" w:rsidRDefault="00DD7A62" w:rsidP="00DD7A62">
      <w:pPr>
        <w:pStyle w:val="NormalWeb"/>
        <w:spacing w:before="0" w:beforeAutospacing="0" w:after="0" w:afterAutospacing="0" w:line="276" w:lineRule="auto"/>
        <w:rPr>
          <w:rFonts w:ascii="Arial" w:hAnsi="Arial" w:cs="Arial"/>
          <w:sz w:val="20"/>
          <w:szCs w:val="20"/>
          <w:lang w:val="sv-SE"/>
        </w:rPr>
      </w:pPr>
      <w:r w:rsidRPr="009352AA">
        <w:rPr>
          <w:rStyle w:val="Sterk"/>
          <w:rFonts w:ascii="Arial" w:hAnsi="Arial" w:cs="Arial"/>
          <w:sz w:val="20"/>
          <w:szCs w:val="20"/>
          <w:lang w:val="sv-SE"/>
        </w:rPr>
        <w:t>Om Capgemini</w:t>
      </w:r>
    </w:p>
    <w:p w14:paraId="58C1B50B" w14:textId="77777777" w:rsidR="00DD7A62" w:rsidRPr="009352AA" w:rsidRDefault="00DD7A62" w:rsidP="00DD7A62">
      <w:pPr>
        <w:pStyle w:val="NormalWeb"/>
        <w:spacing w:before="0" w:beforeAutospacing="0" w:after="0" w:afterAutospacing="0" w:line="276" w:lineRule="auto"/>
        <w:rPr>
          <w:rFonts w:ascii="Arial" w:hAnsi="Arial" w:cs="Arial"/>
          <w:color w:val="555555"/>
          <w:sz w:val="20"/>
          <w:szCs w:val="20"/>
          <w:lang w:val="sv-SE"/>
        </w:rPr>
      </w:pPr>
      <w:r w:rsidRPr="009352AA">
        <w:rPr>
          <w:rFonts w:ascii="Arial" w:hAnsi="Arial" w:cs="Arial"/>
          <w:sz w:val="20"/>
          <w:szCs w:val="20"/>
          <w:lang w:val="sv-SE"/>
        </w:rPr>
        <w:t xml:space="preserve">Med fler än 190 000 anställda i 40 länder firar Capgemini 50 års jubileum i 2017. Som en av världens främsta leverantörer av management-, teknik- och outsourcingtjänster, rapporterade gruppen i 2016 en omsättning på 12,5 miljarder Euro. Tillsammans med våra kunder, skapar och levererar vi på Capgemini verksamhets-, teknik- och digitala lösningar som motsvarar kundernas affärsbehov och möjliggör innovation och konkurrenskraft. En stark multikulturell organisation har gett oss möjligheten att utveckla ett unikt sätt att samarbeta, </w:t>
      </w:r>
      <w:hyperlink r:id="rId15" w:history="1">
        <w:r w:rsidRPr="009352AA">
          <w:rPr>
            <w:rStyle w:val="Hyperkobling"/>
            <w:rFonts w:ascii="Arial" w:hAnsi="Arial" w:cs="Arial"/>
            <w:sz w:val="20"/>
            <w:szCs w:val="20"/>
            <w:lang w:val="sv-SE"/>
          </w:rPr>
          <w:t>the Collaborative Business Experience</w:t>
        </w:r>
        <w:r w:rsidRPr="009352AA">
          <w:rPr>
            <w:rStyle w:val="Hyperkobling"/>
            <w:rFonts w:ascii="Arial" w:hAnsi="Arial" w:cs="Arial"/>
            <w:sz w:val="20"/>
            <w:szCs w:val="20"/>
            <w:vertAlign w:val="superscript"/>
            <w:lang w:val="sv-SE"/>
          </w:rPr>
          <w:t>TM</w:t>
        </w:r>
      </w:hyperlink>
      <w:r w:rsidRPr="009352AA">
        <w:rPr>
          <w:rFonts w:ascii="Arial" w:hAnsi="Arial" w:cs="Arial"/>
          <w:sz w:val="20"/>
          <w:szCs w:val="20"/>
          <w:lang w:val="sv-SE"/>
        </w:rPr>
        <w:t xml:space="preserve">, som bygger på </w:t>
      </w:r>
    </w:p>
    <w:p w14:paraId="1A4B5CA3" w14:textId="77777777" w:rsidR="00DD7A62" w:rsidRPr="009352AA" w:rsidRDefault="0017031A" w:rsidP="00DD7A62">
      <w:pPr>
        <w:pStyle w:val="NormalWeb"/>
        <w:spacing w:before="0" w:beforeAutospacing="0" w:after="0" w:afterAutospacing="0" w:line="276" w:lineRule="auto"/>
        <w:rPr>
          <w:rFonts w:ascii="Arial" w:hAnsi="Arial" w:cs="Arial"/>
          <w:sz w:val="20"/>
          <w:szCs w:val="20"/>
          <w:lang w:val="sv-SE"/>
        </w:rPr>
      </w:pPr>
      <w:hyperlink r:id="rId16" w:history="1">
        <w:r w:rsidR="00DD7A62" w:rsidRPr="009352AA">
          <w:rPr>
            <w:rStyle w:val="Hyperkobling"/>
            <w:rFonts w:ascii="Arial" w:hAnsi="Arial" w:cs="Arial"/>
            <w:iCs/>
            <w:sz w:val="20"/>
            <w:szCs w:val="20"/>
            <w:lang w:val="sv-SE"/>
          </w:rPr>
          <w:t>Rightshore</w:t>
        </w:r>
        <w:r w:rsidR="00DD7A62" w:rsidRPr="009352AA">
          <w:rPr>
            <w:rStyle w:val="Sterk"/>
            <w:rFonts w:ascii="Arial" w:hAnsi="Arial" w:cs="Arial"/>
            <w:iCs/>
            <w:color w:val="0000FF"/>
            <w:sz w:val="20"/>
            <w:szCs w:val="20"/>
            <w:u w:val="single"/>
            <w:vertAlign w:val="superscript"/>
            <w:lang w:val="sv-SE"/>
          </w:rPr>
          <w:t>®</w:t>
        </w:r>
      </w:hyperlink>
      <w:r w:rsidR="00DD7A62" w:rsidRPr="009352AA">
        <w:rPr>
          <w:rFonts w:ascii="Arial" w:hAnsi="Arial" w:cs="Arial"/>
          <w:color w:val="555555"/>
          <w:sz w:val="20"/>
          <w:szCs w:val="20"/>
          <w:lang w:val="sv-SE"/>
        </w:rPr>
        <w:t xml:space="preserve">, </w:t>
      </w:r>
      <w:r w:rsidR="00DD7A62" w:rsidRPr="009352AA">
        <w:rPr>
          <w:rFonts w:ascii="Arial" w:hAnsi="Arial" w:cs="Arial"/>
          <w:sz w:val="20"/>
          <w:szCs w:val="20"/>
          <w:lang w:val="sv-SE"/>
        </w:rPr>
        <w:t>vår globala leveransmodell.</w:t>
      </w:r>
    </w:p>
    <w:p w14:paraId="582D936F" w14:textId="77777777" w:rsidR="00DD7A62" w:rsidRPr="009352AA" w:rsidRDefault="00DD7A62" w:rsidP="00DD7A62">
      <w:pPr>
        <w:pStyle w:val="NormalWeb"/>
        <w:spacing w:before="0" w:beforeAutospacing="0" w:line="276" w:lineRule="auto"/>
        <w:rPr>
          <w:rFonts w:ascii="Arial" w:hAnsi="Arial" w:cs="Arial"/>
          <w:sz w:val="20"/>
          <w:szCs w:val="20"/>
          <w:lang w:val="sv-SE"/>
        </w:rPr>
      </w:pPr>
      <w:r w:rsidRPr="009352AA">
        <w:rPr>
          <w:rFonts w:ascii="Arial" w:hAnsi="Arial" w:cs="Arial"/>
          <w:sz w:val="20"/>
          <w:szCs w:val="20"/>
          <w:lang w:val="sv-SE"/>
        </w:rPr>
        <w:t>Läs mer på www.se.capgemini.com</w:t>
      </w:r>
    </w:p>
    <w:p w14:paraId="733816B9" w14:textId="03619408" w:rsidR="00DD7A62" w:rsidRPr="009352AA" w:rsidRDefault="00DD7A62" w:rsidP="00430D65">
      <w:pPr>
        <w:pStyle w:val="NormalWeb"/>
        <w:spacing w:before="0" w:beforeAutospacing="0" w:line="276" w:lineRule="auto"/>
        <w:rPr>
          <w:rFonts w:ascii="Arial" w:hAnsi="Arial" w:cs="Arial"/>
          <w:i/>
          <w:sz w:val="20"/>
          <w:szCs w:val="20"/>
          <w:lang w:val="sv-SE"/>
        </w:rPr>
      </w:pPr>
      <w:r w:rsidRPr="009352AA">
        <w:rPr>
          <w:rFonts w:ascii="Arial" w:hAnsi="Arial" w:cs="Arial"/>
          <w:i/>
          <w:sz w:val="20"/>
          <w:szCs w:val="20"/>
          <w:lang w:val="sv-SE"/>
        </w:rPr>
        <w:t>Rightshore® är ett registrerat varumärke som tillhör Capgemini</w:t>
      </w:r>
    </w:p>
    <w:sectPr w:rsidR="00DD7A62" w:rsidRPr="009352AA" w:rsidSect="00A45131">
      <w:footerReference w:type="even" r:id="rId17"/>
      <w:footerReference w:type="default" r:id="rId18"/>
      <w:headerReference w:type="first" r:id="rId19"/>
      <w:footerReference w:type="first" r:id="rId20"/>
      <w:type w:val="continuous"/>
      <w:pgSz w:w="11906" w:h="16838" w:code="9"/>
      <w:pgMar w:top="680" w:right="1140" w:bottom="692" w:left="11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55D5E" w14:textId="77777777" w:rsidR="0017031A" w:rsidRDefault="0017031A">
      <w:r>
        <w:separator/>
      </w:r>
    </w:p>
  </w:endnote>
  <w:endnote w:type="continuationSeparator" w:id="0">
    <w:p w14:paraId="0D7F96B0" w14:textId="77777777" w:rsidR="0017031A" w:rsidRDefault="0017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B37C7" w14:textId="77777777" w:rsidR="001571D6" w:rsidRDefault="001571D6" w:rsidP="00DD2F2C">
    <w:pPr>
      <w:pStyle w:val="Bunntekst"/>
      <w:rPr>
        <w:rFonts w:ascii="Arial" w:hAnsi="Arial" w:cs="Arial"/>
        <w:i/>
        <w:sz w:val="16"/>
        <w:lang w:val="en-GB"/>
      </w:rPr>
    </w:pPr>
  </w:p>
  <w:p w14:paraId="7FF77B4C" w14:textId="0CAE0910" w:rsidR="00DD2F2C" w:rsidRPr="001558EF" w:rsidRDefault="00DD2F2C" w:rsidP="00DD2F2C">
    <w:pPr>
      <w:pStyle w:val="Bunntekst"/>
      <w:rPr>
        <w:rFonts w:ascii="Arial" w:hAnsi="Arial" w:cs="Arial"/>
        <w:i/>
        <w:sz w:val="16"/>
        <w:lang w:val="en-GB"/>
      </w:rPr>
    </w:pPr>
    <w:proofErr w:type="spellStart"/>
    <w:r w:rsidRPr="001558EF">
      <w:rPr>
        <w:rFonts w:ascii="Arial" w:hAnsi="Arial" w:cs="Arial"/>
        <w:i/>
        <w:sz w:val="16"/>
        <w:lang w:val="en-GB"/>
      </w:rPr>
      <w:t>Press</w:t>
    </w:r>
    <w:r w:rsidR="00DD7A62">
      <w:rPr>
        <w:rFonts w:ascii="Arial" w:hAnsi="Arial" w:cs="Arial"/>
        <w:i/>
        <w:sz w:val="16"/>
        <w:lang w:val="en-GB"/>
      </w:rPr>
      <w:t>meddelande</w:t>
    </w:r>
    <w:proofErr w:type="spellEnd"/>
  </w:p>
  <w:p w14:paraId="544200AE" w14:textId="77777777" w:rsidR="00DD2F2C" w:rsidRPr="00DD2F2C" w:rsidRDefault="00DD2F2C" w:rsidP="00DD2F2C">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BA885" w14:textId="77777777" w:rsidR="00DD2F2C" w:rsidRPr="001558EF" w:rsidRDefault="00DD2F2C" w:rsidP="00DD2F2C">
    <w:pPr>
      <w:pStyle w:val="Bunntekst"/>
      <w:rPr>
        <w:rFonts w:ascii="Arial" w:hAnsi="Arial" w:cs="Arial"/>
        <w:i/>
        <w:sz w:val="16"/>
        <w:lang w:val="en-GB"/>
      </w:rPr>
    </w:pPr>
    <w:r w:rsidRPr="001558EF">
      <w:rPr>
        <w:rFonts w:ascii="Arial" w:hAnsi="Arial" w:cs="Arial"/>
        <w:i/>
        <w:sz w:val="16"/>
        <w:lang w:val="en-GB"/>
      </w:rPr>
      <w:t>Press Release</w:t>
    </w:r>
  </w:p>
  <w:p w14:paraId="2BBCB27D" w14:textId="77777777" w:rsidR="008F4B2A" w:rsidRPr="00513975" w:rsidRDefault="008F4B2A" w:rsidP="00513975">
    <w:pPr>
      <w:pStyle w:val="Footer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51655" w14:textId="77777777" w:rsidR="00011FBB" w:rsidRDefault="00011FBB">
    <w:pPr>
      <w:pStyle w:val="Bunntekst"/>
      <w:rPr>
        <w:rFonts w:ascii="Arial" w:hAnsi="Arial" w:cs="Arial"/>
        <w:i/>
        <w:sz w:val="16"/>
        <w:lang w:val="en-GB"/>
      </w:rPr>
    </w:pPr>
  </w:p>
  <w:p w14:paraId="59F16AFB" w14:textId="679D5603" w:rsidR="00844A13" w:rsidRPr="003819E0" w:rsidRDefault="00844A13">
    <w:pPr>
      <w:pStyle w:val="Bunntekst"/>
      <w:rPr>
        <w:rFonts w:ascii="Arial" w:hAnsi="Arial" w:cs="Arial"/>
        <w:i/>
        <w:sz w:val="16"/>
        <w:lang w:val="en-GB"/>
      </w:rPr>
    </w:pPr>
    <w:proofErr w:type="spellStart"/>
    <w:r w:rsidRPr="003819E0">
      <w:rPr>
        <w:rFonts w:ascii="Arial" w:hAnsi="Arial" w:cs="Arial"/>
        <w:i/>
        <w:sz w:val="16"/>
        <w:lang w:val="en-GB"/>
      </w:rPr>
      <w:t>P</w:t>
    </w:r>
    <w:r w:rsidR="00DD7A62">
      <w:rPr>
        <w:rFonts w:ascii="Arial" w:hAnsi="Arial" w:cs="Arial"/>
        <w:i/>
        <w:sz w:val="16"/>
        <w:lang w:val="en-GB"/>
      </w:rPr>
      <w:t>ressmeddelande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AF8B6" w14:textId="77777777" w:rsidR="0017031A" w:rsidRDefault="0017031A">
      <w:r>
        <w:separator/>
      </w:r>
    </w:p>
  </w:footnote>
  <w:footnote w:type="continuationSeparator" w:id="0">
    <w:p w14:paraId="3D74170F" w14:textId="77777777" w:rsidR="0017031A" w:rsidRDefault="0017031A">
      <w:r>
        <w:continuationSeparator/>
      </w:r>
    </w:p>
  </w:footnote>
  <w:footnote w:id="1">
    <w:p w14:paraId="77F235BB" w14:textId="77777777" w:rsidR="00DD7A62" w:rsidRPr="00C120BE" w:rsidRDefault="00DD7A62" w:rsidP="00DD7A62">
      <w:pPr>
        <w:pStyle w:val="Fotnotetekst"/>
        <w:rPr>
          <w:rFonts w:ascii="Arial" w:hAnsi="Arial" w:cs="Arial"/>
          <w:sz w:val="16"/>
          <w:szCs w:val="16"/>
        </w:rPr>
      </w:pPr>
      <w:r w:rsidRPr="00C120BE">
        <w:rPr>
          <w:rStyle w:val="Fotnotereferanse"/>
          <w:rFonts w:ascii="Arial" w:hAnsi="Arial" w:cs="Arial"/>
        </w:rPr>
        <w:footnoteRef/>
      </w:r>
      <w:r w:rsidRPr="00DD7A62">
        <w:rPr>
          <w:rFonts w:ascii="Arial" w:hAnsi="Arial" w:cs="Arial"/>
          <w:sz w:val="16"/>
          <w:szCs w:val="16"/>
          <w:lang w:val="nb-NO"/>
        </w:rPr>
        <w:t xml:space="preserve"> </w:t>
      </w:r>
      <w:proofErr w:type="spellStart"/>
      <w:r w:rsidRPr="00DD7A62">
        <w:rPr>
          <w:rFonts w:ascii="Arial" w:hAnsi="Arial" w:cs="Arial"/>
          <w:sz w:val="16"/>
          <w:szCs w:val="16"/>
          <w:lang w:val="nb-NO"/>
        </w:rPr>
        <w:t>Siffran</w:t>
      </w:r>
      <w:proofErr w:type="spellEnd"/>
      <w:r w:rsidRPr="00DD7A62">
        <w:rPr>
          <w:rFonts w:ascii="Arial" w:hAnsi="Arial" w:cs="Arial"/>
          <w:sz w:val="16"/>
          <w:szCs w:val="16"/>
          <w:lang w:val="nb-NO"/>
        </w:rPr>
        <w:t xml:space="preserve"> </w:t>
      </w:r>
      <w:proofErr w:type="spellStart"/>
      <w:r w:rsidRPr="00DD7A62">
        <w:rPr>
          <w:rFonts w:ascii="Arial" w:hAnsi="Arial" w:cs="Arial"/>
          <w:sz w:val="16"/>
          <w:szCs w:val="16"/>
          <w:lang w:val="nb-NO"/>
        </w:rPr>
        <w:t>beräknad</w:t>
      </w:r>
      <w:proofErr w:type="spellEnd"/>
      <w:r w:rsidRPr="00DD7A62">
        <w:rPr>
          <w:rFonts w:ascii="Arial" w:hAnsi="Arial" w:cs="Arial"/>
          <w:sz w:val="16"/>
          <w:szCs w:val="16"/>
          <w:lang w:val="nb-NO"/>
        </w:rPr>
        <w:t xml:space="preserve"> på </w:t>
      </w:r>
      <w:proofErr w:type="spellStart"/>
      <w:r w:rsidRPr="00DD7A62">
        <w:rPr>
          <w:rFonts w:ascii="Arial" w:hAnsi="Arial" w:cs="Arial"/>
          <w:sz w:val="16"/>
          <w:szCs w:val="16"/>
          <w:lang w:val="nb-NO"/>
        </w:rPr>
        <w:t>befolkningsmängden</w:t>
      </w:r>
      <w:proofErr w:type="spellEnd"/>
      <w:r w:rsidRPr="00DD7A62">
        <w:rPr>
          <w:rFonts w:ascii="Arial" w:hAnsi="Arial" w:cs="Arial"/>
          <w:sz w:val="16"/>
          <w:szCs w:val="16"/>
          <w:lang w:val="nb-NO"/>
        </w:rPr>
        <w:t xml:space="preserve"> under kvartal 4 år 2015. </w:t>
      </w:r>
      <w:r w:rsidR="0017031A">
        <w:fldChar w:fldCharType="begin"/>
      </w:r>
      <w:r w:rsidR="0017031A" w:rsidRPr="008643E1">
        <w:rPr>
          <w:lang w:val="nb-NO"/>
        </w:rPr>
        <w:instrText xml:space="preserve"> HYPERLINK "https://www.scb.se/hitta-statistik/statistik-efter-amne/befolkning/befolkningens-sammansattning/befolkningsstatistik/pong/tabell-och-diagram/kvartals--och-halvarsstatistik--kommun-lan-och-riket/kvartal-4-2015/" </w:instrText>
      </w:r>
      <w:r w:rsidR="0017031A">
        <w:fldChar w:fldCharType="separate"/>
      </w:r>
      <w:r w:rsidRPr="00C120BE">
        <w:rPr>
          <w:rStyle w:val="Hyperkobling"/>
          <w:rFonts w:ascii="Arial" w:hAnsi="Arial" w:cs="Arial"/>
          <w:sz w:val="16"/>
          <w:szCs w:val="16"/>
        </w:rPr>
        <w:t>https://www.scb.se/hitta-statistik/statistik-efter-amne/befolkning/befolkningens-sammansattning/befolkningsstatistik/pong/tabell-och-diagram/kvartals--och-halvarsstatistik--kommun-lan-och-riket/kvartal-4-2015/</w:t>
      </w:r>
      <w:r w:rsidR="0017031A">
        <w:rPr>
          <w:rStyle w:val="Hyperkobling"/>
          <w:rFonts w:ascii="Arial" w:hAnsi="Arial" w:cs="Arial"/>
          <w:sz w:val="16"/>
          <w:szCs w:val="16"/>
        </w:rPr>
        <w:fldChar w:fldCharType="end"/>
      </w:r>
      <w:r w:rsidRPr="00C120BE">
        <w:rPr>
          <w:rFonts w:ascii="Arial" w:hAnsi="Arial" w:cs="Arial"/>
          <w:sz w:val="16"/>
          <w:szCs w:val="16"/>
        </w:rPr>
        <w:t xml:space="preserve"> </w:t>
      </w:r>
    </w:p>
  </w:footnote>
  <w:footnote w:id="2">
    <w:p w14:paraId="7F4E90D9" w14:textId="77777777" w:rsidR="00DD7A62" w:rsidRPr="00DD7A62" w:rsidRDefault="00DD7A62" w:rsidP="00DD7A62">
      <w:pPr>
        <w:pStyle w:val="Fotnotetekst"/>
        <w:rPr>
          <w:rFonts w:ascii="Arial" w:hAnsi="Arial" w:cs="Arial"/>
          <w:sz w:val="16"/>
          <w:szCs w:val="16"/>
          <w:lang w:val="nb-NO"/>
        </w:rPr>
      </w:pPr>
      <w:r w:rsidRPr="00C120BE">
        <w:rPr>
          <w:rStyle w:val="Fotnotereferanse"/>
          <w:rFonts w:ascii="Arial" w:hAnsi="Arial" w:cs="Arial"/>
        </w:rPr>
        <w:footnoteRef/>
      </w:r>
      <w:r w:rsidRPr="00DD7A62">
        <w:rPr>
          <w:rFonts w:ascii="Arial" w:hAnsi="Arial" w:cs="Arial"/>
          <w:sz w:val="16"/>
          <w:szCs w:val="16"/>
          <w:lang w:val="nb-NO"/>
        </w:rPr>
        <w:t xml:space="preserve"> </w:t>
      </w:r>
      <w:proofErr w:type="spellStart"/>
      <w:r w:rsidRPr="00DD7A62">
        <w:rPr>
          <w:rFonts w:ascii="Arial" w:hAnsi="Arial" w:cs="Arial"/>
          <w:sz w:val="16"/>
          <w:szCs w:val="16"/>
          <w:lang w:val="nb-NO"/>
        </w:rPr>
        <w:t>Mobila</w:t>
      </w:r>
      <w:proofErr w:type="spellEnd"/>
      <w:r w:rsidRPr="00DD7A62">
        <w:rPr>
          <w:rFonts w:ascii="Arial" w:hAnsi="Arial" w:cs="Arial"/>
          <w:sz w:val="16"/>
          <w:szCs w:val="16"/>
          <w:lang w:val="nb-NO"/>
        </w:rPr>
        <w:t xml:space="preserve"> </w:t>
      </w:r>
      <w:proofErr w:type="spellStart"/>
      <w:r w:rsidRPr="00DD7A62">
        <w:rPr>
          <w:rFonts w:ascii="Arial" w:hAnsi="Arial" w:cs="Arial"/>
          <w:sz w:val="16"/>
          <w:szCs w:val="16"/>
          <w:lang w:val="nb-NO"/>
        </w:rPr>
        <w:t>betalningar</w:t>
      </w:r>
      <w:proofErr w:type="spellEnd"/>
      <w:r w:rsidRPr="00DD7A62">
        <w:rPr>
          <w:rFonts w:ascii="Arial" w:hAnsi="Arial" w:cs="Arial"/>
          <w:sz w:val="16"/>
          <w:szCs w:val="16"/>
          <w:lang w:val="nb-NO"/>
        </w:rPr>
        <w:t xml:space="preserve"> </w:t>
      </w:r>
      <w:proofErr w:type="spellStart"/>
      <w:r w:rsidRPr="00DD7A62">
        <w:rPr>
          <w:rFonts w:ascii="Arial" w:hAnsi="Arial" w:cs="Arial"/>
          <w:sz w:val="16"/>
          <w:szCs w:val="16"/>
          <w:lang w:val="nb-NO"/>
        </w:rPr>
        <w:t>definieras</w:t>
      </w:r>
      <w:proofErr w:type="spellEnd"/>
      <w:r w:rsidRPr="00DD7A62">
        <w:rPr>
          <w:rFonts w:ascii="Arial" w:hAnsi="Arial" w:cs="Arial"/>
          <w:sz w:val="16"/>
          <w:szCs w:val="16"/>
          <w:lang w:val="nb-NO"/>
        </w:rPr>
        <w:t xml:space="preserve"> som en </w:t>
      </w:r>
      <w:proofErr w:type="spellStart"/>
      <w:r w:rsidRPr="00DD7A62">
        <w:rPr>
          <w:rFonts w:ascii="Arial" w:hAnsi="Arial" w:cs="Arial"/>
          <w:sz w:val="16"/>
          <w:szCs w:val="16"/>
          <w:lang w:val="nb-NO"/>
        </w:rPr>
        <w:t>transaktion</w:t>
      </w:r>
      <w:proofErr w:type="spellEnd"/>
      <w:r w:rsidRPr="00DD7A62">
        <w:rPr>
          <w:rFonts w:ascii="Arial" w:hAnsi="Arial" w:cs="Arial"/>
          <w:sz w:val="16"/>
          <w:szCs w:val="16"/>
          <w:lang w:val="nb-NO"/>
        </w:rPr>
        <w:t xml:space="preserve"> </w:t>
      </w:r>
      <w:proofErr w:type="spellStart"/>
      <w:r w:rsidRPr="00DD7A62">
        <w:rPr>
          <w:rFonts w:ascii="Arial" w:hAnsi="Arial" w:cs="Arial"/>
          <w:sz w:val="16"/>
          <w:szCs w:val="16"/>
          <w:lang w:val="nb-NO"/>
        </w:rPr>
        <w:t>där</w:t>
      </w:r>
      <w:proofErr w:type="spellEnd"/>
      <w:r w:rsidRPr="00DD7A62">
        <w:rPr>
          <w:rFonts w:ascii="Arial" w:hAnsi="Arial" w:cs="Arial"/>
          <w:sz w:val="16"/>
          <w:szCs w:val="16"/>
          <w:lang w:val="nb-NO"/>
        </w:rPr>
        <w:t xml:space="preserve"> mobilen </w:t>
      </w:r>
      <w:proofErr w:type="spellStart"/>
      <w:r w:rsidRPr="00DD7A62">
        <w:rPr>
          <w:rFonts w:ascii="Arial" w:hAnsi="Arial" w:cs="Arial"/>
          <w:sz w:val="16"/>
          <w:szCs w:val="16"/>
          <w:lang w:val="nb-NO"/>
        </w:rPr>
        <w:t>används</w:t>
      </w:r>
      <w:proofErr w:type="spellEnd"/>
      <w:r w:rsidRPr="00DD7A62">
        <w:rPr>
          <w:rFonts w:ascii="Arial" w:hAnsi="Arial" w:cs="Arial"/>
          <w:sz w:val="16"/>
          <w:szCs w:val="16"/>
          <w:lang w:val="nb-NO"/>
        </w:rPr>
        <w:t xml:space="preserve"> som </w:t>
      </w:r>
      <w:proofErr w:type="spellStart"/>
      <w:r w:rsidRPr="00DD7A62">
        <w:rPr>
          <w:rFonts w:ascii="Arial" w:hAnsi="Arial" w:cs="Arial"/>
          <w:sz w:val="16"/>
          <w:szCs w:val="16"/>
          <w:lang w:val="nb-NO"/>
        </w:rPr>
        <w:t>betalningssätt</w:t>
      </w:r>
      <w:proofErr w:type="spellEnd"/>
      <w:r w:rsidRPr="00DD7A62">
        <w:rPr>
          <w:rFonts w:ascii="Arial" w:hAnsi="Arial" w:cs="Arial"/>
          <w:sz w:val="16"/>
          <w:szCs w:val="16"/>
          <w:lang w:val="nb-NO"/>
        </w:rPr>
        <w:t xml:space="preserve">, </w:t>
      </w:r>
      <w:proofErr w:type="spellStart"/>
      <w:r w:rsidRPr="00DD7A62">
        <w:rPr>
          <w:rFonts w:ascii="Arial" w:hAnsi="Arial" w:cs="Arial"/>
          <w:sz w:val="16"/>
          <w:szCs w:val="16"/>
          <w:lang w:val="nb-NO"/>
        </w:rPr>
        <w:t>inte</w:t>
      </w:r>
      <w:proofErr w:type="spellEnd"/>
      <w:r w:rsidRPr="00DD7A62">
        <w:rPr>
          <w:rFonts w:ascii="Arial" w:hAnsi="Arial" w:cs="Arial"/>
          <w:sz w:val="16"/>
          <w:szCs w:val="16"/>
          <w:lang w:val="nb-NO"/>
        </w:rPr>
        <w:t xml:space="preserve"> bara som ett alternativ kanal att </w:t>
      </w:r>
      <w:proofErr w:type="spellStart"/>
      <w:r w:rsidRPr="00DD7A62">
        <w:rPr>
          <w:rFonts w:ascii="Arial" w:hAnsi="Arial" w:cs="Arial"/>
          <w:sz w:val="16"/>
          <w:szCs w:val="16"/>
          <w:lang w:val="nb-NO"/>
        </w:rPr>
        <w:t>skicka</w:t>
      </w:r>
      <w:proofErr w:type="spellEnd"/>
      <w:r w:rsidRPr="00DD7A62">
        <w:rPr>
          <w:rFonts w:ascii="Arial" w:hAnsi="Arial" w:cs="Arial"/>
          <w:sz w:val="16"/>
          <w:szCs w:val="16"/>
          <w:lang w:val="nb-NO"/>
        </w:rPr>
        <w:t xml:space="preserve"> </w:t>
      </w:r>
      <w:proofErr w:type="spellStart"/>
      <w:r w:rsidRPr="00DD7A62">
        <w:rPr>
          <w:rFonts w:ascii="Arial" w:hAnsi="Arial" w:cs="Arial"/>
          <w:sz w:val="16"/>
          <w:szCs w:val="16"/>
          <w:lang w:val="nb-NO"/>
        </w:rPr>
        <w:t>betalningen</w:t>
      </w:r>
      <w:proofErr w:type="spellEnd"/>
      <w:r w:rsidRPr="00DD7A62">
        <w:rPr>
          <w:rFonts w:ascii="Arial" w:hAnsi="Arial" w:cs="Arial"/>
          <w:sz w:val="16"/>
          <w:szCs w:val="16"/>
          <w:lang w:val="nb-NO"/>
        </w:rPr>
        <w:t xml:space="preserve"> på, </w:t>
      </w:r>
      <w:proofErr w:type="spellStart"/>
      <w:r w:rsidRPr="00DD7A62">
        <w:rPr>
          <w:rFonts w:ascii="Arial" w:hAnsi="Arial" w:cs="Arial"/>
          <w:sz w:val="16"/>
          <w:szCs w:val="16"/>
          <w:lang w:val="nb-NO"/>
        </w:rPr>
        <w:t>och</w:t>
      </w:r>
      <w:proofErr w:type="spellEnd"/>
      <w:r w:rsidRPr="00DD7A62">
        <w:rPr>
          <w:rFonts w:ascii="Arial" w:hAnsi="Arial" w:cs="Arial"/>
          <w:sz w:val="16"/>
          <w:szCs w:val="16"/>
          <w:lang w:val="nb-NO"/>
        </w:rPr>
        <w:t xml:space="preserve"> i realtid (</w:t>
      </w:r>
      <w:proofErr w:type="spellStart"/>
      <w:r w:rsidRPr="00DD7A62">
        <w:rPr>
          <w:rFonts w:ascii="Arial" w:hAnsi="Arial" w:cs="Arial"/>
          <w:sz w:val="16"/>
          <w:szCs w:val="16"/>
          <w:lang w:val="nb-NO"/>
        </w:rPr>
        <w:t>exempelvis</w:t>
      </w:r>
      <w:proofErr w:type="spellEnd"/>
      <w:r w:rsidRPr="00DD7A62">
        <w:rPr>
          <w:rFonts w:ascii="Arial" w:hAnsi="Arial" w:cs="Arial"/>
          <w:sz w:val="16"/>
          <w:szCs w:val="16"/>
          <w:lang w:val="nb-NO"/>
        </w:rPr>
        <w:t xml:space="preserve"> </w:t>
      </w:r>
      <w:proofErr w:type="spellStart"/>
      <w:r w:rsidRPr="00DD7A62">
        <w:rPr>
          <w:rFonts w:ascii="Arial" w:hAnsi="Arial" w:cs="Arial"/>
          <w:sz w:val="16"/>
          <w:szCs w:val="16"/>
          <w:lang w:val="nb-NO"/>
        </w:rPr>
        <w:t>Swish</w:t>
      </w:r>
      <w:proofErr w:type="spellEnd"/>
      <w:r w:rsidRPr="00DD7A62">
        <w:rPr>
          <w:rFonts w:ascii="Arial" w:hAnsi="Arial" w:cs="Arial"/>
          <w:sz w:val="16"/>
          <w:szCs w:val="16"/>
          <w:lang w:val="nb-NO"/>
        </w:rPr>
        <w:t xml:space="preserve">). </w:t>
      </w:r>
    </w:p>
  </w:footnote>
  <w:footnote w:id="3">
    <w:p w14:paraId="0417CC32" w14:textId="77777777" w:rsidR="00DD7A62" w:rsidRPr="00DD7A62" w:rsidRDefault="00DD7A62" w:rsidP="00DD7A62">
      <w:pPr>
        <w:pStyle w:val="Fotnotetekst"/>
        <w:rPr>
          <w:lang w:val="nb-NO"/>
        </w:rPr>
      </w:pPr>
      <w:r w:rsidRPr="00C120BE">
        <w:rPr>
          <w:rStyle w:val="Fotnotereferanse"/>
          <w:rFonts w:ascii="Arial" w:hAnsi="Arial" w:cs="Arial"/>
        </w:rPr>
        <w:footnoteRef/>
      </w:r>
      <w:r w:rsidRPr="00DD7A62">
        <w:rPr>
          <w:rFonts w:ascii="Arial" w:hAnsi="Arial" w:cs="Arial"/>
          <w:sz w:val="16"/>
          <w:szCs w:val="16"/>
          <w:lang w:val="nb-NO"/>
        </w:rPr>
        <w:t xml:space="preserve"> En </w:t>
      </w:r>
      <w:proofErr w:type="spellStart"/>
      <w:r w:rsidRPr="00DD7A62">
        <w:rPr>
          <w:rFonts w:ascii="Arial" w:hAnsi="Arial" w:cs="Arial"/>
          <w:sz w:val="16"/>
          <w:szCs w:val="16"/>
          <w:lang w:val="nb-NO"/>
        </w:rPr>
        <w:t>ökning</w:t>
      </w:r>
      <w:proofErr w:type="spellEnd"/>
      <w:r w:rsidRPr="00DD7A62">
        <w:rPr>
          <w:rFonts w:ascii="Arial" w:hAnsi="Arial" w:cs="Arial"/>
          <w:sz w:val="16"/>
          <w:szCs w:val="16"/>
          <w:lang w:val="nb-NO"/>
        </w:rPr>
        <w:t xml:space="preserve"> med 14,5 </w:t>
      </w:r>
      <w:proofErr w:type="spellStart"/>
      <w:r w:rsidRPr="00DD7A62">
        <w:rPr>
          <w:rFonts w:ascii="Arial" w:hAnsi="Arial" w:cs="Arial"/>
          <w:sz w:val="16"/>
          <w:szCs w:val="16"/>
          <w:lang w:val="nb-NO"/>
        </w:rPr>
        <w:t>miljarder</w:t>
      </w:r>
      <w:proofErr w:type="spellEnd"/>
      <w:r w:rsidRPr="00DD7A62">
        <w:rPr>
          <w:rFonts w:ascii="Arial" w:hAnsi="Arial" w:cs="Arial"/>
          <w:sz w:val="16"/>
          <w:szCs w:val="16"/>
          <w:lang w:val="nb-NO"/>
        </w:rPr>
        <w:t xml:space="preserve"> </w:t>
      </w:r>
      <w:proofErr w:type="spellStart"/>
      <w:r w:rsidRPr="00DD7A62">
        <w:rPr>
          <w:rFonts w:ascii="Arial" w:hAnsi="Arial" w:cs="Arial"/>
          <w:sz w:val="16"/>
          <w:szCs w:val="16"/>
          <w:lang w:val="nb-NO"/>
        </w:rPr>
        <w:t>transaktioner</w:t>
      </w:r>
      <w:proofErr w:type="spellEnd"/>
      <w:r w:rsidRPr="00DD7A62">
        <w:rPr>
          <w:rFonts w:ascii="Arial" w:hAnsi="Arial" w:cs="Arial"/>
          <w:sz w:val="16"/>
          <w:szCs w:val="16"/>
          <w:lang w:val="nb-NO"/>
        </w:rPr>
        <w:t>.</w:t>
      </w:r>
    </w:p>
  </w:footnote>
  <w:footnote w:id="4">
    <w:p w14:paraId="20015B47" w14:textId="77777777" w:rsidR="00DD7A62" w:rsidRPr="00DD7A62" w:rsidRDefault="00DD7A62" w:rsidP="00DD7A62">
      <w:pPr>
        <w:pStyle w:val="Fotnotetekst"/>
        <w:rPr>
          <w:rFonts w:ascii="Arial" w:hAnsi="Arial" w:cs="Arial"/>
          <w:sz w:val="16"/>
          <w:szCs w:val="16"/>
          <w:lang w:val="nb-NO"/>
        </w:rPr>
      </w:pPr>
      <w:r w:rsidRPr="00FE6F71">
        <w:rPr>
          <w:rStyle w:val="Fotnotereferanse"/>
          <w:rFonts w:ascii="Arial" w:hAnsi="Arial" w:cs="Arial"/>
        </w:rPr>
        <w:footnoteRef/>
      </w:r>
      <w:r w:rsidRPr="00DD7A62">
        <w:rPr>
          <w:rFonts w:ascii="Arial" w:hAnsi="Arial" w:cs="Arial"/>
          <w:sz w:val="16"/>
          <w:szCs w:val="16"/>
          <w:lang w:val="nb-NO"/>
        </w:rPr>
        <w:t xml:space="preserve"> </w:t>
      </w:r>
      <w:r w:rsidR="0017031A">
        <w:fldChar w:fldCharType="begin"/>
      </w:r>
      <w:r w:rsidR="0017031A" w:rsidRPr="008643E1">
        <w:rPr>
          <w:lang w:val="nb-NO"/>
        </w:rPr>
        <w:instrText xml:space="preserve"> HYPERLINK "https:/</w:instrText>
      </w:r>
      <w:r w:rsidR="0017031A" w:rsidRPr="008643E1">
        <w:rPr>
          <w:lang w:val="nb-NO"/>
        </w:rPr>
        <w:instrText xml:space="preserve">/jingdaily.com/how-chinese-mobile-payments-are-quietly-conquering-the-world/" </w:instrText>
      </w:r>
      <w:r w:rsidR="0017031A">
        <w:fldChar w:fldCharType="separate"/>
      </w:r>
      <w:r w:rsidRPr="00DD7A62">
        <w:rPr>
          <w:rStyle w:val="Hyperkobling"/>
          <w:rFonts w:ascii="Arial" w:hAnsi="Arial" w:cs="Arial"/>
          <w:sz w:val="16"/>
          <w:szCs w:val="16"/>
          <w:lang w:val="nb-NO"/>
        </w:rPr>
        <w:t>https://jingdaily.com/how-chinese-mobile-payments-are-quietly-conquering-the-world/</w:t>
      </w:r>
      <w:r w:rsidR="0017031A">
        <w:rPr>
          <w:rStyle w:val="Hyperkobling"/>
          <w:rFonts w:ascii="Arial" w:hAnsi="Arial" w:cs="Arial"/>
          <w:sz w:val="16"/>
          <w:szCs w:val="16"/>
          <w:lang w:val="nb-NO"/>
        </w:rPr>
        <w:fldChar w:fldCharType="end"/>
      </w:r>
    </w:p>
    <w:p w14:paraId="6F1786B6" w14:textId="77777777" w:rsidR="00DD7A62" w:rsidRPr="00DD7A62" w:rsidRDefault="00DD7A62" w:rsidP="00DD7A62">
      <w:pPr>
        <w:pStyle w:val="Fotnotetekst"/>
        <w:rPr>
          <w:lang w:val="nb-NO"/>
        </w:rPr>
      </w:pPr>
    </w:p>
  </w:footnote>
  <w:footnote w:id="5">
    <w:p w14:paraId="781AB672" w14:textId="77777777" w:rsidR="00DD7A62" w:rsidRPr="00245B80" w:rsidRDefault="00DD7A62" w:rsidP="00DD7A62">
      <w:pPr>
        <w:pStyle w:val="Fotnotetekst"/>
        <w:rPr>
          <w:rFonts w:asciiTheme="minorHAnsi" w:hAnsiTheme="minorHAnsi"/>
        </w:rPr>
      </w:pPr>
      <w:r w:rsidRPr="006359DE">
        <w:rPr>
          <w:rStyle w:val="Fotnotereferanse"/>
          <w:rFonts w:asciiTheme="minorHAnsi" w:hAnsiTheme="minorHAnsi"/>
          <w:sz w:val="18"/>
        </w:rPr>
        <w:footnoteRef/>
      </w:r>
      <w:r w:rsidRPr="00245B80">
        <w:rPr>
          <w:rFonts w:asciiTheme="minorHAnsi" w:hAnsiTheme="minorHAnsi"/>
          <w:sz w:val="18"/>
        </w:rPr>
        <w:t xml:space="preserve"> </w:t>
      </w:r>
      <w:proofErr w:type="spellStart"/>
      <w:r w:rsidRPr="00245B80">
        <w:rPr>
          <w:rFonts w:asciiTheme="minorHAnsi" w:hAnsiTheme="minorHAnsi"/>
          <w:sz w:val="18"/>
        </w:rPr>
        <w:t>Tidigare</w:t>
      </w:r>
      <w:proofErr w:type="spellEnd"/>
      <w:r w:rsidRPr="00245B80">
        <w:rPr>
          <w:rFonts w:asciiTheme="minorHAnsi" w:hAnsiTheme="minorHAnsi"/>
          <w:sz w:val="18"/>
        </w:rPr>
        <w:t xml:space="preserve"> partner Royal Bank of Scotland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02FE1" w14:textId="77777777" w:rsidR="00041DF8" w:rsidRPr="003819E0" w:rsidRDefault="00041DF8" w:rsidP="006A68F2">
    <w:pPr>
      <w:pStyle w:val="Topptekst"/>
      <w:tabs>
        <w:tab w:val="clear" w:pos="4536"/>
        <w:tab w:val="clear" w:pos="9072"/>
        <w:tab w:val="center" w:pos="4950"/>
      </w:tabs>
      <w:spacing w:after="360"/>
      <w:rPr>
        <w:rFonts w:ascii="Arial" w:hAnsi="Arial" w:cs="Arial"/>
        <w:i/>
      </w:rPr>
    </w:pPr>
    <w:r w:rsidRPr="003819E0">
      <w:rPr>
        <w:rFonts w:ascii="Arial" w:hAnsi="Arial" w:cs="Arial"/>
        <w:i/>
        <w:noProof/>
        <w:lang w:val="nb-NO" w:eastAsia="nb-NO"/>
      </w:rPr>
      <w:drawing>
        <wp:anchor distT="0" distB="0" distL="114300" distR="114300" simplePos="0" relativeHeight="251658240" behindDoc="1" locked="0" layoutInCell="1" allowOverlap="1" wp14:anchorId="316B6CBD" wp14:editId="0137503A">
          <wp:simplePos x="0" y="0"/>
          <wp:positionH relativeFrom="column">
            <wp:posOffset>3902710</wp:posOffset>
          </wp:positionH>
          <wp:positionV relativeFrom="paragraph">
            <wp:posOffset>-58420</wp:posOffset>
          </wp:positionV>
          <wp:extent cx="2354580" cy="560705"/>
          <wp:effectExtent l="0" t="0" r="7620" b="0"/>
          <wp:wrapTight wrapText="bothSides">
            <wp:wrapPolygon edited="0">
              <wp:start x="0" y="0"/>
              <wp:lineTo x="0" y="20548"/>
              <wp:lineTo x="21495" y="20548"/>
              <wp:lineTo x="2149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9E0">
      <w:rPr>
        <w:rFonts w:ascii="Arial" w:hAnsi="Arial" w:cs="Arial"/>
        <w:i/>
        <w:noProof/>
        <w:lang w:val="nb-NO" w:eastAsia="nb-NO"/>
      </w:rPr>
      <w:drawing>
        <wp:inline distT="0" distB="0" distL="0" distR="0" wp14:anchorId="420D7213" wp14:editId="18DE14CE">
          <wp:extent cx="2158365" cy="524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8365"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AEA"/>
    <w:multiLevelType w:val="hybridMultilevel"/>
    <w:tmpl w:val="C450BA3E"/>
    <w:lvl w:ilvl="0" w:tplc="DCCAB546">
      <w:start w:val="4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3B2353"/>
    <w:multiLevelType w:val="hybridMultilevel"/>
    <w:tmpl w:val="21182212"/>
    <w:lvl w:ilvl="0" w:tplc="AD621E8C">
      <w:start w:val="4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3NDM0NTAwMTA0NTVU0lEKTi0uzszPAymwqAUAmI6mfiwAAAA="/>
  </w:docVars>
  <w:rsids>
    <w:rsidRoot w:val="000713EB"/>
    <w:rsid w:val="0001111E"/>
    <w:rsid w:val="00011FBB"/>
    <w:rsid w:val="00012A3F"/>
    <w:rsid w:val="000213AB"/>
    <w:rsid w:val="00024040"/>
    <w:rsid w:val="00027276"/>
    <w:rsid w:val="00037EF2"/>
    <w:rsid w:val="00041DF8"/>
    <w:rsid w:val="0007100C"/>
    <w:rsid w:val="000713EB"/>
    <w:rsid w:val="0009189C"/>
    <w:rsid w:val="000A4137"/>
    <w:rsid w:val="000A444F"/>
    <w:rsid w:val="000A5F08"/>
    <w:rsid w:val="000B467C"/>
    <w:rsid w:val="000D2A4A"/>
    <w:rsid w:val="00101BF5"/>
    <w:rsid w:val="001079F6"/>
    <w:rsid w:val="00127B55"/>
    <w:rsid w:val="001571D6"/>
    <w:rsid w:val="001657EC"/>
    <w:rsid w:val="0017031A"/>
    <w:rsid w:val="0017180B"/>
    <w:rsid w:val="001772CF"/>
    <w:rsid w:val="00195045"/>
    <w:rsid w:val="001C3DC1"/>
    <w:rsid w:val="001F77E4"/>
    <w:rsid w:val="001F7B00"/>
    <w:rsid w:val="002077EF"/>
    <w:rsid w:val="00210897"/>
    <w:rsid w:val="0021221F"/>
    <w:rsid w:val="00215DDC"/>
    <w:rsid w:val="002168EF"/>
    <w:rsid w:val="002176AF"/>
    <w:rsid w:val="0022197D"/>
    <w:rsid w:val="00224737"/>
    <w:rsid w:val="00225633"/>
    <w:rsid w:val="002268C8"/>
    <w:rsid w:val="0023652D"/>
    <w:rsid w:val="0024406F"/>
    <w:rsid w:val="00265B54"/>
    <w:rsid w:val="00270C0C"/>
    <w:rsid w:val="00272789"/>
    <w:rsid w:val="002771E9"/>
    <w:rsid w:val="002A26F5"/>
    <w:rsid w:val="002A5E25"/>
    <w:rsid w:val="002B4874"/>
    <w:rsid w:val="002C4C6E"/>
    <w:rsid w:val="002D057F"/>
    <w:rsid w:val="002E180C"/>
    <w:rsid w:val="002E7130"/>
    <w:rsid w:val="002F20F3"/>
    <w:rsid w:val="002F32DB"/>
    <w:rsid w:val="002F35F1"/>
    <w:rsid w:val="003010A6"/>
    <w:rsid w:val="00317068"/>
    <w:rsid w:val="00321E07"/>
    <w:rsid w:val="00330FA4"/>
    <w:rsid w:val="003433A7"/>
    <w:rsid w:val="00362EBA"/>
    <w:rsid w:val="003637B4"/>
    <w:rsid w:val="00370452"/>
    <w:rsid w:val="00374C62"/>
    <w:rsid w:val="003819E0"/>
    <w:rsid w:val="003833AB"/>
    <w:rsid w:val="003915EB"/>
    <w:rsid w:val="00396EF1"/>
    <w:rsid w:val="003D4D56"/>
    <w:rsid w:val="003E6364"/>
    <w:rsid w:val="0040478D"/>
    <w:rsid w:val="00414B5A"/>
    <w:rsid w:val="0041762D"/>
    <w:rsid w:val="00420610"/>
    <w:rsid w:val="00430D65"/>
    <w:rsid w:val="00434102"/>
    <w:rsid w:val="00446D97"/>
    <w:rsid w:val="00466B85"/>
    <w:rsid w:val="00473C41"/>
    <w:rsid w:val="00474B54"/>
    <w:rsid w:val="00474B63"/>
    <w:rsid w:val="004841C6"/>
    <w:rsid w:val="00484205"/>
    <w:rsid w:val="004B1BC1"/>
    <w:rsid w:val="004E0333"/>
    <w:rsid w:val="004F2A29"/>
    <w:rsid w:val="005005D3"/>
    <w:rsid w:val="00503476"/>
    <w:rsid w:val="005050DE"/>
    <w:rsid w:val="00507C6D"/>
    <w:rsid w:val="00513975"/>
    <w:rsid w:val="00521807"/>
    <w:rsid w:val="00521BC0"/>
    <w:rsid w:val="00525F9B"/>
    <w:rsid w:val="00533563"/>
    <w:rsid w:val="00533E04"/>
    <w:rsid w:val="00534186"/>
    <w:rsid w:val="00542188"/>
    <w:rsid w:val="00552A54"/>
    <w:rsid w:val="005570F8"/>
    <w:rsid w:val="00570E14"/>
    <w:rsid w:val="005761C8"/>
    <w:rsid w:val="00591F8B"/>
    <w:rsid w:val="005959D4"/>
    <w:rsid w:val="005B2A05"/>
    <w:rsid w:val="005B4D01"/>
    <w:rsid w:val="005C08F9"/>
    <w:rsid w:val="0060002B"/>
    <w:rsid w:val="0060276F"/>
    <w:rsid w:val="00604140"/>
    <w:rsid w:val="006132B8"/>
    <w:rsid w:val="00624A11"/>
    <w:rsid w:val="00652416"/>
    <w:rsid w:val="0065707D"/>
    <w:rsid w:val="00670345"/>
    <w:rsid w:val="006738A3"/>
    <w:rsid w:val="00695171"/>
    <w:rsid w:val="006A64DD"/>
    <w:rsid w:val="006A68F2"/>
    <w:rsid w:val="006B42D6"/>
    <w:rsid w:val="006D234F"/>
    <w:rsid w:val="006D2D63"/>
    <w:rsid w:val="006F0F7C"/>
    <w:rsid w:val="007038D8"/>
    <w:rsid w:val="00741BE1"/>
    <w:rsid w:val="00754DA0"/>
    <w:rsid w:val="0075736F"/>
    <w:rsid w:val="007728D4"/>
    <w:rsid w:val="00785612"/>
    <w:rsid w:val="007A72F6"/>
    <w:rsid w:val="007B152B"/>
    <w:rsid w:val="007B7E8A"/>
    <w:rsid w:val="007C6156"/>
    <w:rsid w:val="007D3DAF"/>
    <w:rsid w:val="007D6E44"/>
    <w:rsid w:val="007E01F3"/>
    <w:rsid w:val="007E07EF"/>
    <w:rsid w:val="007E60EF"/>
    <w:rsid w:val="007E7D52"/>
    <w:rsid w:val="007F5031"/>
    <w:rsid w:val="007F73C4"/>
    <w:rsid w:val="00806D1F"/>
    <w:rsid w:val="00831336"/>
    <w:rsid w:val="00836B20"/>
    <w:rsid w:val="00844A13"/>
    <w:rsid w:val="00846043"/>
    <w:rsid w:val="00857A01"/>
    <w:rsid w:val="008643E1"/>
    <w:rsid w:val="00864B86"/>
    <w:rsid w:val="00872AEB"/>
    <w:rsid w:val="00874F3D"/>
    <w:rsid w:val="00877D1C"/>
    <w:rsid w:val="00887273"/>
    <w:rsid w:val="00897F27"/>
    <w:rsid w:val="008A6E51"/>
    <w:rsid w:val="008B1640"/>
    <w:rsid w:val="008D5633"/>
    <w:rsid w:val="008E35DA"/>
    <w:rsid w:val="008F4B2A"/>
    <w:rsid w:val="00904AF5"/>
    <w:rsid w:val="0090586C"/>
    <w:rsid w:val="00906BAA"/>
    <w:rsid w:val="009102D4"/>
    <w:rsid w:val="009175DA"/>
    <w:rsid w:val="00921606"/>
    <w:rsid w:val="009352AA"/>
    <w:rsid w:val="0093785F"/>
    <w:rsid w:val="009426DD"/>
    <w:rsid w:val="00946FA2"/>
    <w:rsid w:val="00954440"/>
    <w:rsid w:val="00971511"/>
    <w:rsid w:val="00973558"/>
    <w:rsid w:val="00983AFD"/>
    <w:rsid w:val="00991214"/>
    <w:rsid w:val="009A6CFD"/>
    <w:rsid w:val="009B7252"/>
    <w:rsid w:val="009B79D2"/>
    <w:rsid w:val="009D6B86"/>
    <w:rsid w:val="009F75BD"/>
    <w:rsid w:val="00A03C0C"/>
    <w:rsid w:val="00A07D99"/>
    <w:rsid w:val="00A11E26"/>
    <w:rsid w:val="00A13587"/>
    <w:rsid w:val="00A22400"/>
    <w:rsid w:val="00A2399C"/>
    <w:rsid w:val="00A3010C"/>
    <w:rsid w:val="00A32961"/>
    <w:rsid w:val="00A352E0"/>
    <w:rsid w:val="00A35EF1"/>
    <w:rsid w:val="00A40E44"/>
    <w:rsid w:val="00A45131"/>
    <w:rsid w:val="00A46337"/>
    <w:rsid w:val="00A468D5"/>
    <w:rsid w:val="00A55845"/>
    <w:rsid w:val="00A75185"/>
    <w:rsid w:val="00A8000E"/>
    <w:rsid w:val="00A94BD6"/>
    <w:rsid w:val="00A97724"/>
    <w:rsid w:val="00A97FF8"/>
    <w:rsid w:val="00AA1EA6"/>
    <w:rsid w:val="00AA7447"/>
    <w:rsid w:val="00AC0EB9"/>
    <w:rsid w:val="00AE2B46"/>
    <w:rsid w:val="00AE41B5"/>
    <w:rsid w:val="00AF1350"/>
    <w:rsid w:val="00B16B1E"/>
    <w:rsid w:val="00B17DB1"/>
    <w:rsid w:val="00B2166F"/>
    <w:rsid w:val="00B21DA7"/>
    <w:rsid w:val="00B30478"/>
    <w:rsid w:val="00B55258"/>
    <w:rsid w:val="00B65DD5"/>
    <w:rsid w:val="00B77690"/>
    <w:rsid w:val="00B803E1"/>
    <w:rsid w:val="00B804C1"/>
    <w:rsid w:val="00BB10A3"/>
    <w:rsid w:val="00BC0C86"/>
    <w:rsid w:val="00BD0173"/>
    <w:rsid w:val="00BE3AFC"/>
    <w:rsid w:val="00BF418C"/>
    <w:rsid w:val="00C05C7E"/>
    <w:rsid w:val="00C20B79"/>
    <w:rsid w:val="00C3011D"/>
    <w:rsid w:val="00C35D1B"/>
    <w:rsid w:val="00C54A78"/>
    <w:rsid w:val="00C63758"/>
    <w:rsid w:val="00C762CA"/>
    <w:rsid w:val="00C83426"/>
    <w:rsid w:val="00C949F1"/>
    <w:rsid w:val="00CA4EB1"/>
    <w:rsid w:val="00CA7A1D"/>
    <w:rsid w:val="00CB2680"/>
    <w:rsid w:val="00CC091C"/>
    <w:rsid w:val="00CC30B5"/>
    <w:rsid w:val="00CD0F71"/>
    <w:rsid w:val="00CD1844"/>
    <w:rsid w:val="00CD4CC6"/>
    <w:rsid w:val="00CE2EE3"/>
    <w:rsid w:val="00D016E3"/>
    <w:rsid w:val="00D0749E"/>
    <w:rsid w:val="00D22696"/>
    <w:rsid w:val="00D23AE6"/>
    <w:rsid w:val="00D27E31"/>
    <w:rsid w:val="00D30463"/>
    <w:rsid w:val="00D44841"/>
    <w:rsid w:val="00D53410"/>
    <w:rsid w:val="00D556FE"/>
    <w:rsid w:val="00D675EE"/>
    <w:rsid w:val="00D7204D"/>
    <w:rsid w:val="00D722F3"/>
    <w:rsid w:val="00D75664"/>
    <w:rsid w:val="00D83C66"/>
    <w:rsid w:val="00D85989"/>
    <w:rsid w:val="00D92002"/>
    <w:rsid w:val="00DD0454"/>
    <w:rsid w:val="00DD2F2C"/>
    <w:rsid w:val="00DD58B6"/>
    <w:rsid w:val="00DD7A62"/>
    <w:rsid w:val="00DE4C8C"/>
    <w:rsid w:val="00DF2DF1"/>
    <w:rsid w:val="00DF413F"/>
    <w:rsid w:val="00E26377"/>
    <w:rsid w:val="00E44D89"/>
    <w:rsid w:val="00E541E4"/>
    <w:rsid w:val="00E603AA"/>
    <w:rsid w:val="00E866F2"/>
    <w:rsid w:val="00EB4E37"/>
    <w:rsid w:val="00EC0AB0"/>
    <w:rsid w:val="00ED5F89"/>
    <w:rsid w:val="00F12072"/>
    <w:rsid w:val="00F121CC"/>
    <w:rsid w:val="00F2056E"/>
    <w:rsid w:val="00F41B49"/>
    <w:rsid w:val="00F63E13"/>
    <w:rsid w:val="00F67E53"/>
    <w:rsid w:val="00F757DE"/>
    <w:rsid w:val="00F9589F"/>
    <w:rsid w:val="00FA2FA7"/>
    <w:rsid w:val="00FB0635"/>
    <w:rsid w:val="00FB07C3"/>
    <w:rsid w:val="00FD5EB6"/>
    <w:rsid w:val="00FE3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062DB"/>
  <w15:docId w15:val="{1EAF678F-59E2-48EE-AE7D-AB26161C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C86"/>
    <w:rPr>
      <w:lang w:val="en-US" w:eastAsia="en-US"/>
    </w:rPr>
  </w:style>
  <w:style w:type="paragraph" w:styleId="Overskrift3">
    <w:name w:val="heading 3"/>
    <w:basedOn w:val="Normal"/>
    <w:next w:val="Normal"/>
    <w:qFormat/>
    <w:rsid w:val="00BC0C86"/>
    <w:pPr>
      <w:keepNext/>
      <w:outlineLvl w:val="2"/>
    </w:pPr>
    <w:rPr>
      <w:b/>
      <w:color w:val="000000"/>
      <w:sz w:val="22"/>
      <w:lang w:val="en-GB"/>
    </w:rPr>
  </w:style>
  <w:style w:type="paragraph" w:styleId="Overskrift5">
    <w:name w:val="heading 5"/>
    <w:basedOn w:val="Normal"/>
    <w:next w:val="Normal"/>
    <w:link w:val="Overskrift5Tegn"/>
    <w:semiHidden/>
    <w:unhideWhenUsed/>
    <w:qFormat/>
    <w:rsid w:val="00024040"/>
    <w:pPr>
      <w:spacing w:before="240" w:after="60"/>
      <w:outlineLvl w:val="4"/>
    </w:pPr>
    <w:rPr>
      <w:rFonts w:ascii="Calibri" w:hAnsi="Calibri"/>
      <w:b/>
      <w:bCs/>
      <w:i/>
      <w:i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rsid w:val="00BC0C86"/>
    <w:rPr>
      <w:b/>
      <w:color w:val="000000"/>
      <w:sz w:val="28"/>
      <w:lang w:val="en-GB"/>
    </w:rPr>
  </w:style>
  <w:style w:type="character" w:styleId="Hyperkobling">
    <w:name w:val="Hyperlink"/>
    <w:basedOn w:val="Standardskriftforavsnitt"/>
    <w:uiPriority w:val="99"/>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Topptekst">
    <w:name w:val="header"/>
    <w:basedOn w:val="Normal"/>
    <w:link w:val="TopptekstTegn"/>
    <w:rsid w:val="00C05C7E"/>
    <w:pPr>
      <w:tabs>
        <w:tab w:val="center" w:pos="4536"/>
        <w:tab w:val="right" w:pos="9072"/>
      </w:tabs>
    </w:pPr>
  </w:style>
  <w:style w:type="paragraph" w:styleId="Bunntekst">
    <w:name w:val="footer"/>
    <w:basedOn w:val="Normal"/>
    <w:rsid w:val="00C05C7E"/>
    <w:pPr>
      <w:tabs>
        <w:tab w:val="center" w:pos="4536"/>
        <w:tab w:val="right" w:pos="9072"/>
      </w:tabs>
    </w:pPr>
  </w:style>
  <w:style w:type="table" w:styleId="Tabellrutenett">
    <w:name w:val="Table Grid"/>
    <w:basedOn w:val="Vanligtabel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rsid w:val="00224737"/>
  </w:style>
  <w:style w:type="character" w:styleId="Fotnotereferanse">
    <w:name w:val="footnote reference"/>
    <w:aliases w:val="stylish,Ref,de nota al pie,Footnote reference number,Footnote symbol,note TESI,Footnote Reference1,Voetnootverwijzing,Fußnotenzeichen2,Times 10 Point,Exposant 3 Point,Footnote"/>
    <w:basedOn w:val="Standardskriftforavsnitt"/>
    <w:uiPriority w:val="99"/>
    <w:rsid w:val="00224737"/>
    <w:rPr>
      <w:vertAlign w:val="superscript"/>
    </w:rPr>
  </w:style>
  <w:style w:type="paragraph" w:styleId="Bobletekst">
    <w:name w:val="Balloon Text"/>
    <w:basedOn w:val="Normal"/>
    <w:semiHidden/>
    <w:rsid w:val="00A97724"/>
    <w:rPr>
      <w:rFonts w:ascii="Tahoma" w:hAnsi="Tahoma" w:cs="Tahoma"/>
      <w:sz w:val="16"/>
      <w:szCs w:val="16"/>
    </w:rPr>
  </w:style>
  <w:style w:type="paragraph" w:customStyle="1" w:styleId="AboutCapgemini">
    <w:name w:val="About Capgemini"/>
    <w:basedOn w:val="Overskrift3"/>
    <w:next w:val="Normal"/>
    <w:autoRedefine/>
    <w:rsid w:val="00A11E26"/>
    <w:pPr>
      <w:jc w:val="both"/>
    </w:pPr>
    <w:rPr>
      <w:b w:val="0"/>
      <w:lang w:eastAsia="fr-FR"/>
    </w:rPr>
  </w:style>
  <w:style w:type="paragraph" w:customStyle="1" w:styleId="Footer1">
    <w:name w:val="Footer1"/>
    <w:basedOn w:val="Normal"/>
    <w:autoRedefine/>
    <w:rsid w:val="00513975"/>
    <w:pPr>
      <w:tabs>
        <w:tab w:val="left" w:pos="9540"/>
      </w:tabs>
      <w:ind w:right="360"/>
      <w:jc w:val="both"/>
    </w:pPr>
    <w:rPr>
      <w:rFonts w:ascii="Arial" w:hAnsi="Arial" w:cs="Arial"/>
      <w:i/>
      <w:color w:val="909090"/>
      <w:sz w:val="16"/>
      <w:lang w:val="fr-FR"/>
    </w:rPr>
  </w:style>
  <w:style w:type="character" w:customStyle="1" w:styleId="TopptekstTegn">
    <w:name w:val="Topptekst Tegn"/>
    <w:basedOn w:val="Standardskriftforavsnitt"/>
    <w:link w:val="Topptekst"/>
    <w:rsid w:val="005B2A05"/>
  </w:style>
  <w:style w:type="character" w:customStyle="1" w:styleId="Overskrift5Tegn">
    <w:name w:val="Overskrift 5 Tegn"/>
    <w:basedOn w:val="Standardskriftforavsnitt"/>
    <w:link w:val="Overskrift5"/>
    <w:semiHidden/>
    <w:rsid w:val="00024040"/>
    <w:rPr>
      <w:rFonts w:ascii="Calibri" w:eastAsia="Times New Roman" w:hAnsi="Calibri" w:cs="Times New Roman"/>
      <w:b/>
      <w:bCs/>
      <w:i/>
      <w:iCs/>
      <w:sz w:val="26"/>
      <w:szCs w:val="26"/>
      <w:lang w:val="en-US" w:eastAsia="en-US"/>
    </w:rPr>
  </w:style>
  <w:style w:type="paragraph" w:styleId="Revisjon">
    <w:name w:val="Revision"/>
    <w:hidden/>
    <w:uiPriority w:val="99"/>
    <w:semiHidden/>
    <w:rsid w:val="007E07EF"/>
    <w:rPr>
      <w:lang w:val="en-US" w:eastAsia="en-US"/>
    </w:rPr>
  </w:style>
  <w:style w:type="character" w:styleId="Merknadsreferanse">
    <w:name w:val="annotation reference"/>
    <w:basedOn w:val="Standardskriftforavsnitt"/>
    <w:uiPriority w:val="99"/>
    <w:semiHidden/>
    <w:unhideWhenUsed/>
    <w:rsid w:val="00484205"/>
    <w:rPr>
      <w:sz w:val="16"/>
      <w:szCs w:val="16"/>
    </w:rPr>
  </w:style>
  <w:style w:type="paragraph" w:styleId="Merknadstekst">
    <w:name w:val="annotation text"/>
    <w:basedOn w:val="Normal"/>
    <w:link w:val="MerknadstekstTegn"/>
    <w:uiPriority w:val="99"/>
    <w:semiHidden/>
    <w:unhideWhenUsed/>
    <w:rsid w:val="00484205"/>
  </w:style>
  <w:style w:type="character" w:customStyle="1" w:styleId="MerknadstekstTegn">
    <w:name w:val="Merknadstekst Tegn"/>
    <w:basedOn w:val="Standardskriftforavsnitt"/>
    <w:link w:val="Merknadstekst"/>
    <w:uiPriority w:val="99"/>
    <w:semiHidden/>
    <w:rsid w:val="00484205"/>
    <w:rPr>
      <w:lang w:val="en-US" w:eastAsia="en-US"/>
    </w:rPr>
  </w:style>
  <w:style w:type="paragraph" w:styleId="Kommentaremne">
    <w:name w:val="annotation subject"/>
    <w:basedOn w:val="Merknadstekst"/>
    <w:next w:val="Merknadstekst"/>
    <w:link w:val="KommentaremneTegn"/>
    <w:semiHidden/>
    <w:unhideWhenUsed/>
    <w:rsid w:val="00484205"/>
    <w:rPr>
      <w:b/>
      <w:bCs/>
    </w:rPr>
  </w:style>
  <w:style w:type="character" w:customStyle="1" w:styleId="KommentaremneTegn">
    <w:name w:val="Kommentaremne Tegn"/>
    <w:basedOn w:val="MerknadstekstTegn"/>
    <w:link w:val="Kommentaremne"/>
    <w:semiHidden/>
    <w:rsid w:val="00484205"/>
    <w:rPr>
      <w:b/>
      <w:bCs/>
      <w:lang w:val="en-US" w:eastAsia="en-US"/>
    </w:rPr>
  </w:style>
  <w:style w:type="character" w:styleId="Utheving">
    <w:name w:val="Emphasis"/>
    <w:basedOn w:val="Standardskriftforavsnitt"/>
    <w:uiPriority w:val="20"/>
    <w:qFormat/>
    <w:rsid w:val="00B17DB1"/>
    <w:rPr>
      <w:i/>
      <w:iCs/>
    </w:rPr>
  </w:style>
  <w:style w:type="character" w:styleId="Fulgthyperkobling">
    <w:name w:val="FollowedHyperlink"/>
    <w:basedOn w:val="Standardskriftforavsnitt"/>
    <w:semiHidden/>
    <w:unhideWhenUsed/>
    <w:rsid w:val="00857A01"/>
    <w:rPr>
      <w:color w:val="800080" w:themeColor="followedHyperlink"/>
      <w:u w:val="single"/>
    </w:rPr>
  </w:style>
  <w:style w:type="paragraph" w:customStyle="1" w:styleId="xmsonormal">
    <w:name w:val="x_msonormal"/>
    <w:basedOn w:val="Normal"/>
    <w:rsid w:val="00521BC0"/>
    <w:pPr>
      <w:spacing w:before="100" w:beforeAutospacing="1" w:after="100" w:afterAutospacing="1"/>
    </w:pPr>
    <w:rPr>
      <w:sz w:val="24"/>
      <w:szCs w:val="24"/>
    </w:rPr>
  </w:style>
  <w:style w:type="character" w:customStyle="1" w:styleId="xsection-info-text1">
    <w:name w:val="x_section-info-text1"/>
    <w:basedOn w:val="Standardskriftforavsnitt"/>
    <w:rsid w:val="00521BC0"/>
  </w:style>
  <w:style w:type="character" w:customStyle="1" w:styleId="FotnotetekstTegn">
    <w:name w:val="Fotnotetekst Tegn"/>
    <w:basedOn w:val="Standardskriftforavsnitt"/>
    <w:link w:val="Fotnotetekst"/>
    <w:uiPriority w:val="99"/>
    <w:rsid w:val="0001111E"/>
    <w:rPr>
      <w:lang w:val="en-US" w:eastAsia="en-US"/>
    </w:rPr>
  </w:style>
  <w:style w:type="paragraph" w:styleId="Listeavsnitt">
    <w:name w:val="List Paragraph"/>
    <w:basedOn w:val="Normal"/>
    <w:uiPriority w:val="34"/>
    <w:qFormat/>
    <w:rsid w:val="00DD7A62"/>
    <w:pPr>
      <w:ind w:left="720"/>
      <w:contextualSpacing/>
    </w:pPr>
    <w:rPr>
      <w:lang w:val="sv-SE"/>
    </w:rPr>
  </w:style>
  <w:style w:type="character" w:styleId="Sterk">
    <w:name w:val="Strong"/>
    <w:basedOn w:val="Standardskriftforavsnitt"/>
    <w:uiPriority w:val="22"/>
    <w:qFormat/>
    <w:rsid w:val="00DD7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79402761">
      <w:bodyDiv w:val="1"/>
      <w:marLeft w:val="0"/>
      <w:marRight w:val="0"/>
      <w:marTop w:val="0"/>
      <w:marBottom w:val="0"/>
      <w:divBdr>
        <w:top w:val="none" w:sz="0" w:space="0" w:color="auto"/>
        <w:left w:val="none" w:sz="0" w:space="0" w:color="auto"/>
        <w:bottom w:val="none" w:sz="0" w:space="0" w:color="auto"/>
        <w:right w:val="none" w:sz="0" w:space="0" w:color="auto"/>
      </w:divBdr>
    </w:div>
    <w:div w:id="1530332532">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lla.resare@capgemini.com" TargetMode="External"/><Relationship Id="rId13" Type="http://schemas.openxmlformats.org/officeDocument/2006/relationships/hyperlink" Target="https://www.worldpaymentsreport.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nppariba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pgemini.com/about/how-we-work/rightshore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gemini.com" TargetMode="External"/><Relationship Id="rId5" Type="http://schemas.openxmlformats.org/officeDocument/2006/relationships/webSettings" Target="webSettings.xml"/><Relationship Id="rId15" Type="http://schemas.openxmlformats.org/officeDocument/2006/relationships/hyperlink" Target="http://www.capgemini.com/about/how-we-work/the-collaborative-business-experiencetm" TargetMode="External"/><Relationship Id="rId10" Type="http://schemas.openxmlformats.org/officeDocument/2006/relationships/hyperlink" Target="https://www.worldpaymentsreport.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lka.nusynowicz@bnpparibas.com" TargetMode="External"/><Relationship Id="rId14" Type="http://schemas.openxmlformats.org/officeDocument/2006/relationships/hyperlink" Target="http://www.worldpaymentsrepor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es%20Documents\00-Corporate%20Identity%20Guidelines%202010-2011\Press%20Release\PressRelease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7DC9-A81A-459C-BF12-4F338137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PressRelease_A4.dotx</Template>
  <TotalTime>2</TotalTime>
  <Pages>2</Pages>
  <Words>924</Words>
  <Characters>4898</Characters>
  <Application>Microsoft Office Word</Application>
  <DocSecurity>0</DocSecurity>
  <Lines>40</Lines>
  <Paragraphs>11</Paragraphs>
  <ScaleCrop>false</ScaleCrop>
  <HeadingPairs>
    <vt:vector size="6" baseType="variant">
      <vt:variant>
        <vt:lpstr>Tittel</vt:lpstr>
      </vt:variant>
      <vt:variant>
        <vt:i4>1</vt:i4>
      </vt:variant>
      <vt:variant>
        <vt:lpstr>Title</vt:lpstr>
      </vt:variant>
      <vt:variant>
        <vt:i4>1</vt:i4>
      </vt:variant>
      <vt:variant>
        <vt:lpstr>Titre</vt:lpstr>
      </vt:variant>
      <vt:variant>
        <vt:i4>1</vt:i4>
      </vt:variant>
    </vt:vector>
  </HeadingPairs>
  <TitlesOfParts>
    <vt:vector size="3" baseType="lpstr">
      <vt:lpstr>Press Release Template</vt:lpstr>
      <vt:lpstr>Press Release Template</vt:lpstr>
      <vt:lpstr>Press Release Template</vt:lpstr>
    </vt:vector>
  </TitlesOfParts>
  <Company>Capgemini</Company>
  <LinksUpToDate>false</LinksUpToDate>
  <CharactersWithSpaces>5811</CharactersWithSpaces>
  <SharedDoc>false</SharedDoc>
  <HLinks>
    <vt:vector size="24" baseType="variant">
      <vt:variant>
        <vt:i4>5439508</vt:i4>
      </vt:variant>
      <vt:variant>
        <vt:i4>9</vt:i4>
      </vt:variant>
      <vt:variant>
        <vt:i4>0</vt:i4>
      </vt:variant>
      <vt:variant>
        <vt:i4>5</vt:i4>
      </vt:variant>
      <vt:variant>
        <vt:lpwstr>http://www.capgemini.com/</vt:lpwstr>
      </vt:variant>
      <vt:variant>
        <vt:lpwstr/>
      </vt:variant>
      <vt:variant>
        <vt:i4>6357110</vt:i4>
      </vt:variant>
      <vt:variant>
        <vt:i4>6</vt:i4>
      </vt:variant>
      <vt:variant>
        <vt:i4>0</vt:i4>
      </vt:variant>
      <vt:variant>
        <vt:i4>5</vt:i4>
      </vt:variant>
      <vt:variant>
        <vt:lpwstr>http://www.capgemini.com/about/how-we-work/rightshorer</vt:lpwstr>
      </vt:variant>
      <vt:variant>
        <vt:lpwstr/>
      </vt:variant>
      <vt:variant>
        <vt:i4>2490472</vt:i4>
      </vt:variant>
      <vt:variant>
        <vt:i4>3</vt:i4>
      </vt:variant>
      <vt:variant>
        <vt:i4>0</vt:i4>
      </vt:variant>
      <vt:variant>
        <vt:i4>5</vt:i4>
      </vt:variant>
      <vt:variant>
        <vt:lpwstr>http://www.capgemini.com/about/how-we-work/the-collaborative-business-experiencetm</vt:lpwstr>
      </vt:variant>
      <vt:variant>
        <vt:lpwstr/>
      </vt: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Tamara McKinney Berry</dc:creator>
  <cp:keywords>World Payments Report</cp:keywords>
  <cp:lastModifiedBy>Resare, Gunilla</cp:lastModifiedBy>
  <cp:revision>3</cp:revision>
  <cp:lastPrinted>2017-10-10T09:17:00Z</cp:lastPrinted>
  <dcterms:created xsi:type="dcterms:W3CDTF">2017-10-11T11:43:00Z</dcterms:created>
  <dcterms:modified xsi:type="dcterms:W3CDTF">2017-10-11T12:36:00Z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-985420394</vt:i4>
  </property>
  <property fmtid="{D5CDD505-2E9C-101B-9397-08002B2CF9AE}" pid="3" name="_NewReviewCycle">
    <vt:lpwstr/>
  </property>
  <property fmtid="{D5CDD505-2E9C-101B-9397-08002B2CF9AE}" pid="4" name="_DocHome">
    <vt:i4>293985478</vt:i4>
  </property>
  <property fmtid="{D5CDD505-2E9C-101B-9397-08002B2CF9AE}" pid="5" name="_ReviewingToolsShownOnce">
    <vt:lpwstr/>
  </property>
</Properties>
</file>