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58234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582345"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652AE9" w:rsidRPr="00652AE9" w:rsidRDefault="00652AE9" w:rsidP="00652AE9">
      <w:pPr>
        <w:pStyle w:val="BodyText2"/>
        <w:spacing w:line="276" w:lineRule="auto"/>
        <w:jc w:val="both"/>
        <w:rPr>
          <w:rFonts w:ascii="Arial" w:hAnsi="Arial" w:cs="Arial"/>
          <w:b/>
          <w:bCs/>
          <w:sz w:val="44"/>
          <w:szCs w:val="32"/>
          <w:lang w:val="cs-CZ"/>
        </w:rPr>
      </w:pPr>
      <w:r w:rsidRPr="00652AE9">
        <w:rPr>
          <w:rFonts w:ascii="Arial" w:hAnsi="Arial" w:cs="Arial"/>
          <w:b/>
          <w:bCs/>
          <w:sz w:val="44"/>
          <w:szCs w:val="32"/>
          <w:lang w:val="cs-CZ"/>
        </w:rPr>
        <w:t>Ford představí v Hannoveru novou generaci užitkových vozů Transit s elektrifikovaným pohonem a zabudovanou konektivitou</w:t>
      </w:r>
    </w:p>
    <w:p w:rsidR="004A5828" w:rsidRPr="00B37CF9" w:rsidRDefault="004A5828" w:rsidP="00311D56">
      <w:pPr>
        <w:pStyle w:val="BodyText2"/>
        <w:spacing w:line="276" w:lineRule="auto"/>
        <w:jc w:val="both"/>
        <w:rPr>
          <w:rFonts w:ascii="Arial" w:hAnsi="Arial" w:cs="Arial"/>
          <w:b/>
          <w:bCs/>
          <w:sz w:val="22"/>
          <w:szCs w:val="22"/>
          <w:lang w:val="cs-CZ"/>
        </w:rPr>
      </w:pPr>
    </w:p>
    <w:p w:rsidR="00652AE9" w:rsidRPr="00652AE9" w:rsidRDefault="00652AE9" w:rsidP="00652AE9">
      <w:pPr>
        <w:pStyle w:val="ListParagraph"/>
        <w:numPr>
          <w:ilvl w:val="0"/>
          <w:numId w:val="44"/>
        </w:numPr>
        <w:spacing w:line="276" w:lineRule="auto"/>
        <w:ind w:right="-24"/>
        <w:jc w:val="both"/>
        <w:rPr>
          <w:rFonts w:ascii="Arial" w:hAnsi="Arial" w:cs="Arial"/>
          <w:b/>
          <w:szCs w:val="22"/>
        </w:rPr>
      </w:pPr>
      <w:r w:rsidRPr="00652AE9">
        <w:rPr>
          <w:rFonts w:ascii="Arial" w:hAnsi="Arial" w:cs="Arial"/>
          <w:b/>
          <w:szCs w:val="22"/>
        </w:rPr>
        <w:t>Ford – nejprodávanější značka užitkových vozů v Evropě – představí na veletrhu užitkových automobilů v německém Hannoveru novou řadu Transit se zabudovanou konektivitou a pokročilou elektrifikací</w:t>
      </w:r>
    </w:p>
    <w:p w:rsidR="00652AE9" w:rsidRPr="00652AE9" w:rsidRDefault="00652AE9" w:rsidP="00652AE9">
      <w:pPr>
        <w:pStyle w:val="ListParagraph"/>
        <w:spacing w:line="276" w:lineRule="auto"/>
        <w:ind w:right="-24"/>
        <w:jc w:val="both"/>
        <w:rPr>
          <w:rFonts w:ascii="Arial" w:hAnsi="Arial" w:cs="Arial"/>
          <w:b/>
          <w:szCs w:val="22"/>
        </w:rPr>
      </w:pPr>
    </w:p>
    <w:p w:rsidR="00652AE9" w:rsidRPr="00652AE9" w:rsidRDefault="00652AE9" w:rsidP="00652AE9">
      <w:pPr>
        <w:pStyle w:val="ListParagraph"/>
        <w:numPr>
          <w:ilvl w:val="0"/>
          <w:numId w:val="44"/>
        </w:numPr>
        <w:spacing w:line="276" w:lineRule="auto"/>
        <w:ind w:right="-24"/>
        <w:jc w:val="both"/>
        <w:rPr>
          <w:rFonts w:ascii="Arial" w:hAnsi="Arial" w:cs="Arial"/>
          <w:b/>
          <w:szCs w:val="22"/>
        </w:rPr>
      </w:pPr>
      <w:r w:rsidRPr="00652AE9">
        <w:rPr>
          <w:rFonts w:ascii="Arial" w:hAnsi="Arial" w:cs="Arial"/>
          <w:b/>
          <w:szCs w:val="22"/>
        </w:rPr>
        <w:lastRenderedPageBreak/>
        <w:t xml:space="preserve">Ve světové premiéře se ukáže nový </w:t>
      </w:r>
      <w:r w:rsidR="00727A21">
        <w:rPr>
          <w:rFonts w:ascii="Arial" w:hAnsi="Arial" w:cs="Arial"/>
          <w:b/>
          <w:szCs w:val="22"/>
        </w:rPr>
        <w:t>T</w:t>
      </w:r>
      <w:r w:rsidRPr="00652AE9">
        <w:rPr>
          <w:rFonts w:ascii="Arial" w:hAnsi="Arial" w:cs="Arial"/>
          <w:b/>
          <w:szCs w:val="22"/>
        </w:rPr>
        <w:t>ransit s nosností do dvou tun. Má menší spotřebu, vyšší užitečné zatížení a jako první model ve svém segmentu 48V mildhybridní techniku (mHEV)</w:t>
      </w:r>
    </w:p>
    <w:p w:rsidR="00652AE9" w:rsidRPr="00652AE9" w:rsidRDefault="00652AE9" w:rsidP="00652AE9">
      <w:pPr>
        <w:pStyle w:val="ListParagraph"/>
        <w:spacing w:line="276" w:lineRule="auto"/>
        <w:ind w:right="-24"/>
        <w:jc w:val="both"/>
        <w:rPr>
          <w:rFonts w:ascii="Arial" w:hAnsi="Arial" w:cs="Arial"/>
          <w:b/>
          <w:szCs w:val="22"/>
        </w:rPr>
      </w:pPr>
    </w:p>
    <w:p w:rsidR="00652AE9" w:rsidRPr="00652AE9" w:rsidRDefault="00652AE9" w:rsidP="00652AE9">
      <w:pPr>
        <w:pStyle w:val="ListParagraph"/>
        <w:numPr>
          <w:ilvl w:val="0"/>
          <w:numId w:val="44"/>
        </w:numPr>
        <w:spacing w:line="276" w:lineRule="auto"/>
        <w:ind w:right="-24"/>
        <w:jc w:val="both"/>
        <w:rPr>
          <w:rFonts w:ascii="Arial" w:hAnsi="Arial" w:cs="Arial"/>
          <w:b/>
          <w:szCs w:val="22"/>
        </w:rPr>
      </w:pPr>
      <w:r w:rsidRPr="00652AE9">
        <w:rPr>
          <w:rFonts w:ascii="Arial" w:hAnsi="Arial" w:cs="Arial"/>
          <w:b/>
          <w:szCs w:val="22"/>
        </w:rPr>
        <w:t>Inovativní Transit Custom plug-in hybrid (PHEV) se poprvé předvede v sériové podobě. Na trh bude uveden v roce 2019</w:t>
      </w:r>
    </w:p>
    <w:p w:rsidR="00652AE9" w:rsidRPr="00652AE9" w:rsidRDefault="00652AE9" w:rsidP="00652AE9">
      <w:pPr>
        <w:pStyle w:val="ListParagraph"/>
        <w:spacing w:line="276" w:lineRule="auto"/>
        <w:ind w:right="-24"/>
        <w:jc w:val="both"/>
        <w:rPr>
          <w:rFonts w:ascii="Arial" w:hAnsi="Arial" w:cs="Arial"/>
          <w:b/>
          <w:szCs w:val="22"/>
        </w:rPr>
      </w:pPr>
    </w:p>
    <w:p w:rsidR="00652AE9" w:rsidRPr="00652AE9" w:rsidRDefault="00652AE9" w:rsidP="00652AE9">
      <w:pPr>
        <w:pStyle w:val="ListParagraph"/>
        <w:numPr>
          <w:ilvl w:val="0"/>
          <w:numId w:val="44"/>
        </w:numPr>
        <w:spacing w:line="276" w:lineRule="auto"/>
        <w:ind w:right="-24"/>
        <w:jc w:val="both"/>
        <w:rPr>
          <w:rFonts w:ascii="Arial" w:hAnsi="Arial" w:cs="Arial"/>
          <w:b/>
          <w:szCs w:val="22"/>
        </w:rPr>
      </w:pPr>
      <w:r w:rsidRPr="00652AE9">
        <w:rPr>
          <w:rFonts w:ascii="Arial" w:hAnsi="Arial" w:cs="Arial"/>
          <w:b/>
          <w:szCs w:val="22"/>
        </w:rPr>
        <w:t>Ford dále představí pokročilé telematické a datové služby pro připojená užitková vozidla, které pomohou fleetovým zákazníkům zefektivnit provoz svých užitkových vozů</w:t>
      </w:r>
    </w:p>
    <w:p w:rsidR="00652AE9" w:rsidRPr="00652AE9" w:rsidRDefault="00652AE9" w:rsidP="00652AE9">
      <w:pPr>
        <w:pStyle w:val="ListParagraph"/>
        <w:spacing w:line="276" w:lineRule="auto"/>
        <w:ind w:right="-24"/>
        <w:jc w:val="both"/>
        <w:rPr>
          <w:rFonts w:ascii="Arial" w:hAnsi="Arial" w:cs="Arial"/>
          <w:b/>
          <w:szCs w:val="22"/>
        </w:rPr>
      </w:pPr>
    </w:p>
    <w:p w:rsidR="00652AE9" w:rsidRPr="00652AE9" w:rsidRDefault="00652AE9" w:rsidP="00652AE9">
      <w:pPr>
        <w:pStyle w:val="ListParagraph"/>
        <w:numPr>
          <w:ilvl w:val="0"/>
          <w:numId w:val="44"/>
        </w:numPr>
        <w:spacing w:line="276" w:lineRule="auto"/>
        <w:ind w:right="-24"/>
        <w:jc w:val="both"/>
        <w:rPr>
          <w:rFonts w:ascii="Arial" w:hAnsi="Arial" w:cs="Arial"/>
          <w:b/>
          <w:szCs w:val="22"/>
        </w:rPr>
      </w:pPr>
      <w:r w:rsidRPr="00652AE9">
        <w:rPr>
          <w:rFonts w:ascii="Arial" w:hAnsi="Arial" w:cs="Arial"/>
          <w:b/>
          <w:szCs w:val="22"/>
        </w:rPr>
        <w:t>Po veřejné premiéře na herním veletrhu Gamescom zamíří do Hannoveru také sportovní pick-up Ranger Raptor</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301C1" w:rsidRDefault="003301C1">
      <w:pPr>
        <w:rPr>
          <w:rFonts w:ascii="Arial" w:hAnsi="Arial" w:cs="Arial"/>
          <w:b/>
          <w:i/>
          <w:sz w:val="24"/>
        </w:rPr>
      </w:pPr>
      <w:r>
        <w:rPr>
          <w:rFonts w:ascii="Arial" w:hAnsi="Arial" w:cs="Arial"/>
          <w:b/>
          <w:i/>
          <w:sz w:val="24"/>
        </w:rPr>
        <w:br w:type="page"/>
      </w: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lastRenderedPageBreak/>
        <w:t xml:space="preserve">/V Praze, </w:t>
      </w:r>
      <w:r w:rsidR="00652AE9">
        <w:rPr>
          <w:rFonts w:ascii="Arial" w:hAnsi="Arial" w:cs="Arial"/>
          <w:b/>
          <w:i/>
          <w:sz w:val="24"/>
        </w:rPr>
        <w:t>11</w:t>
      </w:r>
      <w:r w:rsidRPr="009A1395">
        <w:rPr>
          <w:rFonts w:ascii="Arial" w:hAnsi="Arial" w:cs="Arial"/>
          <w:b/>
          <w:i/>
          <w:sz w:val="24"/>
        </w:rPr>
        <w:t xml:space="preserve">. </w:t>
      </w:r>
      <w:r w:rsidR="00652AE9">
        <w:rPr>
          <w:rFonts w:ascii="Arial" w:hAnsi="Arial" w:cs="Arial"/>
          <w:b/>
          <w:i/>
          <w:sz w:val="24"/>
        </w:rPr>
        <w:t>září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652AE9" w:rsidRPr="00652AE9">
        <w:rPr>
          <w:rFonts w:ascii="Arial" w:hAnsi="Arial" w:cs="Arial"/>
          <w:b/>
          <w:sz w:val="24"/>
        </w:rPr>
        <w:t>Ford představí na veletrhu užitkových automobilů, který se koná ve dnech 20. až 27. září v německém Hannoveru, novou generaci modelů Transit se zabudovanou konektivitou a elektrifikovaným pohonem. Tyto novinky ještě upevní vedoucí postavení značky na evropském trhu užitkových vozů.</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Ford v Hannoveru vystaví širokou modelovou řadu vybavenou zabudovanými modemy. Ve světové premiéře se zde představí nový T</w:t>
      </w:r>
      <w:r w:rsidR="00EF078A">
        <w:rPr>
          <w:rFonts w:ascii="Arial" w:hAnsi="Arial" w:cs="Arial"/>
          <w:sz w:val="24"/>
        </w:rPr>
        <w:t>t</w:t>
      </w:r>
      <w:r w:rsidRPr="00652AE9">
        <w:rPr>
          <w:rFonts w:ascii="Arial" w:hAnsi="Arial" w:cs="Arial"/>
          <w:sz w:val="24"/>
        </w:rPr>
        <w:t xml:space="preserve">ransit s nosností do dvou tun a také nové Fordem vyvinuté služby pro provozovatele flotil. </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 xml:space="preserve">Inovace Fordu v segmentu užitkových vozů pokračují elektrifikovanými produkty. V sériové formě se v Hannoveru ukáže Transit Custom plug-in hybrid (PHEV). Další novinkou je nový Transit se 48V mild-hybridním pohonem (mHEV). Je to poprvé, kdy se tato pokročilá technologie v daném segmentu objevuje. </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b/>
          <w:sz w:val="24"/>
        </w:rPr>
      </w:pPr>
      <w:r w:rsidRPr="00652AE9">
        <w:rPr>
          <w:rFonts w:ascii="Arial" w:hAnsi="Arial" w:cs="Arial"/>
          <w:b/>
          <w:sz w:val="24"/>
        </w:rPr>
        <w:t>Nový Transit – vyšší produktivita,  hospodárnost</w:t>
      </w:r>
      <w:r w:rsidR="00605BC6">
        <w:rPr>
          <w:rFonts w:ascii="Arial" w:hAnsi="Arial" w:cs="Arial"/>
          <w:b/>
          <w:sz w:val="24"/>
        </w:rPr>
        <w:t xml:space="preserve"> i hybrid typu mHEV</w:t>
      </w: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 xml:space="preserve">Nový Ford Transit s nosností do dvou tun přijíždí s úspornějšími motory, vyšší nosností, zabudovanou konektivitou a pokročilými asistenčními systémy. Nový je rovněž vzhled jeho předních partií a interiér s vylepšenou nabídkou odkládacích prostor. Na trh vůz zamíří v polovině roku 2019. </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lastRenderedPageBreak/>
        <w:t xml:space="preserve">Vedle zdokonalených vznětových motorů 2.0 EcoBlue si budou moci zákazníci objednat 48V mHEV pohon, který dále sníží spotřebu paliva, zejména v městském provozu. Tato technologie bude k dispozici pro vozy s manuální převodovkou. Mild-hybridní technologie zachycuje při deceleraci energii do lithium-ion baterie o napětí 48 V a následně ji využívá k podpoře hnacího agregátu </w:t>
      </w:r>
      <w:r w:rsidR="00EF078A">
        <w:rPr>
          <w:rFonts w:ascii="Arial" w:hAnsi="Arial" w:cs="Arial"/>
          <w:sz w:val="24"/>
        </w:rPr>
        <w:t>a rovněž</w:t>
      </w:r>
      <w:r w:rsidRPr="00652AE9">
        <w:rPr>
          <w:rFonts w:ascii="Arial" w:hAnsi="Arial" w:cs="Arial"/>
          <w:sz w:val="24"/>
        </w:rPr>
        <w:t xml:space="preserve"> k napájení elektrického příslušenství.</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b/>
          <w:sz w:val="24"/>
        </w:rPr>
      </w:pPr>
      <w:r w:rsidRPr="00652AE9">
        <w:rPr>
          <w:rFonts w:ascii="Arial" w:hAnsi="Arial" w:cs="Arial"/>
          <w:b/>
          <w:sz w:val="24"/>
        </w:rPr>
        <w:t>Transit Custom PHEV – nulové emise bez obav z nedostatečného dojezdu</w:t>
      </w:r>
    </w:p>
    <w:p w:rsid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Inovativní Transit Custom plug-in hybrid (PHEV) má vyspělou hybridní hnací soustavu, která umožňuje bezemisní provoz až do vzdálenosti 50 km. K prodloužení dojezdu po vyčerpání kapacity baterií slouží oceňovaný zážehový motor 1.0 EcoBoost</w:t>
      </w:r>
      <w:r w:rsidR="00605BC6">
        <w:rPr>
          <w:rFonts w:ascii="Arial" w:hAnsi="Arial" w:cs="Arial"/>
          <w:sz w:val="24"/>
        </w:rPr>
        <w:t>, jenž p</w:t>
      </w:r>
      <w:r w:rsidRPr="00652AE9">
        <w:rPr>
          <w:rFonts w:ascii="Arial" w:hAnsi="Arial" w:cs="Arial"/>
          <w:sz w:val="24"/>
        </w:rPr>
        <w:t>ři delších jízdách dobíjí zabudované baterie. Celkový dojezd přesahuje 500 km.</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Transit Custom PHEV se v Hannoveru představuje ve finální podobě připravené pro sériovou výrobu. Díky tomu, že soustava kapalinou chlazených lithium-ion baterií je umístěna pod podlahou, zůstává zachován celý nákladový prostor. Vůz má zcela nový interiér, převzatý z nejaktuálnějšího Transitu Custom, a je standardně vybaven zabudovaným modemem.</w:t>
      </w:r>
      <w:r w:rsidR="00582345">
        <w:rPr>
          <w:rFonts w:ascii="Arial" w:hAnsi="Arial" w:cs="Arial"/>
          <w:sz w:val="24"/>
        </w:rPr>
        <w:t xml:space="preserve"> </w:t>
      </w:r>
      <w:r w:rsidR="00582345" w:rsidRPr="00582345">
        <w:rPr>
          <w:rFonts w:ascii="Arial" w:hAnsi="Arial" w:cs="Arial"/>
          <w:sz w:val="24"/>
        </w:rPr>
        <w:t>FordPass Connect pro rozšířené možnosti konektivity.</w:t>
      </w:r>
      <w:bookmarkStart w:id="9" w:name="_GoBack"/>
      <w:bookmarkEnd w:id="9"/>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b/>
          <w:sz w:val="24"/>
        </w:rPr>
      </w:pPr>
      <w:r w:rsidRPr="00652AE9">
        <w:rPr>
          <w:rFonts w:ascii="Arial" w:hAnsi="Arial" w:cs="Arial"/>
          <w:b/>
          <w:sz w:val="24"/>
        </w:rPr>
        <w:t>Telematické a datové služby Ford – pro správu vozových parků</w:t>
      </w: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 xml:space="preserve">Ford představuje v Hannoveru dvě nové služby, vyvinuté ve </w:t>
      </w:r>
      <w:r w:rsidRPr="00652AE9">
        <w:rPr>
          <w:rFonts w:ascii="Arial" w:hAnsi="Arial" w:cs="Arial"/>
          <w:sz w:val="24"/>
        </w:rPr>
        <w:lastRenderedPageBreak/>
        <w:t xml:space="preserve">vlastní režii oddělením Ford Smart Mobility. Při jejich vývoji </w:t>
      </w:r>
      <w:r w:rsidR="006F0EEE">
        <w:rPr>
          <w:rFonts w:ascii="Arial" w:hAnsi="Arial" w:cs="Arial"/>
          <w:sz w:val="24"/>
        </w:rPr>
        <w:t xml:space="preserve">oddělení FSM </w:t>
      </w:r>
      <w:r w:rsidRPr="00652AE9">
        <w:rPr>
          <w:rFonts w:ascii="Arial" w:hAnsi="Arial" w:cs="Arial"/>
          <w:sz w:val="24"/>
        </w:rPr>
        <w:t>využil</w:t>
      </w:r>
      <w:r w:rsidR="006F0EEE">
        <w:rPr>
          <w:rFonts w:ascii="Arial" w:hAnsi="Arial" w:cs="Arial"/>
          <w:sz w:val="24"/>
        </w:rPr>
        <w:t>o</w:t>
      </w:r>
      <w:r w:rsidRPr="00652AE9">
        <w:rPr>
          <w:rFonts w:ascii="Arial" w:hAnsi="Arial" w:cs="Arial"/>
          <w:sz w:val="24"/>
        </w:rPr>
        <w:t xml:space="preserve"> poznatk</w:t>
      </w:r>
      <w:r w:rsidR="001A530A">
        <w:rPr>
          <w:rFonts w:ascii="Arial" w:hAnsi="Arial" w:cs="Arial"/>
          <w:sz w:val="24"/>
        </w:rPr>
        <w:t>ů</w:t>
      </w:r>
      <w:r w:rsidRPr="00652AE9">
        <w:rPr>
          <w:rFonts w:ascii="Arial" w:hAnsi="Arial" w:cs="Arial"/>
          <w:sz w:val="24"/>
        </w:rPr>
        <w:t xml:space="preserve"> nashromážděn</w:t>
      </w:r>
      <w:r w:rsidR="001A530A">
        <w:rPr>
          <w:rFonts w:ascii="Arial" w:hAnsi="Arial" w:cs="Arial"/>
          <w:sz w:val="24"/>
        </w:rPr>
        <w:t>ých</w:t>
      </w:r>
      <w:r w:rsidRPr="00652AE9">
        <w:rPr>
          <w:rFonts w:ascii="Arial" w:hAnsi="Arial" w:cs="Arial"/>
          <w:sz w:val="24"/>
        </w:rPr>
        <w:t xml:space="preserve"> ve vozových parcích provozovatelů všech velikostí a z nejrůznějších oborů stejně jako vlastní </w:t>
      </w:r>
      <w:r w:rsidR="006F0EEE">
        <w:rPr>
          <w:rFonts w:ascii="Arial" w:hAnsi="Arial" w:cs="Arial"/>
          <w:sz w:val="24"/>
        </w:rPr>
        <w:t>jedinečné</w:t>
      </w:r>
      <w:r w:rsidRPr="00652AE9">
        <w:rPr>
          <w:rFonts w:ascii="Arial" w:hAnsi="Arial" w:cs="Arial"/>
          <w:sz w:val="24"/>
        </w:rPr>
        <w:t xml:space="preserve"> znalosti svých vozů.</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 xml:space="preserve">Telematické služby Ford poskytnou provozovatelům webovou aplikaci, která jim pomůže zlepšit vytížení vozů ve flotile, maximalizovat jejich dostupnost, optimalizovat provozní náklady a sledovat výkony řidičů. Datové služby Ford umožní provozovatelům spolupracujícím se třetími stranami zpřístupnit a odesílat do cloudu data, která jsou jinak dostupná pouze výrobci. Provozovatelé si </w:t>
      </w:r>
      <w:r w:rsidR="00FB7E9E">
        <w:rPr>
          <w:rFonts w:ascii="Arial" w:hAnsi="Arial" w:cs="Arial"/>
          <w:sz w:val="24"/>
        </w:rPr>
        <w:t>díky tomu</w:t>
      </w:r>
      <w:r w:rsidRPr="00652AE9">
        <w:rPr>
          <w:rFonts w:ascii="Arial" w:hAnsi="Arial" w:cs="Arial"/>
          <w:sz w:val="24"/>
        </w:rPr>
        <w:t xml:space="preserve"> budou moci nechat navrhnout vlastní fleetové řešení od dodavatele, </w:t>
      </w:r>
      <w:r w:rsidR="00FB7E9E">
        <w:rPr>
          <w:rFonts w:ascii="Arial" w:hAnsi="Arial" w:cs="Arial"/>
          <w:sz w:val="24"/>
        </w:rPr>
        <w:t>jemuž</w:t>
      </w:r>
      <w:r w:rsidRPr="00652AE9">
        <w:rPr>
          <w:rFonts w:ascii="Arial" w:hAnsi="Arial" w:cs="Arial"/>
          <w:sz w:val="24"/>
        </w:rPr>
        <w:t xml:space="preserve"> dávají přednost.</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b/>
          <w:sz w:val="24"/>
        </w:rPr>
      </w:pPr>
      <w:r w:rsidRPr="00652AE9">
        <w:rPr>
          <w:rFonts w:ascii="Arial" w:hAnsi="Arial" w:cs="Arial"/>
          <w:b/>
          <w:sz w:val="24"/>
        </w:rPr>
        <w:t>V Hannoveru nechybí ani Ranger Raptor</w:t>
      </w: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Po spektakulárním debutu na herním veletrhu Gamescom v Kolíně nad Rýnem se nový Ranger Raptor představuje také automobilové veřejnosti. Divize Ford Performance vyvinula tento model pro příznivce sportovní jízdy v terénu. V Evropě se začne prodávat v polovině roku 2019. Pod kapotou má bi-turbo variantu vznětového motoru Ford 2.0 EcoBlue, naladěnou na 157 kW a 500 Nm.</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4"/>
        </w:rPr>
      </w:pPr>
      <w:r w:rsidRPr="00652AE9">
        <w:rPr>
          <w:rFonts w:ascii="Arial" w:hAnsi="Arial" w:cs="Arial"/>
          <w:sz w:val="24"/>
        </w:rPr>
        <w:t xml:space="preserve">Majestátnímu vzhledu, </w:t>
      </w:r>
      <w:r w:rsidR="00163E67">
        <w:rPr>
          <w:rFonts w:ascii="Arial" w:hAnsi="Arial" w:cs="Arial"/>
          <w:sz w:val="24"/>
        </w:rPr>
        <w:t>jenž</w:t>
      </w:r>
      <w:r w:rsidRPr="00652AE9">
        <w:rPr>
          <w:rFonts w:ascii="Arial" w:hAnsi="Arial" w:cs="Arial"/>
          <w:sz w:val="24"/>
        </w:rPr>
        <w:t xml:space="preserve"> je výsledkem impozantních rozměrů Rangeru a extrémního stylingu, odpovídá speciální podvozek Ford Performance, optimalizovaný pro rychlou jízdu v terénu. Vynikající je rovněž průchodnost</w:t>
      </w:r>
      <w:r w:rsidR="00CE69CE">
        <w:rPr>
          <w:rFonts w:ascii="Arial" w:hAnsi="Arial" w:cs="Arial"/>
          <w:sz w:val="24"/>
        </w:rPr>
        <w:t xml:space="preserve"> vozu</w:t>
      </w:r>
      <w:r w:rsidRPr="00652AE9">
        <w:rPr>
          <w:rFonts w:ascii="Arial" w:hAnsi="Arial" w:cs="Arial"/>
          <w:sz w:val="24"/>
        </w:rPr>
        <w:t xml:space="preserve"> </w:t>
      </w:r>
      <w:r w:rsidRPr="00652AE9">
        <w:rPr>
          <w:rFonts w:ascii="Arial" w:hAnsi="Arial" w:cs="Arial"/>
          <w:sz w:val="24"/>
        </w:rPr>
        <w:lastRenderedPageBreak/>
        <w:t>terénem.</w:t>
      </w:r>
    </w:p>
    <w:p w:rsidR="00652AE9" w:rsidRPr="00652AE9" w:rsidRDefault="00652AE9" w:rsidP="00652AE9">
      <w:pPr>
        <w:widowControl w:val="0"/>
        <w:autoSpaceDE w:val="0"/>
        <w:autoSpaceDN w:val="0"/>
        <w:adjustRightInd w:val="0"/>
        <w:spacing w:line="276" w:lineRule="auto"/>
        <w:jc w:val="both"/>
        <w:rPr>
          <w:rFonts w:ascii="Arial" w:hAnsi="Arial" w:cs="Arial"/>
          <w:sz w:val="24"/>
        </w:rPr>
      </w:pPr>
    </w:p>
    <w:p w:rsidR="00652AE9" w:rsidRPr="00652AE9" w:rsidRDefault="00652AE9" w:rsidP="00652AE9">
      <w:pPr>
        <w:widowControl w:val="0"/>
        <w:autoSpaceDE w:val="0"/>
        <w:autoSpaceDN w:val="0"/>
        <w:adjustRightInd w:val="0"/>
        <w:spacing w:line="276" w:lineRule="auto"/>
        <w:jc w:val="both"/>
        <w:rPr>
          <w:rFonts w:ascii="Arial" w:hAnsi="Arial" w:cs="Arial"/>
          <w:sz w:val="22"/>
          <w:szCs w:val="22"/>
        </w:rPr>
      </w:pPr>
    </w:p>
    <w:p w:rsidR="00652AE9" w:rsidRPr="00652AE9" w:rsidRDefault="00652AE9" w:rsidP="00652AE9">
      <w:pPr>
        <w:widowControl w:val="0"/>
        <w:autoSpaceDE w:val="0"/>
        <w:autoSpaceDN w:val="0"/>
        <w:adjustRightInd w:val="0"/>
        <w:spacing w:line="276" w:lineRule="auto"/>
        <w:jc w:val="both"/>
        <w:rPr>
          <w:rFonts w:ascii="Arial" w:hAnsi="Arial" w:cs="Arial"/>
          <w:sz w:val="22"/>
          <w:szCs w:val="22"/>
        </w:rPr>
      </w:pPr>
      <w:r w:rsidRPr="00652AE9">
        <w:rPr>
          <w:rFonts w:ascii="Arial" w:hAnsi="Arial" w:cs="Arial"/>
          <w:sz w:val="22"/>
          <w:szCs w:val="22"/>
        </w:rPr>
        <w:t>* Oficiálně homologované hodnoty spotřeby paliva a emisí CO</w:t>
      </w:r>
      <w:r w:rsidRPr="003301C1">
        <w:rPr>
          <w:rFonts w:ascii="Arial" w:hAnsi="Arial" w:cs="Arial"/>
          <w:sz w:val="22"/>
          <w:szCs w:val="22"/>
          <w:vertAlign w:val="subscript"/>
        </w:rPr>
        <w:t>2</w:t>
      </w:r>
      <w:r w:rsidRPr="00652AE9">
        <w:rPr>
          <w:rFonts w:ascii="Arial" w:hAnsi="Arial" w:cs="Arial"/>
          <w:sz w:val="22"/>
          <w:szCs w:val="22"/>
        </w:rPr>
        <w:t xml:space="preserve"> budou zveřejněny později</w:t>
      </w:r>
      <w:r w:rsidR="00163E67">
        <w:rPr>
          <w:rFonts w:ascii="Arial" w:hAnsi="Arial" w:cs="Arial"/>
          <w:sz w:val="22"/>
          <w:szCs w:val="22"/>
        </w:rPr>
        <w:t>.</w:t>
      </w:r>
    </w:p>
    <w:p w:rsidR="00652AE9" w:rsidRPr="00652AE9" w:rsidRDefault="00652AE9" w:rsidP="00652AE9">
      <w:pPr>
        <w:widowControl w:val="0"/>
        <w:autoSpaceDE w:val="0"/>
        <w:autoSpaceDN w:val="0"/>
        <w:adjustRightInd w:val="0"/>
        <w:spacing w:line="276" w:lineRule="auto"/>
        <w:jc w:val="both"/>
        <w:rPr>
          <w:rFonts w:ascii="Arial" w:hAnsi="Arial" w:cs="Arial"/>
          <w:sz w:val="22"/>
          <w:szCs w:val="22"/>
        </w:rPr>
      </w:pPr>
      <w:r w:rsidRPr="00652AE9">
        <w:rPr>
          <w:rFonts w:ascii="Arial" w:hAnsi="Arial" w:cs="Arial"/>
          <w:sz w:val="22"/>
          <w:szCs w:val="22"/>
        </w:rPr>
        <w:t>Uváděné hodnoty spotřeby paliva a emisí CO</w:t>
      </w:r>
      <w:r w:rsidRPr="003301C1">
        <w:rPr>
          <w:rFonts w:ascii="Arial" w:hAnsi="Arial" w:cs="Arial"/>
          <w:sz w:val="22"/>
          <w:szCs w:val="22"/>
          <w:vertAlign w:val="subscript"/>
        </w:rPr>
        <w:t>2</w:t>
      </w:r>
      <w:r w:rsidRPr="00652AE9">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3301C1">
        <w:rPr>
          <w:rFonts w:ascii="Arial" w:hAnsi="Arial" w:cs="Arial"/>
          <w:sz w:val="22"/>
          <w:szCs w:val="22"/>
          <w:vertAlign w:val="subscript"/>
        </w:rPr>
        <w:t>2</w:t>
      </w:r>
      <w:r w:rsidRPr="00652AE9">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3301C1">
        <w:rPr>
          <w:rFonts w:ascii="Arial" w:hAnsi="Arial" w:cs="Arial"/>
          <w:sz w:val="22"/>
          <w:szCs w:val="22"/>
          <w:vertAlign w:val="subscript"/>
        </w:rPr>
        <w:t>2</w:t>
      </w:r>
      <w:r w:rsidRPr="00652AE9">
        <w:rPr>
          <w:rFonts w:ascii="Arial" w:hAnsi="Arial" w:cs="Arial"/>
          <w:sz w:val="22"/>
          <w:szCs w:val="22"/>
        </w:rPr>
        <w:t xml:space="preserve"> patří k nejvýznamnějším skleníkovým plynům, způsobujícím globální oteplování.</w:t>
      </w:r>
    </w:p>
    <w:p w:rsidR="00652AE9" w:rsidRPr="00652AE9" w:rsidRDefault="00652AE9" w:rsidP="00652AE9">
      <w:pPr>
        <w:widowControl w:val="0"/>
        <w:autoSpaceDE w:val="0"/>
        <w:autoSpaceDN w:val="0"/>
        <w:adjustRightInd w:val="0"/>
        <w:spacing w:line="276" w:lineRule="auto"/>
        <w:jc w:val="both"/>
        <w:rPr>
          <w:rFonts w:ascii="Arial" w:hAnsi="Arial" w:cs="Arial"/>
          <w:sz w:val="22"/>
          <w:szCs w:val="22"/>
        </w:rPr>
      </w:pPr>
    </w:p>
    <w:p w:rsidR="00652AE9" w:rsidRPr="00652AE9" w:rsidRDefault="00652AE9" w:rsidP="00652AE9">
      <w:pPr>
        <w:widowControl w:val="0"/>
        <w:autoSpaceDE w:val="0"/>
        <w:autoSpaceDN w:val="0"/>
        <w:adjustRightInd w:val="0"/>
        <w:spacing w:line="276" w:lineRule="auto"/>
        <w:jc w:val="both"/>
        <w:rPr>
          <w:rFonts w:ascii="Arial" w:hAnsi="Arial" w:cs="Arial"/>
          <w:sz w:val="22"/>
          <w:szCs w:val="22"/>
        </w:rPr>
      </w:pPr>
      <w:r w:rsidRPr="00652AE9">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3301C1">
        <w:rPr>
          <w:rFonts w:ascii="Arial" w:hAnsi="Arial" w:cs="Arial"/>
          <w:sz w:val="22"/>
          <w:szCs w:val="22"/>
          <w:vertAlign w:val="subscript"/>
        </w:rPr>
        <w:t>2</w:t>
      </w:r>
      <w:r w:rsidRPr="00652AE9">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3301C1">
        <w:rPr>
          <w:rFonts w:ascii="Arial" w:hAnsi="Arial" w:cs="Arial"/>
          <w:sz w:val="22"/>
          <w:szCs w:val="22"/>
          <w:vertAlign w:val="subscript"/>
        </w:rPr>
        <w:t>2</w:t>
      </w:r>
      <w:r w:rsidRPr="00652AE9">
        <w:rPr>
          <w:rFonts w:ascii="Arial" w:hAnsi="Arial" w:cs="Arial"/>
          <w:sz w:val="22"/>
          <w:szCs w:val="22"/>
        </w:rPr>
        <w:t>. To znamená, že stejný vůz může dle nové metodiky vykazovat jiné hodnoty než dříve.</w:t>
      </w:r>
    </w:p>
    <w:p w:rsidR="00652AE9" w:rsidRPr="00652AE9" w:rsidRDefault="00652AE9" w:rsidP="00652AE9">
      <w:pPr>
        <w:widowControl w:val="0"/>
        <w:autoSpaceDE w:val="0"/>
        <w:autoSpaceDN w:val="0"/>
        <w:adjustRightInd w:val="0"/>
        <w:spacing w:line="276" w:lineRule="auto"/>
        <w:jc w:val="both"/>
        <w:rPr>
          <w:rFonts w:ascii="Arial" w:hAnsi="Arial" w:cs="Arial"/>
          <w:sz w:val="22"/>
          <w:szCs w:val="22"/>
        </w:rPr>
      </w:pPr>
    </w:p>
    <w:p w:rsidR="00CE69CE" w:rsidRPr="00652AE9" w:rsidRDefault="00CE69CE" w:rsidP="00652AE9">
      <w:pPr>
        <w:widowControl w:val="0"/>
        <w:autoSpaceDE w:val="0"/>
        <w:autoSpaceDN w:val="0"/>
        <w:adjustRightInd w:val="0"/>
        <w:spacing w:line="276" w:lineRule="auto"/>
        <w:jc w:val="both"/>
        <w:rPr>
          <w:rFonts w:ascii="Arial" w:hAnsi="Arial" w:cs="Arial"/>
          <w:sz w:val="22"/>
          <w:szCs w:val="22"/>
        </w:rPr>
      </w:pPr>
    </w:p>
    <w:sectPr w:rsidR="00CE69CE" w:rsidRPr="00652AE9"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3B0" w:rsidRDefault="00A113B0">
      <w:r>
        <w:separator/>
      </w:r>
    </w:p>
  </w:endnote>
  <w:endnote w:type="continuationSeparator" w:id="0">
    <w:p w:rsidR="00A113B0" w:rsidRDefault="00A113B0">
      <w:r>
        <w:continuationSeparator/>
      </w:r>
    </w:p>
  </w:endnote>
  <w:endnote w:type="continuationNotice" w:id="1">
    <w:p w:rsidR="00A113B0" w:rsidRDefault="00A11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3B0" w:rsidRDefault="00A113B0">
      <w:r>
        <w:separator/>
      </w:r>
    </w:p>
  </w:footnote>
  <w:footnote w:type="continuationSeparator" w:id="0">
    <w:p w:rsidR="00A113B0" w:rsidRDefault="00A113B0">
      <w:r>
        <w:continuationSeparator/>
      </w:r>
    </w:p>
  </w:footnote>
  <w:footnote w:type="continuationNotice" w:id="1">
    <w:p w:rsidR="00A113B0" w:rsidRDefault="00A113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8F6D63"/>
    <w:multiLevelType w:val="hybridMultilevel"/>
    <w:tmpl w:val="90DE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8"/>
  </w:num>
  <w:num w:numId="8">
    <w:abstractNumId w:val="12"/>
  </w:num>
  <w:num w:numId="9">
    <w:abstractNumId w:val="27"/>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6"/>
  </w:num>
  <w:num w:numId="31">
    <w:abstractNumId w:val="39"/>
  </w:num>
  <w:num w:numId="32">
    <w:abstractNumId w:val="19"/>
  </w:num>
  <w:num w:numId="33">
    <w:abstractNumId w:val="7"/>
  </w:num>
  <w:num w:numId="34">
    <w:abstractNumId w:val="34"/>
  </w:num>
  <w:num w:numId="35">
    <w:abstractNumId w:val="25"/>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4BA9"/>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3E67"/>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30A"/>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1C1"/>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61B9"/>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141"/>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0FC2"/>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405F"/>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5AEC"/>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234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5BC6"/>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2AE9"/>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0EEE"/>
    <w:rsid w:val="006F165E"/>
    <w:rsid w:val="006F1D21"/>
    <w:rsid w:val="006F1F49"/>
    <w:rsid w:val="006F3174"/>
    <w:rsid w:val="006F4618"/>
    <w:rsid w:val="006F5B3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A21"/>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3B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E69CE"/>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DF5588"/>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78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0A5"/>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77633"/>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B7E9E"/>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40060"/>
  <w15:docId w15:val="{455E669B-2A23-43DC-BC69-798FEFE9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CFDE-ED57-4644-A923-15B5C7A7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5543</Characters>
  <Application>Microsoft Office Word</Application>
  <DocSecurity>4</DocSecurity>
  <Lines>46</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2018-09-11T14:58:00Z</dcterms:created>
  <dcterms:modified xsi:type="dcterms:W3CDTF">2018-09-11T14:58:00Z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