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6F" w:rsidRDefault="00B30AB2">
      <w:r>
        <w:rPr>
          <w:noProof/>
          <w:lang w:eastAsia="sv-SE"/>
        </w:rPr>
        <w:drawing>
          <wp:inline distT="0" distB="0" distL="0" distR="0">
            <wp:extent cx="1733550" cy="990600"/>
            <wp:effectExtent l="19050" t="0" r="0" b="0"/>
            <wp:docPr id="5" name="Bildobjekt 4" descr="logga_72_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72_2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783" cy="9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AB2" w:rsidRDefault="00B30AB2"/>
    <w:p w:rsidR="00B30AB2" w:rsidRDefault="00B30AB2"/>
    <w:p w:rsidR="006A606F" w:rsidRDefault="006A606F">
      <w:pPr>
        <w:rPr>
          <w:b/>
          <w:sz w:val="28"/>
          <w:szCs w:val="28"/>
        </w:rPr>
      </w:pPr>
      <w:r w:rsidRPr="006A606F">
        <w:rPr>
          <w:b/>
          <w:sz w:val="28"/>
          <w:szCs w:val="28"/>
        </w:rPr>
        <w:t xml:space="preserve">Svensk frukt är inte giftig. </w:t>
      </w:r>
    </w:p>
    <w:p w:rsidR="00C3416A" w:rsidRDefault="006A606F" w:rsidP="00C3416A">
      <w:pPr>
        <w:rPr>
          <w:sz w:val="28"/>
          <w:szCs w:val="28"/>
        </w:rPr>
      </w:pPr>
      <w:r>
        <w:rPr>
          <w:sz w:val="28"/>
          <w:szCs w:val="28"/>
        </w:rPr>
        <w:t xml:space="preserve">Efter de tidningsnotiser som förekommit, vill jag från Äppelriket poängtera att det inte är farligt att äta Svenska äpplen. </w:t>
      </w:r>
    </w:p>
    <w:p w:rsidR="006A606F" w:rsidRDefault="00C3416A" w:rsidP="00C3416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3416A">
        <w:rPr>
          <w:sz w:val="28"/>
          <w:szCs w:val="28"/>
        </w:rPr>
        <w:t>Jordbruksverket har tagit på sig skulden för felaktig information till Svenska odlare.</w:t>
      </w:r>
    </w:p>
    <w:p w:rsidR="002767A4" w:rsidRDefault="002767A4" w:rsidP="002767A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Livsmedelsverket konstaterar att de prover man tagit är långt under det gränsvärde som finns för produkten. Alltså äpplena är inte giftiga!</w:t>
      </w:r>
    </w:p>
    <w:p w:rsidR="00B30AB2" w:rsidRDefault="00B30AB2" w:rsidP="002767A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är inte alla äpplen som behandlats med preparatet.</w:t>
      </w:r>
    </w:p>
    <w:p w:rsidR="002767A4" w:rsidRDefault="002767A4" w:rsidP="002767A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finns</w:t>
      </w:r>
      <w:r w:rsidR="00DE1E59">
        <w:rPr>
          <w:sz w:val="28"/>
          <w:szCs w:val="28"/>
        </w:rPr>
        <w:t xml:space="preserve"> inget saluförbud på äpplena och kommer heller int</w:t>
      </w:r>
      <w:r w:rsidR="00B30AB2">
        <w:rPr>
          <w:sz w:val="28"/>
          <w:szCs w:val="28"/>
        </w:rPr>
        <w:t>e</w:t>
      </w:r>
      <w:r w:rsidR="00DE1E59">
        <w:rPr>
          <w:sz w:val="28"/>
          <w:szCs w:val="28"/>
        </w:rPr>
        <w:t xml:space="preserve"> att bli.</w:t>
      </w:r>
    </w:p>
    <w:p w:rsidR="00C3416A" w:rsidRDefault="00C3416A" w:rsidP="00C3416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Medlet det gäller har använts i Sverige i många år.</w:t>
      </w:r>
    </w:p>
    <w:p w:rsidR="00C3416A" w:rsidRDefault="00C3416A" w:rsidP="00C3416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Medlet är tillåtet i flera Europeiska länder som skickar frukt till Sverige.</w:t>
      </w:r>
    </w:p>
    <w:p w:rsidR="00C3416A" w:rsidRDefault="00C3416A" w:rsidP="00C3416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Statistik visar på att Svensk odling klarar resthalterna mycket bättre än de flesta länder som importerar frukt till Sverige.</w:t>
      </w:r>
    </w:p>
    <w:p w:rsidR="00C3416A" w:rsidRDefault="00C3416A" w:rsidP="00C3416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Denna debatt hade aldrig uppkommit om två Svenska myndigheter pratat samma språk.</w:t>
      </w:r>
    </w:p>
    <w:p w:rsidR="002767A4" w:rsidRDefault="00C3416A" w:rsidP="002767A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Förlorarna i sammanhanget är Svensk fruktodling som genom åren byggt upp ett stort förtroende</w:t>
      </w:r>
      <w:r w:rsidR="002767A4">
        <w:rPr>
          <w:sz w:val="28"/>
          <w:szCs w:val="28"/>
        </w:rPr>
        <w:t xml:space="preserve"> hos Svenska konsumenter.</w:t>
      </w:r>
    </w:p>
    <w:p w:rsidR="00B30AB2" w:rsidRDefault="00B30AB2" w:rsidP="00B30AB2">
      <w:pPr>
        <w:pStyle w:val="Liststycke"/>
        <w:ind w:left="644"/>
        <w:rPr>
          <w:sz w:val="28"/>
          <w:szCs w:val="28"/>
        </w:rPr>
      </w:pPr>
    </w:p>
    <w:p w:rsidR="00B30AB2" w:rsidRDefault="00B30AB2" w:rsidP="00B30AB2">
      <w:pPr>
        <w:pStyle w:val="Liststycke"/>
        <w:ind w:left="644"/>
        <w:rPr>
          <w:sz w:val="28"/>
          <w:szCs w:val="28"/>
        </w:rPr>
      </w:pPr>
      <w:r>
        <w:rPr>
          <w:sz w:val="28"/>
          <w:szCs w:val="28"/>
        </w:rPr>
        <w:t>Bifogar tabeller med livsmedelsverkets statistik på upptäckta resthalter i äpple.</w:t>
      </w:r>
    </w:p>
    <w:p w:rsidR="00B30AB2" w:rsidRDefault="00B30AB2" w:rsidP="00B30AB2">
      <w:pPr>
        <w:pStyle w:val="Liststycke"/>
        <w:ind w:left="644"/>
        <w:rPr>
          <w:sz w:val="28"/>
          <w:szCs w:val="28"/>
        </w:rPr>
      </w:pPr>
    </w:p>
    <w:p w:rsidR="00B30AB2" w:rsidRDefault="00B30AB2" w:rsidP="00B30AB2">
      <w:pPr>
        <w:pStyle w:val="Liststycke"/>
        <w:ind w:left="644"/>
        <w:rPr>
          <w:sz w:val="28"/>
          <w:szCs w:val="28"/>
        </w:rPr>
      </w:pPr>
      <w:r>
        <w:rPr>
          <w:sz w:val="28"/>
          <w:szCs w:val="28"/>
        </w:rPr>
        <w:t>Hälsningar</w:t>
      </w:r>
    </w:p>
    <w:p w:rsidR="00B30AB2" w:rsidRDefault="00B30AB2" w:rsidP="00B30AB2">
      <w:pPr>
        <w:pStyle w:val="Liststycke"/>
        <w:ind w:left="644"/>
        <w:rPr>
          <w:sz w:val="28"/>
          <w:szCs w:val="28"/>
        </w:rPr>
      </w:pPr>
      <w:r>
        <w:rPr>
          <w:sz w:val="28"/>
          <w:szCs w:val="28"/>
        </w:rPr>
        <w:t>Lars-Olof Börjesson</w:t>
      </w:r>
    </w:p>
    <w:p w:rsidR="00B30AB2" w:rsidRDefault="00B30AB2" w:rsidP="00B30AB2">
      <w:pPr>
        <w:pStyle w:val="Liststycke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Äppelriket Österlen </w:t>
      </w:r>
      <w:proofErr w:type="spellStart"/>
      <w:r>
        <w:rPr>
          <w:sz w:val="28"/>
          <w:szCs w:val="28"/>
        </w:rPr>
        <w:t>ek.för</w:t>
      </w:r>
      <w:proofErr w:type="spellEnd"/>
    </w:p>
    <w:p w:rsidR="00B30AB2" w:rsidRDefault="00B30AB2" w:rsidP="00B30AB2">
      <w:pPr>
        <w:pStyle w:val="Liststycke"/>
        <w:ind w:left="644"/>
        <w:rPr>
          <w:sz w:val="28"/>
          <w:szCs w:val="28"/>
        </w:rPr>
      </w:pPr>
    </w:p>
    <w:p w:rsidR="00B30AB2" w:rsidRDefault="00B30AB2" w:rsidP="00B30AB2">
      <w:pPr>
        <w:pStyle w:val="Liststycke"/>
        <w:ind w:left="644"/>
        <w:rPr>
          <w:sz w:val="28"/>
          <w:szCs w:val="28"/>
        </w:rPr>
      </w:pPr>
    </w:p>
    <w:p w:rsidR="006A606F" w:rsidRDefault="006A606F">
      <w:pPr>
        <w:rPr>
          <w:b/>
          <w:sz w:val="28"/>
          <w:szCs w:val="28"/>
        </w:rPr>
      </w:pPr>
    </w:p>
    <w:p w:rsidR="006A606F" w:rsidRDefault="002767A4">
      <w:r>
        <w:t>Statistik hämtad från livsmedelsverkets redovisning på Livsmedelverkets hemsida.</w:t>
      </w:r>
    </w:p>
    <w:p w:rsidR="006A606F" w:rsidRDefault="006A606F">
      <w:r w:rsidRPr="006A606F">
        <w:drawing>
          <wp:inline distT="0" distB="0" distL="0" distR="0">
            <wp:extent cx="5276850" cy="340042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606F" w:rsidRDefault="006A606F"/>
    <w:p w:rsidR="006A606F" w:rsidRDefault="006A606F">
      <w:r w:rsidRPr="006A606F">
        <w:drawing>
          <wp:inline distT="0" distB="0" distL="0" distR="0">
            <wp:extent cx="5210175" cy="3409950"/>
            <wp:effectExtent l="0" t="0" r="0" b="0"/>
            <wp:docPr id="4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606F" w:rsidRDefault="006A606F"/>
    <w:p w:rsidR="006A606F" w:rsidRDefault="006A606F"/>
    <w:p w:rsidR="006A606F" w:rsidRDefault="006A606F"/>
    <w:p w:rsidR="006A606F" w:rsidRDefault="006A606F"/>
    <w:p w:rsidR="006A606F" w:rsidRDefault="006A606F"/>
    <w:p w:rsidR="006A606F" w:rsidRDefault="006A606F"/>
    <w:p w:rsidR="006A606F" w:rsidRDefault="006A606F"/>
    <w:p w:rsidR="006A606F" w:rsidRDefault="006A606F"/>
    <w:p w:rsidR="00A22EF1" w:rsidRDefault="00A22EF1"/>
    <w:sectPr w:rsidR="00A22EF1" w:rsidSect="00A2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5468"/>
    <w:multiLevelType w:val="hybridMultilevel"/>
    <w:tmpl w:val="90ACA12E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1304"/>
  <w:hyphenationZone w:val="425"/>
  <w:characterSpacingControl w:val="doNotCompress"/>
  <w:compat/>
  <w:rsids>
    <w:rsidRoot w:val="006A606F"/>
    <w:rsid w:val="002767A4"/>
    <w:rsid w:val="006A606F"/>
    <w:rsid w:val="00A22EF1"/>
    <w:rsid w:val="00B30AB2"/>
    <w:rsid w:val="00C3416A"/>
    <w:rsid w:val="00D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F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A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06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34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erver-2\lars$\EXCEL\Resthalter2001-200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-2\lars$\EXCEL\Resthalter2001-200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style val="42"/>
  <c:chart>
    <c:title>
      <c:tx>
        <c:rich>
          <a:bodyPr/>
          <a:lstStyle/>
          <a:p>
            <a:pPr>
              <a:defRPr/>
            </a:pPr>
            <a:r>
              <a:rPr lang="en-US"/>
              <a:t>RESTHALTER AV KEMIKALIER I SVENSKA ÄPPLEN 2000 - 2006</a:t>
            </a:r>
          </a:p>
        </c:rich>
      </c:tx>
      <c:layout/>
    </c:title>
    <c:plotArea>
      <c:layout/>
      <c:pieChart>
        <c:varyColors val="1"/>
        <c:ser>
          <c:idx val="0"/>
          <c:order val="0"/>
          <c:explosion val="25"/>
          <c:dPt>
            <c:idx val="1"/>
            <c:spPr>
              <a:solidFill>
                <a:srgbClr val="FFC000">
                  <a:alpha val="81000"/>
                </a:srgbClr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numFmt formatCode="0.0%" sourceLinked="0"/>
              <c:spPr/>
              <c:txPr>
                <a:bodyPr/>
                <a:lstStyle/>
                <a:p>
                  <a:pPr>
                    <a:defRPr sz="1400"/>
                  </a:pPr>
                  <a:endParaRPr lang="sv-SE"/>
                </a:p>
              </c:txPr>
              <c:dLblPos val="bestFit"/>
              <c:showPercent val="1"/>
            </c:dLbl>
            <c:dLbl>
              <c:idx val="1"/>
              <c:layout>
                <c:manualLayout>
                  <c:x val="-1.1914778703203616E-2"/>
                  <c:y val="3.5076203709830389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/>
                  </a:pPr>
                  <a:endParaRPr lang="sv-SE"/>
                </a:p>
              </c:txPr>
              <c:dLblPos val="bestFit"/>
              <c:showPercent val="1"/>
            </c:dLbl>
            <c:dLbl>
              <c:idx val="2"/>
              <c:layout>
                <c:manualLayout>
                  <c:x val="3.9277030804362449E-2"/>
                  <c:y val="7.2846776505877944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/>
                  </a:pPr>
                  <a:endParaRPr lang="sv-SE"/>
                </a:p>
              </c:txPr>
              <c:dLblPos val="bestFit"/>
              <c:showPercent val="1"/>
            </c:dLbl>
            <c:txPr>
              <a:bodyPr/>
              <a:lstStyle/>
              <a:p>
                <a:pPr>
                  <a:defRPr sz="1400"/>
                </a:pPr>
                <a:endParaRPr lang="sv-SE"/>
              </a:p>
            </c:txPr>
            <c:showPercent val="1"/>
            <c:showLeaderLines val="1"/>
          </c:dLbls>
          <c:cat>
            <c:multiLvlStrRef>
              <c:f>Blad1!$G$72:$I$74</c:f>
              <c:multiLvlStrCache>
                <c:ptCount val="3"/>
                <c:lvl>
                  <c:pt idx="0">
                    <c:v>RESTER</c:v>
                  </c:pt>
                  <c:pt idx="1">
                    <c:v>GRÄNSV.</c:v>
                  </c:pt>
                  <c:pt idx="2">
                    <c:v>GRÄNSV.</c:v>
                  </c:pt>
                </c:lvl>
                <c:lvl>
                  <c:pt idx="0">
                    <c:v>INGA</c:v>
                  </c:pt>
                  <c:pt idx="1">
                    <c:v>UNDER</c:v>
                  </c:pt>
                  <c:pt idx="2">
                    <c:v>ÖVER</c:v>
                  </c:pt>
                </c:lvl>
                <c:lvl>
                  <c:pt idx="0">
                    <c:v>SVERIGE</c:v>
                  </c:pt>
                  <c:pt idx="1">
                    <c:v>SVERIGE</c:v>
                  </c:pt>
                  <c:pt idx="2">
                    <c:v>SVERIGE</c:v>
                  </c:pt>
                </c:lvl>
              </c:multiLvlStrCache>
            </c:multiLvlStrRef>
          </c:cat>
          <c:val>
            <c:numRef>
              <c:f>Blad1!$G$75:$I$75</c:f>
              <c:numCache>
                <c:formatCode>0.0%</c:formatCode>
                <c:ptCount val="3"/>
                <c:pt idx="0">
                  <c:v>0.94181818181818178</c:v>
                </c:pt>
                <c:pt idx="1">
                  <c:v>5.8181818181818182E-2</c:v>
                </c:pt>
                <c:pt idx="2">
                  <c:v>3.6363636363636364E-3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  <c:layout/>
    </c:legend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style val="42"/>
  <c:chart>
    <c:title>
      <c:tx>
        <c:rich>
          <a:bodyPr/>
          <a:lstStyle/>
          <a:p>
            <a:pPr>
              <a:defRPr/>
            </a:pPr>
            <a:r>
              <a:rPr lang="en-US"/>
              <a:t>RESTHALTER AV KEMIKALIER I IMPORTERADE ÄPPLE 2000 - 2006</a:t>
            </a:r>
          </a:p>
          <a:p>
            <a:pPr>
              <a:defRPr/>
            </a:pPr>
            <a:endParaRPr lang="en-US"/>
          </a:p>
        </c:rich>
      </c:tx>
      <c:layout/>
    </c:title>
    <c:plotArea>
      <c:layout/>
      <c:pieChart>
        <c:ser>
          <c:idx val="0"/>
          <c:order val="0"/>
          <c:explosion val="25"/>
          <c:dPt>
            <c:idx val="1"/>
            <c:explosion val="0"/>
            <c:spPr>
              <a:solidFill>
                <a:srgbClr val="FFC000">
                  <a:alpha val="79000"/>
                </a:srgbClr>
              </a:solidFill>
            </c:spPr>
          </c:dPt>
          <c:dPt>
            <c:idx val="2"/>
            <c:explosion val="0"/>
            <c:spPr>
              <a:solidFill>
                <a:srgbClr val="FF0000">
                  <a:alpha val="76000"/>
                </a:srgbClr>
              </a:solidFill>
            </c:spPr>
          </c:dPt>
          <c:dLbls>
            <c:numFmt formatCode="0.0%" sourceLinked="0"/>
            <c:txPr>
              <a:bodyPr/>
              <a:lstStyle/>
              <a:p>
                <a:pPr>
                  <a:defRPr sz="1400"/>
                </a:pPr>
                <a:endParaRPr lang="sv-SE"/>
              </a:p>
            </c:txPr>
            <c:showPercent val="1"/>
            <c:showLeaderLines val="1"/>
          </c:dLbls>
          <c:cat>
            <c:multiLvlStrRef>
              <c:f>Blad1!$K$72:$M$74</c:f>
              <c:multiLvlStrCache>
                <c:ptCount val="3"/>
                <c:lvl>
                  <c:pt idx="0">
                    <c:v>RESTER</c:v>
                  </c:pt>
                  <c:pt idx="1">
                    <c:v>GRÄNSV.</c:v>
                  </c:pt>
                  <c:pt idx="2">
                    <c:v>GRÄNSV</c:v>
                  </c:pt>
                </c:lvl>
                <c:lvl>
                  <c:pt idx="0">
                    <c:v>INGA</c:v>
                  </c:pt>
                  <c:pt idx="1">
                    <c:v>UNDER</c:v>
                  </c:pt>
                  <c:pt idx="2">
                    <c:v>ÖVER</c:v>
                  </c:pt>
                </c:lvl>
                <c:lvl>
                  <c:pt idx="0">
                    <c:v>IMPORT</c:v>
                  </c:pt>
                  <c:pt idx="1">
                    <c:v>IMPORT</c:v>
                  </c:pt>
                  <c:pt idx="2">
                    <c:v>IMPORT</c:v>
                  </c:pt>
                </c:lvl>
              </c:multiLvlStrCache>
            </c:multiLvlStrRef>
          </c:cat>
          <c:val>
            <c:numRef>
              <c:f>Blad1!$K$75:$M$75</c:f>
              <c:numCache>
                <c:formatCode>0.0%</c:formatCode>
                <c:ptCount val="3"/>
                <c:pt idx="0">
                  <c:v>0.74165636588380712</c:v>
                </c:pt>
                <c:pt idx="1">
                  <c:v>0.25834363411619282</c:v>
                </c:pt>
                <c:pt idx="2">
                  <c:v>2.7194066749072928E-2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  <c:layout/>
    </c:legend>
    <c:plotVisOnly val="1"/>
    <c:dispBlanksAs val="zero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0.7795</cdr:x>
      <cdr:y>0.85536</cdr:y>
    </cdr:from>
    <cdr:to>
      <cdr:x>0.98617</cdr:x>
      <cdr:y>0.95885</cdr:y>
    </cdr:to>
    <cdr:sp macro="" textlink="">
      <cdr:nvSpPr>
        <cdr:cNvPr id="2" name="textruta 1"/>
        <cdr:cNvSpPr txBox="1"/>
      </cdr:nvSpPr>
      <cdr:spPr>
        <a:xfrm xmlns:a="http://schemas.openxmlformats.org/drawingml/2006/main">
          <a:off x="7242023" y="5185832"/>
          <a:ext cx="1920119" cy="627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v-SE" sz="1100"/>
            <a:t>DATA FRÅN LIVSMEDELSVERKET</a:t>
          </a:r>
          <a:r>
            <a:rPr lang="sv-SE" sz="1100" baseline="0"/>
            <a:t> SLV.SE</a:t>
          </a:r>
          <a:endParaRPr lang="sv-SE" sz="1100"/>
        </a:p>
      </cdr:txBody>
    </cdr:sp>
  </cdr:relSizeAnchor>
</c:userShape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Äppelriket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1</cp:revision>
  <dcterms:created xsi:type="dcterms:W3CDTF">2009-12-04T05:53:00Z</dcterms:created>
  <dcterms:modified xsi:type="dcterms:W3CDTF">2009-12-04T07:39:00Z</dcterms:modified>
</cp:coreProperties>
</file>