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7" w:rsidRDefault="000B6047" w:rsidP="000B6047">
      <w:pPr>
        <w:jc w:val="right"/>
      </w:pPr>
      <w:r>
        <w:rPr>
          <w:noProof/>
        </w:rPr>
        <w:drawing>
          <wp:inline distT="0" distB="0" distL="0" distR="0">
            <wp:extent cx="1924711" cy="60692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11" cy="60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47" w:rsidRPr="00474354" w:rsidRDefault="000B6047" w:rsidP="009304F1">
      <w:pPr>
        <w:ind w:left="5216" w:firstLine="1304"/>
      </w:pPr>
      <w:r w:rsidRPr="009304F1">
        <w:t xml:space="preserve">Pressrelease, </w:t>
      </w:r>
      <w:r w:rsidR="009304F1" w:rsidRPr="009304F1">
        <w:t>2011-12-21</w:t>
      </w:r>
      <w:r w:rsidR="00945A73">
        <w:br/>
      </w:r>
    </w:p>
    <w:p w:rsidR="000B6047" w:rsidRPr="00C75056" w:rsidRDefault="00BC352E">
      <w:pPr>
        <w:rPr>
          <w:b/>
          <w:sz w:val="28"/>
          <w:szCs w:val="28"/>
        </w:rPr>
      </w:pPr>
      <w:r>
        <w:rPr>
          <w:b/>
          <w:sz w:val="32"/>
          <w:szCs w:val="32"/>
        </w:rPr>
        <w:t>En miljon</w:t>
      </w:r>
      <w:r w:rsidR="00AD5934">
        <w:rPr>
          <w:b/>
          <w:sz w:val="32"/>
          <w:szCs w:val="32"/>
        </w:rPr>
        <w:t xml:space="preserve"> </w:t>
      </w:r>
      <w:r w:rsidR="002051A4">
        <w:rPr>
          <w:b/>
          <w:sz w:val="32"/>
          <w:szCs w:val="32"/>
        </w:rPr>
        <w:t>svenska restaurang</w:t>
      </w:r>
      <w:r>
        <w:rPr>
          <w:b/>
          <w:sz w:val="32"/>
          <w:szCs w:val="32"/>
        </w:rPr>
        <w:t xml:space="preserve">gäster har bokat bord </w:t>
      </w:r>
      <w:r w:rsidR="002051A4">
        <w:rPr>
          <w:b/>
          <w:sz w:val="32"/>
          <w:szCs w:val="32"/>
        </w:rPr>
        <w:t>online i år!</w:t>
      </w:r>
      <w:r w:rsidR="00C75056">
        <w:rPr>
          <w:b/>
          <w:sz w:val="28"/>
          <w:szCs w:val="28"/>
        </w:rPr>
        <w:br/>
      </w:r>
      <w:proofErr w:type="gramStart"/>
      <w:r w:rsidR="00C75056" w:rsidRPr="00C75056">
        <w:rPr>
          <w:b/>
          <w:sz w:val="24"/>
          <w:szCs w:val="24"/>
        </w:rPr>
        <w:t>-</w:t>
      </w:r>
      <w:proofErr w:type="gramEnd"/>
      <w:r w:rsidR="00C75056" w:rsidRPr="00C75056">
        <w:rPr>
          <w:b/>
          <w:sz w:val="24"/>
          <w:szCs w:val="24"/>
        </w:rPr>
        <w:t xml:space="preserve"> </w:t>
      </w:r>
      <w:r w:rsidR="002051A4">
        <w:rPr>
          <w:b/>
          <w:sz w:val="24"/>
          <w:szCs w:val="24"/>
        </w:rPr>
        <w:t xml:space="preserve">Bookatable.com bekräftar kraftig tillväxt i </w:t>
      </w:r>
      <w:r w:rsidR="00C75056" w:rsidRPr="00C75056">
        <w:rPr>
          <w:b/>
          <w:sz w:val="24"/>
          <w:szCs w:val="24"/>
        </w:rPr>
        <w:t xml:space="preserve">trenden med restaurangbokningar online </w:t>
      </w:r>
    </w:p>
    <w:p w:rsidR="00D54EFB" w:rsidRDefault="00645C4D">
      <w:hyperlink r:id="rId7" w:history="1">
        <w:r w:rsidR="00AD5934" w:rsidRPr="00AD5934">
          <w:rPr>
            <w:rStyle w:val="Hyperlnk"/>
          </w:rPr>
          <w:t>Bookatable.com</w:t>
        </w:r>
      </w:hyperlink>
      <w:r w:rsidR="00AD5934">
        <w:t xml:space="preserve"> konstaterar att s</w:t>
      </w:r>
      <w:r w:rsidR="00C75056">
        <w:t>venska restaurangkonsumenters bokningsbeteende har en fortsatt mycket positiv utveckling under 2011.</w:t>
      </w:r>
      <w:r w:rsidR="00B0586B">
        <w:t xml:space="preserve"> Konsumentsajten</w:t>
      </w:r>
      <w:r w:rsidR="00D54EFB">
        <w:t xml:space="preserve"> </w:t>
      </w:r>
      <w:hyperlink r:id="rId8" w:history="1">
        <w:r w:rsidR="00D54EFB" w:rsidRPr="00D54EFB">
          <w:rPr>
            <w:rStyle w:val="Hyperlnk"/>
          </w:rPr>
          <w:t>Bookatable.com</w:t>
        </w:r>
      </w:hyperlink>
      <w:r w:rsidR="002051A4">
        <w:t>, som är en del</w:t>
      </w:r>
      <w:r w:rsidR="00B0586B">
        <w:t xml:space="preserve"> av</w:t>
      </w:r>
      <w:r w:rsidR="002051A4">
        <w:t xml:space="preserve"> </w:t>
      </w:r>
      <w:r w:rsidR="004E5950">
        <w:t>den europeiska marknadsledaren</w:t>
      </w:r>
      <w:r w:rsidR="00B0586B">
        <w:t xml:space="preserve"> Livebookings,</w:t>
      </w:r>
      <w:r w:rsidR="00D54EFB">
        <w:t xml:space="preserve"> tar stormsteg framåt på den svenska marknaden och firade igår sin miljonte restauranggäst under 2011!</w:t>
      </w:r>
    </w:p>
    <w:p w:rsidR="00200DAC" w:rsidRDefault="00200DAC" w:rsidP="00200DAC">
      <w:pPr>
        <w:rPr>
          <w:rFonts w:ascii="Calibri" w:eastAsia="Times New Roman" w:hAnsi="Calibri" w:cs="Calibri"/>
          <w:bCs/>
          <w:color w:val="000000"/>
        </w:rPr>
      </w:pPr>
      <w:r>
        <w:t xml:space="preserve">De senaste åren har </w:t>
      </w:r>
      <w:r w:rsidR="001746B2">
        <w:t>inneburit en dramatisk ökning av</w:t>
      </w:r>
      <w:r>
        <w:t xml:space="preserve"> bordsbokning online. Utvecklingen av restaurangbokningar online för Bookatable.com</w:t>
      </w:r>
      <w:r w:rsidR="001746B2">
        <w:t>/Livebookings</w:t>
      </w:r>
      <w:r>
        <w:t xml:space="preserve"> har sett ut enligt följande: </w:t>
      </w:r>
      <w:r w:rsidR="001746B2">
        <w:br/>
      </w:r>
      <w:r>
        <w:t xml:space="preserve">2009: </w:t>
      </w:r>
      <w:r w:rsidRPr="001B39A2">
        <w:rPr>
          <w:rFonts w:ascii="Calibri" w:eastAsia="Times New Roman" w:hAnsi="Calibri" w:cs="Calibri"/>
          <w:bCs/>
          <w:color w:val="000000"/>
        </w:rPr>
        <w:t>391 683 bokningar</w:t>
      </w:r>
      <w:r w:rsidR="00FB05BA">
        <w:rPr>
          <w:rFonts w:ascii="Calibri" w:eastAsia="Times New Roman" w:hAnsi="Calibri" w:cs="Calibri"/>
          <w:bCs/>
          <w:color w:val="000000"/>
        </w:rPr>
        <w:t>,</w:t>
      </w:r>
      <w:r w:rsidR="001746B2">
        <w:rPr>
          <w:rFonts w:ascii="Calibri" w:eastAsia="Times New Roman" w:hAnsi="Calibri" w:cs="Calibri"/>
          <w:bCs/>
          <w:color w:val="000000"/>
        </w:rPr>
        <w:t xml:space="preserve"> </w:t>
      </w:r>
      <w:r>
        <w:t xml:space="preserve">2010: </w:t>
      </w:r>
      <w:r w:rsidRPr="001B39A2">
        <w:rPr>
          <w:rFonts w:ascii="Calibri" w:eastAsia="Times New Roman" w:hAnsi="Calibri" w:cs="Calibri"/>
          <w:bCs/>
          <w:color w:val="000000"/>
        </w:rPr>
        <w:t>642</w:t>
      </w:r>
      <w:r>
        <w:rPr>
          <w:rFonts w:ascii="Calibri" w:eastAsia="Times New Roman" w:hAnsi="Calibri" w:cs="Calibri"/>
          <w:bCs/>
          <w:color w:val="000000"/>
        </w:rPr>
        <w:t> </w:t>
      </w:r>
      <w:r w:rsidRPr="001B39A2">
        <w:rPr>
          <w:rFonts w:ascii="Calibri" w:eastAsia="Times New Roman" w:hAnsi="Calibri" w:cs="Calibri"/>
          <w:bCs/>
          <w:color w:val="000000"/>
        </w:rPr>
        <w:t>482</w:t>
      </w:r>
      <w:r>
        <w:rPr>
          <w:rFonts w:ascii="Calibri" w:eastAsia="Times New Roman" w:hAnsi="Calibri" w:cs="Calibri"/>
          <w:bCs/>
          <w:color w:val="000000"/>
        </w:rPr>
        <w:t xml:space="preserve"> bokningar</w:t>
      </w:r>
      <w:r w:rsidR="00FB05BA">
        <w:rPr>
          <w:rFonts w:ascii="Calibri" w:eastAsia="Times New Roman" w:hAnsi="Calibri" w:cs="Calibri"/>
          <w:bCs/>
          <w:color w:val="000000"/>
        </w:rPr>
        <w:t>.</w:t>
      </w:r>
      <w:bookmarkStart w:id="0" w:name="_GoBack"/>
      <w:bookmarkEnd w:id="0"/>
    </w:p>
    <w:p w:rsidR="009A0482" w:rsidRDefault="001746B2" w:rsidP="00B0586B">
      <w:pPr>
        <w:rPr>
          <w:rFonts w:ascii="Calibri" w:eastAsia="Times New Roman" w:hAnsi="Calibri" w:cs="Calibri"/>
          <w:bCs/>
          <w:color w:val="000000"/>
        </w:rPr>
      </w:pPr>
      <w:r>
        <w:rPr>
          <w:noProof/>
        </w:rPr>
        <w:drawing>
          <wp:inline distT="0" distB="0" distL="0" distR="0" wp14:anchorId="6801AEC0" wp14:editId="62A07120">
            <wp:extent cx="3676650" cy="23241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6047" w:rsidRPr="00324A72" w:rsidRDefault="00B0586B" w:rsidP="001746B2">
      <w:pPr>
        <w:tabs>
          <w:tab w:val="left" w:pos="709"/>
        </w:tabs>
        <w:rPr>
          <w:i/>
        </w:rPr>
      </w:pPr>
      <w:r>
        <w:br/>
      </w:r>
      <w:r w:rsidR="00BB07A1">
        <w:t xml:space="preserve">Den miljonte gästen, Jennifer Kling, blev glatt överraskad när hon med sällskap besökte </w:t>
      </w:r>
      <w:hyperlink r:id="rId10" w:history="1">
        <w:r w:rsidR="00BB07A1" w:rsidRPr="002A1A13">
          <w:rPr>
            <w:rStyle w:val="Hyperlnk"/>
            <w:i/>
          </w:rPr>
          <w:t>Restaurang 1900</w:t>
        </w:r>
      </w:hyperlink>
      <w:r w:rsidR="00BB07A1">
        <w:t xml:space="preserve"> i Stockholm, där de togs emot av </w:t>
      </w:r>
      <w:hyperlink r:id="rId11" w:history="1">
        <w:r w:rsidR="00BB07A1" w:rsidRPr="00D02FFB">
          <w:rPr>
            <w:rStyle w:val="Hyperlnk"/>
          </w:rPr>
          <w:t>Bookatable.com</w:t>
        </w:r>
      </w:hyperlink>
      <w:r w:rsidR="00BB07A1">
        <w:t xml:space="preserve"> som firade med att bjuda </w:t>
      </w:r>
      <w:r w:rsidR="00BB07A1" w:rsidRPr="00AD5934">
        <w:t>på middagen</w:t>
      </w:r>
      <w:r w:rsidR="00BB07A1">
        <w:t xml:space="preserve">. Jennifer hade bokat sitt bord via Bookatables </w:t>
      </w:r>
      <w:hyperlink r:id="rId12" w:history="1">
        <w:r w:rsidR="00BB07A1" w:rsidRPr="001B39A2">
          <w:rPr>
            <w:rStyle w:val="Hyperlnk"/>
          </w:rPr>
          <w:t>Krogerbjudande</w:t>
        </w:r>
      </w:hyperlink>
      <w:r w:rsidR="00BB07A1">
        <w:t xml:space="preserve">, en dealbaserad tjänst som erbjuder de bästa restaurangerna till unika priser. </w:t>
      </w:r>
      <w:r w:rsidR="00324A72">
        <w:t xml:space="preserve">Varje vecka presenteras ett nytt Krogerbjudande via mail till Bookatables kunder som då får möjlighet att prova många bra restauranger landet runt. </w:t>
      </w:r>
      <w:r w:rsidR="009A0482">
        <w:br/>
      </w:r>
      <w:r w:rsidR="009A0482">
        <w:br/>
      </w:r>
      <w:r w:rsidR="00D725CA">
        <w:rPr>
          <w:i/>
        </w:rPr>
        <w:t xml:space="preserve">       -     </w:t>
      </w:r>
      <w:r w:rsidR="00AD5934" w:rsidRPr="00324A72">
        <w:rPr>
          <w:i/>
        </w:rPr>
        <w:t>Vi bokade Krogerbjudandet för att det ger oss möjlighet att prova på restauranger som är lite</w:t>
      </w:r>
      <w:r w:rsidR="001746B2">
        <w:rPr>
          <w:i/>
        </w:rPr>
        <w:t xml:space="preserve"> </w:t>
      </w:r>
      <w:r w:rsidR="00AD5934" w:rsidRPr="00324A72">
        <w:rPr>
          <w:i/>
        </w:rPr>
        <w:t>mer exklusiva och som man kanske inte provar till vardags</w:t>
      </w:r>
      <w:r w:rsidR="00324A72" w:rsidRPr="00324A72">
        <w:rPr>
          <w:i/>
        </w:rPr>
        <w:t xml:space="preserve"> annars</w:t>
      </w:r>
      <w:r w:rsidR="00AD5934" w:rsidRPr="00324A72">
        <w:rPr>
          <w:i/>
        </w:rPr>
        <w:t xml:space="preserve">, säger Jennifer. </w:t>
      </w:r>
    </w:p>
    <w:p w:rsidR="00324A72" w:rsidRDefault="00324A72" w:rsidP="00324A72">
      <w:r>
        <w:t>Årets rekordnotering visar prov på att trenden mot att fler och fler restaurangbesökare väljer att boka bord online håller i sig och understryker än en gång hur viktigt det är att som restaurang idag finnas tillgänglig och att kunna nå ut till sina gäster</w:t>
      </w:r>
      <w:r w:rsidR="001746B2">
        <w:t>,</w:t>
      </w:r>
      <w:r>
        <w:t xml:space="preserve"> inte minst online.</w:t>
      </w:r>
    </w:p>
    <w:p w:rsidR="00324A72" w:rsidRPr="00324A72" w:rsidRDefault="00324A72" w:rsidP="00443DCE">
      <w:pPr>
        <w:pStyle w:val="Liststycke"/>
        <w:numPr>
          <w:ilvl w:val="0"/>
          <w:numId w:val="6"/>
        </w:numPr>
        <w:tabs>
          <w:tab w:val="left" w:pos="284"/>
        </w:tabs>
      </w:pPr>
      <w:r w:rsidRPr="00443DCE">
        <w:rPr>
          <w:i/>
        </w:rPr>
        <w:t>Medieutvecklingen har på kort tid blivit mycket mer komplex och många restauranger överväger idag att bygga egna appar, vilket dock sällan är relevant för den en</w:t>
      </w:r>
      <w:r w:rsidR="001E0132" w:rsidRPr="00443DCE">
        <w:rPr>
          <w:i/>
        </w:rPr>
        <w:t>skilda restaurangen och kan sluta dyrt.</w:t>
      </w:r>
      <w:r w:rsidRPr="00443DCE">
        <w:rPr>
          <w:i/>
        </w:rPr>
        <w:t xml:space="preserve"> Istället bör man som restaurang idag satsa på en </w:t>
      </w:r>
      <w:r w:rsidRPr="00443DCE">
        <w:rPr>
          <w:i/>
        </w:rPr>
        <w:lastRenderedPageBreak/>
        <w:t>mobilanpassad hemsida om man vill nå gästerna online och i farten, säger Linda Rehn, Nordisk marknadschef Bookatable.</w:t>
      </w:r>
    </w:p>
    <w:p w:rsidR="00C75056" w:rsidRDefault="00C75056" w:rsidP="00C75056">
      <w:pPr>
        <w:pStyle w:val="Liststycke"/>
      </w:pPr>
    </w:p>
    <w:p w:rsidR="000B6047" w:rsidRDefault="000B6047" w:rsidP="000B6047">
      <w:r>
        <w:rPr>
          <w:rFonts w:ascii="Helvetica" w:eastAsia="Times New Roman" w:hAnsi="Helvetica" w:cs="Helvetica"/>
          <w:b/>
          <w:bCs/>
          <w:color w:val="4B4B4B"/>
          <w:sz w:val="16"/>
          <w:szCs w:val="16"/>
        </w:rPr>
        <w:t>Om Bookatable</w:t>
      </w:r>
      <w:r>
        <w:rPr>
          <w:rFonts w:ascii="Helvetica" w:eastAsia="Times New Roman" w:hAnsi="Helvetica" w:cs="Helvetica"/>
          <w:b/>
          <w:bCs/>
          <w:color w:val="4B4B4B"/>
          <w:sz w:val="16"/>
          <w:szCs w:val="16"/>
        </w:rPr>
        <w:br/>
      </w:r>
      <w:r>
        <w:rPr>
          <w:rFonts w:ascii="Helvetica" w:eastAsia="Times New Roman" w:hAnsi="Helvetica" w:cs="Helvetica"/>
          <w:bCs/>
          <w:i/>
          <w:color w:val="4B4B4B"/>
          <w:sz w:val="16"/>
          <w:szCs w:val="16"/>
        </w:rPr>
        <w:t>Bookatable.com är Europas största tjänst för restaurangbokningar på webben med tillgång till över 9000 restauranger.</w:t>
      </w:r>
      <w:r w:rsidR="00945A73">
        <w:rPr>
          <w:rFonts w:ascii="Helvetica" w:eastAsia="Times New Roman" w:hAnsi="Helvetica" w:cs="Helvetica"/>
          <w:bCs/>
          <w:i/>
          <w:color w:val="4B4B4B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i/>
          <w:vanish/>
          <w:color w:val="4B4B4B"/>
          <w:sz w:val="16"/>
          <w:szCs w:val="16"/>
        </w:rPr>
        <w:t xml:space="preserve">Att boka bord via Bookatable.com är gratis och bokningen sker omedelbart. Bordsbokningen nås via webben eller i mobilen, 24 timmar om dygnet, 7 dagar i veckan med omedelbar bekräftelse. Bookatable ägs av Livebookings Holdings Ltd som är Europas ledande service för reservationer och marknadsföring för restauranger. Livebookings har valts av över 9 000 restauranger i 23 länder som en... </w:t>
      </w:r>
      <w:hyperlink r:id="rId13" w:history="1">
        <w:r>
          <w:rPr>
            <w:rStyle w:val="Hyperlnk"/>
            <w:rFonts w:ascii="Helvetica" w:eastAsia="Times New Roman" w:hAnsi="Helvetica" w:cs="Helvetica"/>
            <w:i/>
            <w:vanish/>
            <w:color w:val="3D9BBC"/>
            <w:sz w:val="16"/>
            <w:szCs w:val="16"/>
            <w:u w:val="none"/>
          </w:rPr>
          <w:t>Visa mer</w:t>
        </w:r>
      </w:hyperlink>
      <w:r>
        <w:rPr>
          <w:rFonts w:ascii="Helvetica" w:eastAsia="Times New Roman" w:hAnsi="Helvetica" w:cs="Helvetica"/>
          <w:i/>
          <w:color w:val="4B4B4B"/>
          <w:sz w:val="16"/>
          <w:szCs w:val="16"/>
        </w:rPr>
        <w:t xml:space="preserve">Att boka bord via Bookatable.com är gratis och bokningen sker omedelbart. Bordsbokningen nås via webben eller i mobilen, 24 timmar om dygnet, 7 dagar i veckan med omedelbar bekräftelse. Bookatable ägs av Livebookings </w:t>
      </w:r>
      <w:proofErr w:type="spellStart"/>
      <w:r>
        <w:rPr>
          <w:rFonts w:ascii="Helvetica" w:eastAsia="Times New Roman" w:hAnsi="Helvetica" w:cs="Helvetica"/>
          <w:i/>
          <w:color w:val="4B4B4B"/>
          <w:sz w:val="16"/>
          <w:szCs w:val="16"/>
        </w:rPr>
        <w:t>Holdings</w:t>
      </w:r>
      <w:proofErr w:type="spellEnd"/>
      <w:r>
        <w:rPr>
          <w:rFonts w:ascii="Helvetica" w:eastAsia="Times New Roman" w:hAnsi="Helvetica" w:cs="Helvetica"/>
          <w:i/>
          <w:color w:val="4B4B4B"/>
          <w:sz w:val="16"/>
          <w:szCs w:val="16"/>
        </w:rPr>
        <w:t xml:space="preserve"> Ltd som är Europas ledande service för reservationer och marknadsföring för restauranger. Livebookings har valts av över 9 000 restauranger i 23 länder som en pålitlig partner för förmedling av ett växande antal restaurangbesökare, hittills över en miljon per månad.</w:t>
      </w:r>
      <w:r w:rsidR="00B0586B">
        <w:rPr>
          <w:rFonts w:ascii="Helvetica" w:eastAsia="Times New Roman" w:hAnsi="Helvetica" w:cs="Helvetica"/>
          <w:i/>
          <w:color w:val="4B4B4B"/>
          <w:sz w:val="16"/>
          <w:szCs w:val="16"/>
        </w:rPr>
        <w:br/>
      </w:r>
    </w:p>
    <w:p w:rsidR="000B6047" w:rsidRDefault="009A0482">
      <w:r>
        <w:rPr>
          <w:noProof/>
        </w:rPr>
        <w:drawing>
          <wp:inline distT="0" distB="0" distL="0" distR="0">
            <wp:extent cx="5760720" cy="376491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nte gästen_Jennifer Kling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6B" w:rsidRDefault="00B0586B">
      <w:r>
        <w:t xml:space="preserve">Bild: Tina Gustafsson </w:t>
      </w:r>
      <w:r w:rsidRPr="001746B2">
        <w:rPr>
          <w:rFonts w:cstheme="minorHAnsi"/>
        </w:rPr>
        <w:t>(</w:t>
      </w:r>
      <w:r w:rsidR="001746B2" w:rsidRPr="001746B2">
        <w:rPr>
          <w:rFonts w:cstheme="minorHAnsi"/>
        </w:rPr>
        <w:t>Nordic Sales- and Regional Manager</w:t>
      </w:r>
      <w:r w:rsidRPr="001746B2">
        <w:rPr>
          <w:rFonts w:cstheme="minorHAnsi"/>
        </w:rPr>
        <w:t xml:space="preserve"> Livebookings</w:t>
      </w:r>
      <w:r>
        <w:t>)</w:t>
      </w:r>
      <w:r w:rsidR="001746B2">
        <w:t xml:space="preserve">, </w:t>
      </w:r>
      <w:r>
        <w:t xml:space="preserve"> Jennifer Kling med sällskap.</w:t>
      </w:r>
    </w:p>
    <w:sectPr w:rsidR="00B0586B" w:rsidSect="00B058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C3"/>
    <w:multiLevelType w:val="hybridMultilevel"/>
    <w:tmpl w:val="3A7AE6F2"/>
    <w:lvl w:ilvl="0" w:tplc="D9228B0E">
      <w:start w:val="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5820D5F"/>
    <w:multiLevelType w:val="hybridMultilevel"/>
    <w:tmpl w:val="9DA09F52"/>
    <w:lvl w:ilvl="0" w:tplc="27C62E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2C20"/>
    <w:multiLevelType w:val="hybridMultilevel"/>
    <w:tmpl w:val="53B00FD6"/>
    <w:lvl w:ilvl="0" w:tplc="AECC3E2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C2616B0"/>
    <w:multiLevelType w:val="hybridMultilevel"/>
    <w:tmpl w:val="259EA52C"/>
    <w:lvl w:ilvl="0" w:tplc="F5903A5C">
      <w:start w:val="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56A12BE7"/>
    <w:multiLevelType w:val="hybridMultilevel"/>
    <w:tmpl w:val="695A295E"/>
    <w:lvl w:ilvl="0" w:tplc="AB207EEA">
      <w:start w:val="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AE42323"/>
    <w:multiLevelType w:val="hybridMultilevel"/>
    <w:tmpl w:val="C054EE4C"/>
    <w:lvl w:ilvl="0" w:tplc="224E79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47"/>
    <w:rsid w:val="000B6047"/>
    <w:rsid w:val="001746B2"/>
    <w:rsid w:val="001B39A2"/>
    <w:rsid w:val="001E0132"/>
    <w:rsid w:val="00200DAC"/>
    <w:rsid w:val="002051A4"/>
    <w:rsid w:val="002A1A13"/>
    <w:rsid w:val="002C2B6F"/>
    <w:rsid w:val="00324A72"/>
    <w:rsid w:val="00413F7E"/>
    <w:rsid w:val="00443DCE"/>
    <w:rsid w:val="004E5950"/>
    <w:rsid w:val="004F3945"/>
    <w:rsid w:val="005912FB"/>
    <w:rsid w:val="00645C4D"/>
    <w:rsid w:val="007061B8"/>
    <w:rsid w:val="009133B8"/>
    <w:rsid w:val="009304F1"/>
    <w:rsid w:val="00945A73"/>
    <w:rsid w:val="00961A56"/>
    <w:rsid w:val="009A0482"/>
    <w:rsid w:val="009F6DBC"/>
    <w:rsid w:val="00AD5934"/>
    <w:rsid w:val="00AD6410"/>
    <w:rsid w:val="00B0586B"/>
    <w:rsid w:val="00BA73E1"/>
    <w:rsid w:val="00BB07A1"/>
    <w:rsid w:val="00BC352E"/>
    <w:rsid w:val="00C75056"/>
    <w:rsid w:val="00CC186D"/>
    <w:rsid w:val="00D02FFB"/>
    <w:rsid w:val="00D54EFB"/>
    <w:rsid w:val="00D725CA"/>
    <w:rsid w:val="00D76CEA"/>
    <w:rsid w:val="00EC117F"/>
    <w:rsid w:val="00ED26D9"/>
    <w:rsid w:val="00FA5473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604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04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604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04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atable.com" TargetMode="External"/><Relationship Id="rId13" Type="http://schemas.openxmlformats.org/officeDocument/2006/relationships/hyperlink" Target="http://www.mynewsdesk.com/se/pressroom/bookatab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atable.com/" TargetMode="External"/><Relationship Id="rId12" Type="http://schemas.openxmlformats.org/officeDocument/2006/relationships/hyperlink" Target="http://www.bookatable.com/se/offers/krogerbjudande/sv-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ookatab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atable.com/se/105977/restaurang-1900/sv-S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da.rehn\AppData\Local\Microsoft\Windows\Temporary%20Internet%20Files\Content.Outlook\82CXW0TI\diagram%20BA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v-SE"/>
              <a:t>Bordsbokning online Bookatable/Livebookings 2009-2011</a:t>
            </a:r>
          </a:p>
        </c:rich>
      </c:tx>
      <c:layout>
        <c:manualLayout>
          <c:xMode val="edge"/>
          <c:yMode val="edge"/>
          <c:x val="0.13471502590673576"/>
          <c:y val="4.09836065573770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689119170984457"/>
          <c:y val="0.34836135286195419"/>
          <c:w val="0.76683937823834192"/>
          <c:h val="0.4672140497207386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val>
            <c:numRef>
              <c:f>Sheet1!$B$5:$D$5</c:f>
              <c:numCache>
                <c:formatCode>Standard</c:formatCode>
                <c:ptCount val="3"/>
                <c:pt idx="0">
                  <c:v>391683</c:v>
                </c:pt>
                <c:pt idx="1">
                  <c:v>642482</c:v>
                </c:pt>
                <c:pt idx="2">
                  <c:v>1000000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903680"/>
        <c:axId val="110905600"/>
      </c:lineChart>
      <c:catAx>
        <c:axId val="11090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0905600"/>
        <c:crosses val="autoZero"/>
        <c:auto val="1"/>
        <c:lblAlgn val="ctr"/>
        <c:lblOffset val="100"/>
        <c:noMultiLvlLbl val="0"/>
      </c:catAx>
      <c:valAx>
        <c:axId val="110905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Standard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v-SE"/>
          </a:p>
        </c:txPr>
        <c:crossAx val="110903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hans.ångman</dc:creator>
  <cp:lastModifiedBy>admin</cp:lastModifiedBy>
  <cp:revision>2</cp:revision>
  <cp:lastPrinted>2011-12-20T23:01:00Z</cp:lastPrinted>
  <dcterms:created xsi:type="dcterms:W3CDTF">2011-12-21T00:25:00Z</dcterms:created>
  <dcterms:modified xsi:type="dcterms:W3CDTF">2011-12-21T00:25:00Z</dcterms:modified>
</cp:coreProperties>
</file>