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C9" w:rsidRDefault="00EB2AC9" w:rsidP="00B72783">
      <w:pPr>
        <w:pStyle w:val="Rubrik2"/>
      </w:pPr>
    </w:p>
    <w:p w:rsidR="00EB2AC9" w:rsidRDefault="00EB2AC9" w:rsidP="00B72783">
      <w:pPr>
        <w:pStyle w:val="Rubrik2"/>
      </w:pPr>
      <w:r>
        <w:t>Pressmeddelande</w:t>
      </w:r>
    </w:p>
    <w:p w:rsidR="00EB2AC9" w:rsidRDefault="00A201E7" w:rsidP="00B72783">
      <w:r>
        <w:rPr>
          <w:bCs/>
        </w:rPr>
        <w:t>130102</w:t>
      </w:r>
    </w:p>
    <w:p w:rsidR="00EB2AC9" w:rsidRDefault="00EB2AC9" w:rsidP="00B72783">
      <w:pPr>
        <w:pStyle w:val="Rubrik1"/>
      </w:pPr>
    </w:p>
    <w:p w:rsidR="00EB2AC9" w:rsidRDefault="00EB2AC9" w:rsidP="00191840"/>
    <w:p w:rsidR="00EB2AC9" w:rsidRPr="00191840" w:rsidRDefault="00EB2AC9" w:rsidP="00191840"/>
    <w:p w:rsidR="00EB2AC9" w:rsidRDefault="00470EAC" w:rsidP="00B6004A">
      <w:pPr>
        <w:pStyle w:val="Rubrik1"/>
        <w:ind w:right="-285"/>
      </w:pPr>
      <w:r>
        <w:t xml:space="preserve">Midroc hyr ut </w:t>
      </w:r>
      <w:r w:rsidR="00115BC7">
        <w:t xml:space="preserve">3 700 kvm </w:t>
      </w:r>
      <w:r w:rsidR="006A03DA">
        <w:t xml:space="preserve">kontor </w:t>
      </w:r>
      <w:r>
        <w:t xml:space="preserve">till </w:t>
      </w:r>
      <w:r w:rsidR="007A78A7">
        <w:t xml:space="preserve">The </w:t>
      </w:r>
      <w:r w:rsidR="00115BC7">
        <w:t>Boston Consulting Group</w:t>
      </w:r>
      <w:r w:rsidR="004308C6">
        <w:t>!</w:t>
      </w:r>
    </w:p>
    <w:p w:rsidR="00A201E7" w:rsidRDefault="00470EAC" w:rsidP="00F36D8E">
      <w:pPr>
        <w:pStyle w:val="Normalwebb"/>
        <w:shd w:val="clear" w:color="auto" w:fill="FFFFFF"/>
        <w:spacing w:after="100" w:afterAutospacing="1"/>
        <w:rPr>
          <w:sz w:val="22"/>
          <w:szCs w:val="22"/>
        </w:rPr>
      </w:pPr>
      <w:r w:rsidRPr="006C3502">
        <w:rPr>
          <w:sz w:val="22"/>
          <w:szCs w:val="22"/>
        </w:rPr>
        <w:t>Midroc har tecknat ett hyresavtal med</w:t>
      </w:r>
      <w:r w:rsidR="007A78A7">
        <w:rPr>
          <w:sz w:val="22"/>
          <w:szCs w:val="22"/>
        </w:rPr>
        <w:t xml:space="preserve"> The</w:t>
      </w:r>
      <w:r w:rsidRPr="006C3502">
        <w:rPr>
          <w:sz w:val="22"/>
          <w:szCs w:val="22"/>
        </w:rPr>
        <w:t xml:space="preserve"> </w:t>
      </w:r>
      <w:r w:rsidR="00115BC7">
        <w:rPr>
          <w:sz w:val="22"/>
          <w:szCs w:val="22"/>
        </w:rPr>
        <w:t>Boston Consulting Group</w:t>
      </w:r>
      <w:r w:rsidR="001354E4">
        <w:rPr>
          <w:sz w:val="22"/>
          <w:szCs w:val="22"/>
        </w:rPr>
        <w:t xml:space="preserve"> </w:t>
      </w:r>
      <w:r w:rsidR="007A78A7">
        <w:rPr>
          <w:sz w:val="22"/>
          <w:szCs w:val="22"/>
        </w:rPr>
        <w:t>(BCG)</w:t>
      </w:r>
      <w:r w:rsidR="00281B64" w:rsidRPr="006C3502">
        <w:rPr>
          <w:sz w:val="22"/>
          <w:szCs w:val="22"/>
        </w:rPr>
        <w:t xml:space="preserve">. </w:t>
      </w:r>
      <w:r w:rsidR="006A03DA" w:rsidRPr="006C3502">
        <w:rPr>
          <w:sz w:val="22"/>
          <w:szCs w:val="22"/>
        </w:rPr>
        <w:t xml:space="preserve">Avtalet omfattar </w:t>
      </w:r>
      <w:r w:rsidR="006A03DA">
        <w:rPr>
          <w:sz w:val="22"/>
          <w:szCs w:val="22"/>
        </w:rPr>
        <w:t>3 700 kvadratmeter kontorslokaler</w:t>
      </w:r>
      <w:r w:rsidR="006A03DA" w:rsidRPr="006C3502">
        <w:rPr>
          <w:sz w:val="22"/>
          <w:szCs w:val="22"/>
        </w:rPr>
        <w:t xml:space="preserve"> i Midrocs fastighet Jakob Mindre 11 vid Gustav Adolfs torg i Stockholm</w:t>
      </w:r>
      <w:r w:rsidR="006A03DA">
        <w:rPr>
          <w:sz w:val="22"/>
          <w:szCs w:val="22"/>
        </w:rPr>
        <w:t xml:space="preserve">. </w:t>
      </w:r>
      <w:r w:rsidR="007A78A7">
        <w:rPr>
          <w:sz w:val="22"/>
          <w:szCs w:val="22"/>
        </w:rPr>
        <w:t>BCG</w:t>
      </w:r>
      <w:r w:rsidR="006A03DA">
        <w:rPr>
          <w:sz w:val="22"/>
          <w:szCs w:val="22"/>
        </w:rPr>
        <w:t xml:space="preserve"> </w:t>
      </w:r>
      <w:r w:rsidR="007A78A7">
        <w:rPr>
          <w:sz w:val="22"/>
          <w:szCs w:val="22"/>
        </w:rPr>
        <w:t xml:space="preserve">är ett globalt managementkonsultföretag och företaget kommer att flytta sitt Sverigekontor från nuvarande lokaler på </w:t>
      </w:r>
      <w:r w:rsidR="00B47EB6">
        <w:rPr>
          <w:sz w:val="22"/>
          <w:szCs w:val="22"/>
        </w:rPr>
        <w:t xml:space="preserve">Skeppsbron till </w:t>
      </w:r>
      <w:r w:rsidR="006A03DA">
        <w:rPr>
          <w:sz w:val="22"/>
          <w:szCs w:val="22"/>
        </w:rPr>
        <w:t>den nya etableringen</w:t>
      </w:r>
      <w:r w:rsidR="00281B64" w:rsidRPr="006C3502">
        <w:rPr>
          <w:sz w:val="22"/>
          <w:szCs w:val="22"/>
        </w:rPr>
        <w:t xml:space="preserve">. </w:t>
      </w:r>
      <w:r w:rsidR="00A201E7">
        <w:rPr>
          <w:sz w:val="22"/>
          <w:szCs w:val="22"/>
        </w:rPr>
        <w:t xml:space="preserve">Avtalet löper till och med 2021. </w:t>
      </w:r>
    </w:p>
    <w:p w:rsidR="00D81739" w:rsidRDefault="00736783" w:rsidP="00F36D8E">
      <w:pPr>
        <w:pStyle w:val="Normalwebb"/>
        <w:shd w:val="clear" w:color="auto" w:fill="FFFFFF"/>
        <w:spacing w:after="100" w:afterAutospacing="1"/>
        <w:rPr>
          <w:sz w:val="22"/>
          <w:szCs w:val="22"/>
        </w:rPr>
      </w:pPr>
      <w:proofErr w:type="gramStart"/>
      <w:r w:rsidRPr="006C3502">
        <w:rPr>
          <w:sz w:val="22"/>
          <w:szCs w:val="22"/>
        </w:rPr>
        <w:t>-</w:t>
      </w:r>
      <w:proofErr w:type="gramEnd"/>
      <w:r w:rsidRPr="006C3502">
        <w:rPr>
          <w:sz w:val="22"/>
          <w:szCs w:val="22"/>
        </w:rPr>
        <w:t xml:space="preserve"> </w:t>
      </w:r>
      <w:r w:rsidR="00115BC7">
        <w:rPr>
          <w:sz w:val="22"/>
          <w:szCs w:val="22"/>
        </w:rPr>
        <w:t xml:space="preserve">Vi har </w:t>
      </w:r>
      <w:r w:rsidR="00B47EB6">
        <w:rPr>
          <w:sz w:val="22"/>
          <w:szCs w:val="22"/>
        </w:rPr>
        <w:t xml:space="preserve">nu slutfört en omfattande ombyggnad av den profilstarka och </w:t>
      </w:r>
      <w:r w:rsidR="006A03DA">
        <w:rPr>
          <w:sz w:val="22"/>
          <w:szCs w:val="22"/>
        </w:rPr>
        <w:t xml:space="preserve">kulturhistoriskt intressanta </w:t>
      </w:r>
      <w:r w:rsidR="006A03DA" w:rsidRPr="006C3502">
        <w:rPr>
          <w:sz w:val="22"/>
          <w:szCs w:val="22"/>
        </w:rPr>
        <w:t>fastigheten</w:t>
      </w:r>
      <w:r w:rsidRPr="006C3502">
        <w:rPr>
          <w:sz w:val="22"/>
          <w:szCs w:val="22"/>
        </w:rPr>
        <w:t xml:space="preserve">, berättar Jesper Annerstedt, affärschef i Midroc Real Estate. </w:t>
      </w:r>
      <w:r w:rsidR="00D81739">
        <w:rPr>
          <w:sz w:val="22"/>
          <w:szCs w:val="22"/>
        </w:rPr>
        <w:t>Intresset har varit stort och n</w:t>
      </w:r>
      <w:r w:rsidR="006A03DA">
        <w:rPr>
          <w:sz w:val="22"/>
          <w:szCs w:val="22"/>
        </w:rPr>
        <w:t xml:space="preserve">u återstår endast </w:t>
      </w:r>
      <w:r w:rsidR="00B47EB6">
        <w:rPr>
          <w:sz w:val="22"/>
          <w:szCs w:val="22"/>
        </w:rPr>
        <w:t xml:space="preserve">drygt </w:t>
      </w:r>
      <w:r w:rsidR="006A03DA">
        <w:rPr>
          <w:sz w:val="22"/>
          <w:szCs w:val="22"/>
        </w:rPr>
        <w:t xml:space="preserve">1 000 kvm </w:t>
      </w:r>
      <w:r w:rsidR="00D81739">
        <w:rPr>
          <w:sz w:val="22"/>
          <w:szCs w:val="22"/>
        </w:rPr>
        <w:t xml:space="preserve">att hyra ut. </w:t>
      </w:r>
    </w:p>
    <w:p w:rsidR="007A78A7" w:rsidRPr="007A78A7" w:rsidRDefault="007A78A7" w:rsidP="007A78A7">
      <w:pPr>
        <w:spacing w:before="100" w:beforeAutospacing="1" w:after="100" w:afterAutospacing="1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r w:rsidRPr="007A78A7">
        <w:rPr>
          <w:sz w:val="22"/>
          <w:szCs w:val="22"/>
        </w:rPr>
        <w:t>Vi växer och behöver lokaler som håller för våra tillväxt</w:t>
      </w:r>
      <w:r w:rsidR="001354E4">
        <w:rPr>
          <w:sz w:val="22"/>
          <w:szCs w:val="22"/>
        </w:rPr>
        <w:t xml:space="preserve">ambitioner. </w:t>
      </w:r>
      <w:r>
        <w:rPr>
          <w:sz w:val="22"/>
          <w:szCs w:val="22"/>
        </w:rPr>
        <w:t>Vid Gustav Adolfs t</w:t>
      </w:r>
      <w:r w:rsidRPr="007A78A7">
        <w:rPr>
          <w:sz w:val="22"/>
          <w:szCs w:val="22"/>
        </w:rPr>
        <w:t xml:space="preserve">org 18 får vi fantastiskt fina lokaler som erbjuder en bra arbetsmiljö med smarta arbetsplatslösningar, säger Johan Öberg, Partner and </w:t>
      </w:r>
      <w:proofErr w:type="spellStart"/>
      <w:r w:rsidRPr="007A78A7">
        <w:rPr>
          <w:sz w:val="22"/>
          <w:szCs w:val="22"/>
        </w:rPr>
        <w:t>Managing</w:t>
      </w:r>
      <w:proofErr w:type="spellEnd"/>
      <w:r w:rsidRPr="007A78A7">
        <w:rPr>
          <w:sz w:val="22"/>
          <w:szCs w:val="22"/>
        </w:rPr>
        <w:t xml:space="preserve"> </w:t>
      </w:r>
      <w:proofErr w:type="spellStart"/>
      <w:r w:rsidRPr="007A78A7">
        <w:rPr>
          <w:sz w:val="22"/>
          <w:szCs w:val="22"/>
        </w:rPr>
        <w:t>Director</w:t>
      </w:r>
      <w:proofErr w:type="spellEnd"/>
      <w:r w:rsidRPr="007A78A7">
        <w:rPr>
          <w:sz w:val="22"/>
          <w:szCs w:val="22"/>
        </w:rPr>
        <w:t xml:space="preserve">, </w:t>
      </w:r>
      <w:proofErr w:type="spellStart"/>
      <w:r w:rsidRPr="007A78A7">
        <w:rPr>
          <w:sz w:val="22"/>
          <w:szCs w:val="22"/>
        </w:rPr>
        <w:t>Managing</w:t>
      </w:r>
      <w:proofErr w:type="spellEnd"/>
      <w:r w:rsidRPr="007A78A7">
        <w:rPr>
          <w:sz w:val="22"/>
          <w:szCs w:val="22"/>
        </w:rPr>
        <w:t xml:space="preserve"> Partner BCG Sweden.</w:t>
      </w:r>
    </w:p>
    <w:p w:rsidR="00115BC7" w:rsidRPr="006C3502" w:rsidRDefault="00115BC7" w:rsidP="00115BC7">
      <w:pPr>
        <w:pStyle w:val="Normalwebb"/>
        <w:shd w:val="clear" w:color="auto" w:fill="FFFFFF"/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Ytterligare hyresgäster i fastigheten </w:t>
      </w:r>
      <w:r w:rsidR="00C43334" w:rsidRPr="006C3502">
        <w:rPr>
          <w:sz w:val="22"/>
          <w:szCs w:val="22"/>
        </w:rPr>
        <w:t xml:space="preserve">vid Gustav Adolfs torg </w:t>
      </w:r>
      <w:r>
        <w:rPr>
          <w:sz w:val="22"/>
          <w:szCs w:val="22"/>
        </w:rPr>
        <w:t xml:space="preserve">är </w:t>
      </w:r>
      <w:proofErr w:type="spellStart"/>
      <w:r>
        <w:rPr>
          <w:sz w:val="22"/>
          <w:szCs w:val="22"/>
        </w:rPr>
        <w:t>Bizkit</w:t>
      </w:r>
      <w:proofErr w:type="spellEnd"/>
      <w:r>
        <w:rPr>
          <w:sz w:val="22"/>
          <w:szCs w:val="22"/>
        </w:rPr>
        <w:t>, Handelsbanken</w:t>
      </w:r>
      <w:r w:rsidR="007A78A7">
        <w:rPr>
          <w:sz w:val="22"/>
          <w:szCs w:val="22"/>
        </w:rPr>
        <w:t>, Green Hill, Mynthandeln</w:t>
      </w:r>
      <w:r>
        <w:rPr>
          <w:sz w:val="22"/>
          <w:szCs w:val="22"/>
        </w:rPr>
        <w:t xml:space="preserve"> och Restaurang </w:t>
      </w:r>
      <w:proofErr w:type="spellStart"/>
      <w:r>
        <w:rPr>
          <w:sz w:val="22"/>
          <w:szCs w:val="22"/>
        </w:rPr>
        <w:t>Naglo</w:t>
      </w:r>
      <w:proofErr w:type="spellEnd"/>
      <w:r w:rsidRPr="006C3502">
        <w:rPr>
          <w:sz w:val="22"/>
          <w:szCs w:val="22"/>
        </w:rPr>
        <w:t xml:space="preserve">. </w:t>
      </w:r>
    </w:p>
    <w:p w:rsidR="00B47EB6" w:rsidRDefault="00EB2AC9" w:rsidP="00B47EB6">
      <w:pPr>
        <w:rPr>
          <w:sz w:val="22"/>
          <w:szCs w:val="22"/>
        </w:rPr>
      </w:pPr>
      <w:r w:rsidRPr="006C3502">
        <w:rPr>
          <w:rFonts w:ascii="Arial" w:hAnsi="Arial" w:cs="Arial"/>
          <w:b/>
          <w:sz w:val="20"/>
        </w:rPr>
        <w:t xml:space="preserve">För mer information, </w:t>
      </w:r>
      <w:r w:rsidR="00F36D8E" w:rsidRPr="006C3502">
        <w:rPr>
          <w:rFonts w:ascii="Arial" w:hAnsi="Arial" w:cs="Arial"/>
          <w:b/>
          <w:sz w:val="20"/>
        </w:rPr>
        <w:t xml:space="preserve">vänligen </w:t>
      </w:r>
      <w:r w:rsidRPr="006C3502">
        <w:rPr>
          <w:rFonts w:ascii="Arial" w:hAnsi="Arial" w:cs="Arial"/>
          <w:b/>
          <w:sz w:val="20"/>
        </w:rPr>
        <w:t>kontakta:</w:t>
      </w:r>
      <w:r w:rsidRPr="006C3502">
        <w:rPr>
          <w:sz w:val="22"/>
          <w:szCs w:val="22"/>
        </w:rPr>
        <w:br/>
      </w:r>
      <w:r w:rsidR="00B47EB6">
        <w:rPr>
          <w:sz w:val="22"/>
          <w:szCs w:val="22"/>
        </w:rPr>
        <w:t>Peter Syrén</w:t>
      </w:r>
      <w:r w:rsidR="00B47EB6" w:rsidRPr="006C3502">
        <w:rPr>
          <w:sz w:val="22"/>
          <w:szCs w:val="22"/>
        </w:rPr>
        <w:t xml:space="preserve">, </w:t>
      </w:r>
      <w:r w:rsidR="00B47EB6">
        <w:rPr>
          <w:sz w:val="22"/>
          <w:szCs w:val="22"/>
        </w:rPr>
        <w:t>VD</w:t>
      </w:r>
      <w:r w:rsidR="00B47EB6" w:rsidRPr="006C3502">
        <w:rPr>
          <w:sz w:val="22"/>
          <w:szCs w:val="22"/>
        </w:rPr>
        <w:t xml:space="preserve"> Midroc Real Estate AB, 010-470 74 </w:t>
      </w:r>
      <w:r w:rsidR="00B47EB6">
        <w:rPr>
          <w:sz w:val="22"/>
          <w:szCs w:val="22"/>
        </w:rPr>
        <w:t>06</w:t>
      </w:r>
      <w:r w:rsidR="00B47EB6" w:rsidRPr="006C3502">
        <w:rPr>
          <w:sz w:val="22"/>
          <w:szCs w:val="22"/>
        </w:rPr>
        <w:t>, 070</w:t>
      </w:r>
      <w:r w:rsidR="00B47EB6">
        <w:rPr>
          <w:sz w:val="22"/>
          <w:szCs w:val="22"/>
        </w:rPr>
        <w:t>-387 08 00</w:t>
      </w:r>
    </w:p>
    <w:p w:rsidR="008B2808" w:rsidRPr="00A201E7" w:rsidRDefault="008F492B" w:rsidP="008B2808">
      <w:pPr>
        <w:rPr>
          <w:sz w:val="22"/>
          <w:szCs w:val="22"/>
          <w:lang w:val="en-US"/>
        </w:rPr>
      </w:pPr>
      <w:r w:rsidRPr="00A201E7">
        <w:rPr>
          <w:sz w:val="22"/>
          <w:szCs w:val="22"/>
          <w:lang w:val="en-US"/>
        </w:rPr>
        <w:t>Jesper Annerstedt</w:t>
      </w:r>
      <w:r w:rsidR="00095E17" w:rsidRPr="00A201E7">
        <w:rPr>
          <w:sz w:val="22"/>
          <w:szCs w:val="22"/>
          <w:lang w:val="en-US"/>
        </w:rPr>
        <w:t xml:space="preserve">, </w:t>
      </w:r>
      <w:proofErr w:type="spellStart"/>
      <w:r w:rsidR="00A52955" w:rsidRPr="00A201E7">
        <w:rPr>
          <w:sz w:val="22"/>
          <w:szCs w:val="22"/>
          <w:lang w:val="en-US"/>
        </w:rPr>
        <w:t>affärschef</w:t>
      </w:r>
      <w:proofErr w:type="spellEnd"/>
      <w:r w:rsidR="008B2808" w:rsidRPr="00A201E7">
        <w:rPr>
          <w:sz w:val="22"/>
          <w:szCs w:val="22"/>
          <w:lang w:val="en-US"/>
        </w:rPr>
        <w:t xml:space="preserve"> Midroc Real Estate AB, </w:t>
      </w:r>
      <w:r w:rsidR="008650C9" w:rsidRPr="00A201E7">
        <w:rPr>
          <w:sz w:val="22"/>
          <w:szCs w:val="22"/>
          <w:lang w:val="en-US"/>
        </w:rPr>
        <w:t xml:space="preserve">010-470 74 94, </w:t>
      </w:r>
      <w:r w:rsidR="00D60B7F" w:rsidRPr="00A201E7">
        <w:rPr>
          <w:sz w:val="22"/>
          <w:szCs w:val="22"/>
          <w:lang w:val="en-US"/>
        </w:rPr>
        <w:t>0704-45 35 38</w:t>
      </w:r>
    </w:p>
    <w:p w:rsidR="00B47EB6" w:rsidRPr="00A201E7" w:rsidRDefault="00B47EB6" w:rsidP="008B2808">
      <w:pPr>
        <w:rPr>
          <w:sz w:val="22"/>
          <w:szCs w:val="22"/>
          <w:lang w:val="en-US"/>
        </w:rPr>
      </w:pPr>
    </w:p>
    <w:p w:rsidR="006838C8" w:rsidRPr="006C3502" w:rsidRDefault="005861EE" w:rsidP="00F36D8E">
      <w:pPr>
        <w:pStyle w:val="Rubrik3"/>
      </w:pPr>
      <w:r w:rsidRPr="006C3502">
        <w:t>Foto</w:t>
      </w:r>
      <w:r w:rsidR="006838C8" w:rsidRPr="006C3502">
        <w:t xml:space="preserve">: </w:t>
      </w:r>
    </w:p>
    <w:p w:rsidR="006838C8" w:rsidRDefault="006838C8" w:rsidP="006838C8">
      <w:pPr>
        <w:rPr>
          <w:sz w:val="22"/>
          <w:szCs w:val="22"/>
        </w:rPr>
      </w:pPr>
      <w:r w:rsidRPr="006C3502">
        <w:rPr>
          <w:sz w:val="22"/>
          <w:szCs w:val="22"/>
        </w:rPr>
        <w:t>Exteriörfoto</w:t>
      </w:r>
      <w:r w:rsidR="002020D6">
        <w:rPr>
          <w:sz w:val="22"/>
          <w:szCs w:val="22"/>
        </w:rPr>
        <w:t xml:space="preserve"> från </w:t>
      </w:r>
      <w:r w:rsidR="006A03DA">
        <w:rPr>
          <w:sz w:val="22"/>
          <w:szCs w:val="22"/>
        </w:rPr>
        <w:t>Åke E:son Lindman</w:t>
      </w:r>
    </w:p>
    <w:p w:rsidR="007A78A7" w:rsidRDefault="007A78A7" w:rsidP="006838C8">
      <w:pPr>
        <w:rPr>
          <w:sz w:val="22"/>
          <w:szCs w:val="22"/>
        </w:rPr>
      </w:pPr>
    </w:p>
    <w:p w:rsidR="007A78A7" w:rsidRDefault="007A78A7" w:rsidP="007A78A7">
      <w:pPr>
        <w:pStyle w:val="Rubrik3"/>
      </w:pPr>
      <w:r>
        <w:t>Om The Boston Consulting Group</w:t>
      </w:r>
    </w:p>
    <w:p w:rsidR="007A78A7" w:rsidRPr="007A78A7" w:rsidRDefault="007A78A7" w:rsidP="007A78A7">
      <w:pPr>
        <w:rPr>
          <w:sz w:val="22"/>
          <w:szCs w:val="22"/>
        </w:rPr>
      </w:pPr>
      <w:r w:rsidRPr="007A78A7">
        <w:rPr>
          <w:sz w:val="22"/>
          <w:szCs w:val="22"/>
        </w:rPr>
        <w:t>The Boston Consulting Group (BCG) är ett globalt managementkonsultföretag</w:t>
      </w:r>
      <w:r>
        <w:rPr>
          <w:sz w:val="22"/>
          <w:szCs w:val="22"/>
        </w:rPr>
        <w:t xml:space="preserve">. </w:t>
      </w:r>
      <w:r w:rsidRPr="007A78A7">
        <w:rPr>
          <w:sz w:val="22"/>
          <w:szCs w:val="22"/>
        </w:rPr>
        <w:t xml:space="preserve">BCG grundades 1963 och är ett privat företag med 77 kontor i 42 länder. För mer information, besök </w:t>
      </w:r>
      <w:hyperlink r:id="rId8" w:history="1">
        <w:r w:rsidRPr="007A78A7">
          <w:rPr>
            <w:rStyle w:val="Hyperlnk"/>
            <w:sz w:val="22"/>
            <w:szCs w:val="22"/>
          </w:rPr>
          <w:t>bcg.com</w:t>
        </w:r>
      </w:hyperlink>
      <w:r w:rsidRPr="007A78A7">
        <w:rPr>
          <w:sz w:val="22"/>
          <w:szCs w:val="22"/>
        </w:rPr>
        <w:t>.</w:t>
      </w:r>
    </w:p>
    <w:p w:rsidR="007A78A7" w:rsidRPr="007A78A7" w:rsidRDefault="007A78A7" w:rsidP="007A78A7"/>
    <w:sectPr w:rsidR="007A78A7" w:rsidRPr="007A78A7" w:rsidSect="005847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2552" w:bottom="2836" w:left="1134" w:header="680" w:footer="18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A9" w:rsidRDefault="00DD60A9">
      <w:r>
        <w:separator/>
      </w:r>
    </w:p>
  </w:endnote>
  <w:endnote w:type="continuationSeparator" w:id="0">
    <w:p w:rsidR="00DD60A9" w:rsidRDefault="00DD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8" w:type="dxa"/>
      <w:tblLayout w:type="fixed"/>
      <w:tblCellMar>
        <w:left w:w="70" w:type="dxa"/>
        <w:right w:w="70" w:type="dxa"/>
      </w:tblCellMar>
      <w:tblLook w:val="0000"/>
    </w:tblPr>
    <w:tblGrid>
      <w:gridCol w:w="3329"/>
      <w:gridCol w:w="3324"/>
      <w:gridCol w:w="2631"/>
      <w:gridCol w:w="694"/>
    </w:tblGrid>
    <w:tr w:rsidR="00DD60A9" w:rsidRPr="00253B9D">
      <w:trPr>
        <w:cantSplit/>
      </w:trPr>
      <w:tc>
        <w:tcPr>
          <w:tcW w:w="3329" w:type="dxa"/>
        </w:tcPr>
        <w:p w:rsidR="00DD60A9" w:rsidRPr="00253B9D" w:rsidRDefault="00DD60A9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:rsidR="00DD60A9" w:rsidRPr="00253B9D" w:rsidRDefault="00DD60A9" w:rsidP="00624E33">
          <w:pPr>
            <w:pStyle w:val="TextSidfot"/>
          </w:pPr>
        </w:p>
      </w:tc>
      <w:tc>
        <w:tcPr>
          <w:tcW w:w="2631" w:type="dxa"/>
        </w:tcPr>
        <w:p w:rsidR="00DD60A9" w:rsidRPr="00253B9D" w:rsidRDefault="00DD60A9" w:rsidP="00624E33">
          <w:pPr>
            <w:pStyle w:val="TextSidfot"/>
          </w:pPr>
        </w:p>
      </w:tc>
      <w:tc>
        <w:tcPr>
          <w:tcW w:w="694" w:type="dxa"/>
          <w:vAlign w:val="bottom"/>
        </w:tcPr>
        <w:p w:rsidR="00DD60A9" w:rsidRPr="00253B9D" w:rsidRDefault="00DD60A9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742160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:rsidR="00DD60A9" w:rsidRPr="005B3BB0" w:rsidRDefault="00DD60A9" w:rsidP="00624E33">
    <w:pPr>
      <w:pStyle w:val="Sidfot"/>
      <w:rPr>
        <w:sz w:val="2"/>
        <w:szCs w:val="2"/>
      </w:rPr>
    </w:pPr>
  </w:p>
  <w:p w:rsidR="00DD60A9" w:rsidRPr="00624E33" w:rsidRDefault="00DD60A9">
    <w:pPr>
      <w:pStyle w:val="Sidfot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A9" w:rsidRDefault="00DD60A9" w:rsidP="00C03706">
    <w:pPr>
      <w:rPr>
        <w:rStyle w:val="Rubrik3Char"/>
      </w:rPr>
    </w:pPr>
    <w:r w:rsidRPr="007E53BF">
      <w:rPr>
        <w:rStyle w:val="Rubrik3Char"/>
      </w:rPr>
      <w:t>Fakta om Midroc</w:t>
    </w:r>
  </w:p>
  <w:p w:rsidR="00DD60A9" w:rsidRPr="00C03706" w:rsidRDefault="00DD60A9" w:rsidP="00C03706">
    <w:pPr>
      <w:rPr>
        <w:i/>
        <w:sz w:val="18"/>
        <w:szCs w:val="18"/>
      </w:rPr>
    </w:pPr>
    <w:r w:rsidRPr="00C03706">
      <w:rPr>
        <w:i/>
        <w:sz w:val="18"/>
        <w:szCs w:val="18"/>
      </w:rPr>
      <w:t>Midroc Real Estate äger och förvaltar kommersiella fastigheter huvudsakligen belägna på attraktiva platser i Stockholms centrala affärsdistrikt samt i Västra Hamnen i Malmö. Fastighetsbeståndet omfattar ett 10-tal fastigheter på sammanlagt ca 90</w:t>
    </w:r>
    <w:r>
      <w:rPr>
        <w:i/>
        <w:sz w:val="18"/>
        <w:szCs w:val="18"/>
      </w:rPr>
      <w:t xml:space="preserve"> </w:t>
    </w:r>
    <w:r w:rsidRPr="00C03706">
      <w:rPr>
        <w:i/>
        <w:sz w:val="18"/>
        <w:szCs w:val="18"/>
      </w:rPr>
      <w:t>000 kvm med ett marknadsvärde på drygt 3 miljarder kronor.</w:t>
    </w:r>
  </w:p>
  <w:p w:rsidR="00DD60A9" w:rsidRPr="00C03706" w:rsidRDefault="00DD60A9" w:rsidP="00C03706">
    <w:pPr>
      <w:rPr>
        <w:i/>
        <w:sz w:val="18"/>
        <w:szCs w:val="18"/>
      </w:rPr>
    </w:pPr>
    <w:r w:rsidRPr="00C03706">
      <w:rPr>
        <w:i/>
        <w:sz w:val="18"/>
        <w:szCs w:val="18"/>
      </w:rPr>
      <w:t xml:space="preserve"> </w:t>
    </w:r>
  </w:p>
  <w:p w:rsidR="00DD60A9" w:rsidRPr="00E36A66" w:rsidRDefault="00DD60A9" w:rsidP="00E36A66">
    <w:pPr>
      <w:rPr>
        <w:color w:val="000000"/>
        <w:sz w:val="18"/>
        <w:szCs w:val="18"/>
      </w:rPr>
    </w:pPr>
    <w:r w:rsidRPr="00736783">
      <w:rPr>
        <w:i/>
        <w:iCs/>
        <w:color w:val="000000"/>
        <w:sz w:val="18"/>
        <w:szCs w:val="18"/>
        <w:lang w:val="en-US"/>
      </w:rPr>
      <w:t xml:space="preserve">Midroc Real Estate AB ingår i </w:t>
    </w:r>
    <w:r w:rsidRPr="00736783">
      <w:rPr>
        <w:b/>
        <w:bCs/>
        <w:i/>
        <w:iCs/>
        <w:color w:val="000000"/>
        <w:sz w:val="18"/>
        <w:szCs w:val="18"/>
        <w:lang w:val="en-US"/>
      </w:rPr>
      <w:t>Midroc Europe</w:t>
    </w:r>
    <w:r w:rsidRPr="00736783">
      <w:rPr>
        <w:i/>
        <w:iCs/>
        <w:color w:val="000000"/>
        <w:sz w:val="18"/>
        <w:szCs w:val="18"/>
        <w:lang w:val="en-US"/>
      </w:rPr>
      <w:t xml:space="preserve">. </w:t>
    </w:r>
    <w:r w:rsidRPr="00E36A66">
      <w:rPr>
        <w:i/>
        <w:iCs/>
        <w:color w:val="000000"/>
        <w:sz w:val="18"/>
        <w:szCs w:val="18"/>
      </w:rPr>
      <w:t xml:space="preserve">Gruppen utvecklar företag och verksamheter inom entreprenad och consulting, fastighetsutveckling samt ny teknik och är verksamma både i Sverige och internationellt. </w:t>
    </w:r>
    <w:r w:rsidRPr="00E36A66">
      <w:rPr>
        <w:i/>
        <w:iCs/>
        <w:color w:val="000000"/>
        <w:sz w:val="18"/>
        <w:szCs w:val="18"/>
      </w:rPr>
      <w:br/>
      <w:t xml:space="preserve">Bolagen inom Midroc Europe har sammantaget närmare 2 </w:t>
    </w:r>
    <w:r>
      <w:rPr>
        <w:i/>
        <w:iCs/>
        <w:color w:val="000000"/>
        <w:sz w:val="18"/>
        <w:szCs w:val="18"/>
      </w:rPr>
      <w:t>6</w:t>
    </w:r>
    <w:r w:rsidRPr="00E36A66">
      <w:rPr>
        <w:i/>
        <w:iCs/>
        <w:color w:val="000000"/>
        <w:sz w:val="18"/>
        <w:szCs w:val="18"/>
      </w:rPr>
      <w:t>00 medarbetare och 201</w:t>
    </w:r>
    <w:r>
      <w:rPr>
        <w:i/>
        <w:iCs/>
        <w:color w:val="000000"/>
        <w:sz w:val="18"/>
        <w:szCs w:val="18"/>
      </w:rPr>
      <w:t>1</w:t>
    </w:r>
    <w:r w:rsidRPr="00E36A66">
      <w:rPr>
        <w:i/>
        <w:iCs/>
        <w:color w:val="000000"/>
        <w:sz w:val="18"/>
        <w:szCs w:val="18"/>
      </w:rPr>
      <w:t xml:space="preserve"> omsatte gruppen cirka 3,</w:t>
    </w:r>
    <w:r>
      <w:rPr>
        <w:i/>
        <w:iCs/>
        <w:color w:val="000000"/>
        <w:sz w:val="18"/>
        <w:szCs w:val="18"/>
      </w:rPr>
      <w:t>6</w:t>
    </w:r>
    <w:r w:rsidRPr="00E36A66">
      <w:rPr>
        <w:i/>
        <w:iCs/>
        <w:color w:val="000000"/>
        <w:sz w:val="18"/>
        <w:szCs w:val="18"/>
      </w:rPr>
      <w:t xml:space="preserve"> miljarder kronor. </w:t>
    </w:r>
    <w:hyperlink r:id="rId1" w:history="1">
      <w:r w:rsidRPr="00E36A66">
        <w:rPr>
          <w:rStyle w:val="Hyperlnk"/>
          <w:i/>
          <w:iCs/>
          <w:sz w:val="18"/>
          <w:szCs w:val="18"/>
        </w:rPr>
        <w:t>www.midroc.se</w:t>
      </w:r>
    </w:hyperlink>
    <w:r w:rsidRPr="00E36A66">
      <w:rPr>
        <w:i/>
        <w:iCs/>
        <w:color w:val="0000FF"/>
        <w:sz w:val="18"/>
        <w:szCs w:val="18"/>
      </w:rPr>
      <w:t xml:space="preserve"> </w:t>
    </w:r>
  </w:p>
  <w:p w:rsidR="00DD60A9" w:rsidRDefault="00DD60A9" w:rsidP="00E36A66">
    <w:pPr>
      <w:rPr>
        <w:rFonts w:ascii="Calibri" w:hAnsi="Calibri"/>
        <w:sz w:val="22"/>
        <w:szCs w:val="22"/>
      </w:rPr>
    </w:pPr>
  </w:p>
  <w:p w:rsidR="00DD60A9" w:rsidRDefault="00DD60A9" w:rsidP="00B72783">
    <w:pPr>
      <w:pStyle w:val="Rubrik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A9" w:rsidRDefault="00DD60A9">
      <w:r>
        <w:separator/>
      </w:r>
    </w:p>
  </w:footnote>
  <w:footnote w:type="continuationSeparator" w:id="0">
    <w:p w:rsidR="00DD60A9" w:rsidRDefault="00DD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2" w:type="dxa"/>
      <w:tblLayout w:type="fixed"/>
      <w:tblCellMar>
        <w:left w:w="70" w:type="dxa"/>
        <w:right w:w="70" w:type="dxa"/>
      </w:tblCellMar>
      <w:tblLook w:val="0000"/>
    </w:tblPr>
    <w:tblGrid>
      <w:gridCol w:w="5273"/>
      <w:gridCol w:w="4819"/>
    </w:tblGrid>
    <w:tr w:rsidR="00DD60A9">
      <w:trPr>
        <w:cantSplit/>
        <w:trHeight w:val="231"/>
      </w:trPr>
      <w:tc>
        <w:tcPr>
          <w:tcW w:w="5273" w:type="dxa"/>
        </w:tcPr>
        <w:p w:rsidR="00DD60A9" w:rsidRDefault="00DD60A9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016635" cy="739140"/>
                <wp:effectExtent l="19050" t="0" r="0" b="0"/>
                <wp:docPr id="1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DD60A9" w:rsidRDefault="00DD60A9">
          <w:pPr>
            <w:pStyle w:val="Sidhuvud"/>
            <w:jc w:val="right"/>
          </w:pPr>
        </w:p>
      </w:tc>
    </w:tr>
  </w:tbl>
  <w:p w:rsidR="00DD60A9" w:rsidRDefault="00DD60A9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5" w:type="dxa"/>
      <w:tblLayout w:type="fixed"/>
      <w:tblCellMar>
        <w:left w:w="70" w:type="dxa"/>
        <w:right w:w="70" w:type="dxa"/>
      </w:tblCellMar>
      <w:tblLook w:val="0000"/>
    </w:tblPr>
    <w:tblGrid>
      <w:gridCol w:w="2905"/>
      <w:gridCol w:w="7090"/>
    </w:tblGrid>
    <w:tr w:rsidR="00DD60A9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:rsidR="00DD60A9" w:rsidRDefault="00DD60A9" w:rsidP="00624E33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016635" cy="739140"/>
                <wp:effectExtent l="19050" t="0" r="0" b="0"/>
                <wp:docPr id="2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:rsidR="00DD60A9" w:rsidRPr="0074708C" w:rsidRDefault="00DD60A9" w:rsidP="00624E33">
          <w:pPr>
            <w:pStyle w:val="Sidhuvudrubrik"/>
          </w:pPr>
        </w:p>
      </w:tc>
    </w:tr>
  </w:tbl>
  <w:p w:rsidR="00DD60A9" w:rsidRDefault="00DD60A9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">
    <w:nsid w:val="3E2D0A97"/>
    <w:multiLevelType w:val="hybridMultilevel"/>
    <w:tmpl w:val="6BA03BEA"/>
    <w:lvl w:ilvl="0" w:tplc="C2B4EA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FAB"/>
    <w:rsid w:val="00040622"/>
    <w:rsid w:val="00045066"/>
    <w:rsid w:val="000528AF"/>
    <w:rsid w:val="0005475F"/>
    <w:rsid w:val="00057D22"/>
    <w:rsid w:val="000714B3"/>
    <w:rsid w:val="00095E17"/>
    <w:rsid w:val="000E671D"/>
    <w:rsid w:val="000E78D8"/>
    <w:rsid w:val="00115BC7"/>
    <w:rsid w:val="00117207"/>
    <w:rsid w:val="001233A8"/>
    <w:rsid w:val="001240BC"/>
    <w:rsid w:val="001354E4"/>
    <w:rsid w:val="00140FCB"/>
    <w:rsid w:val="00173B2F"/>
    <w:rsid w:val="00174812"/>
    <w:rsid w:val="00174C1C"/>
    <w:rsid w:val="00177C90"/>
    <w:rsid w:val="00184E6E"/>
    <w:rsid w:val="00191840"/>
    <w:rsid w:val="0019578F"/>
    <w:rsid w:val="00197C98"/>
    <w:rsid w:val="001A6747"/>
    <w:rsid w:val="001B12B2"/>
    <w:rsid w:val="001C6B05"/>
    <w:rsid w:val="002020D6"/>
    <w:rsid w:val="00214179"/>
    <w:rsid w:val="002446E7"/>
    <w:rsid w:val="00253B9D"/>
    <w:rsid w:val="002547C7"/>
    <w:rsid w:val="00254CC5"/>
    <w:rsid w:val="00271C29"/>
    <w:rsid w:val="00281B64"/>
    <w:rsid w:val="002A0F9F"/>
    <w:rsid w:val="002A3BCD"/>
    <w:rsid w:val="002A4900"/>
    <w:rsid w:val="002B4013"/>
    <w:rsid w:val="0032091C"/>
    <w:rsid w:val="003216A8"/>
    <w:rsid w:val="00325F79"/>
    <w:rsid w:val="00345368"/>
    <w:rsid w:val="00354D62"/>
    <w:rsid w:val="0036117A"/>
    <w:rsid w:val="003732CA"/>
    <w:rsid w:val="003D08D3"/>
    <w:rsid w:val="003E440C"/>
    <w:rsid w:val="003E7655"/>
    <w:rsid w:val="0040186E"/>
    <w:rsid w:val="00402047"/>
    <w:rsid w:val="00426AB9"/>
    <w:rsid w:val="004308C6"/>
    <w:rsid w:val="004677AA"/>
    <w:rsid w:val="00470EAC"/>
    <w:rsid w:val="004831BF"/>
    <w:rsid w:val="004B66C8"/>
    <w:rsid w:val="004D32FF"/>
    <w:rsid w:val="004D3D82"/>
    <w:rsid w:val="004E1FC1"/>
    <w:rsid w:val="004E32E0"/>
    <w:rsid w:val="00502D82"/>
    <w:rsid w:val="0051220B"/>
    <w:rsid w:val="005157F3"/>
    <w:rsid w:val="00527DB8"/>
    <w:rsid w:val="00531A1D"/>
    <w:rsid w:val="0054686B"/>
    <w:rsid w:val="00556052"/>
    <w:rsid w:val="00563C09"/>
    <w:rsid w:val="00564A0A"/>
    <w:rsid w:val="00577CC5"/>
    <w:rsid w:val="005847CC"/>
    <w:rsid w:val="005861EE"/>
    <w:rsid w:val="005A1786"/>
    <w:rsid w:val="005B3BB0"/>
    <w:rsid w:val="005C4FAB"/>
    <w:rsid w:val="005D703D"/>
    <w:rsid w:val="00614EA8"/>
    <w:rsid w:val="00624E33"/>
    <w:rsid w:val="00631116"/>
    <w:rsid w:val="006838C8"/>
    <w:rsid w:val="0069725C"/>
    <w:rsid w:val="006A03DA"/>
    <w:rsid w:val="006C18CB"/>
    <w:rsid w:val="006C3502"/>
    <w:rsid w:val="006C5B33"/>
    <w:rsid w:val="007179A8"/>
    <w:rsid w:val="007262E8"/>
    <w:rsid w:val="007329B9"/>
    <w:rsid w:val="00736783"/>
    <w:rsid w:val="00742160"/>
    <w:rsid w:val="00746E01"/>
    <w:rsid w:val="0074708C"/>
    <w:rsid w:val="00760F86"/>
    <w:rsid w:val="0076522A"/>
    <w:rsid w:val="00793FBA"/>
    <w:rsid w:val="00797E6F"/>
    <w:rsid w:val="007A78A7"/>
    <w:rsid w:val="007B3DF7"/>
    <w:rsid w:val="007D7FCD"/>
    <w:rsid w:val="007E53BF"/>
    <w:rsid w:val="007E7A1D"/>
    <w:rsid w:val="008223C1"/>
    <w:rsid w:val="0082400D"/>
    <w:rsid w:val="00824B0F"/>
    <w:rsid w:val="0084622B"/>
    <w:rsid w:val="0085327B"/>
    <w:rsid w:val="00856213"/>
    <w:rsid w:val="00863028"/>
    <w:rsid w:val="008650C9"/>
    <w:rsid w:val="008719DA"/>
    <w:rsid w:val="0087249B"/>
    <w:rsid w:val="00875014"/>
    <w:rsid w:val="008803B0"/>
    <w:rsid w:val="00883493"/>
    <w:rsid w:val="00885FD0"/>
    <w:rsid w:val="008A2A49"/>
    <w:rsid w:val="008A53A9"/>
    <w:rsid w:val="008B2808"/>
    <w:rsid w:val="008E3C06"/>
    <w:rsid w:val="008F492B"/>
    <w:rsid w:val="00910AD2"/>
    <w:rsid w:val="009174FC"/>
    <w:rsid w:val="00931A7E"/>
    <w:rsid w:val="00975073"/>
    <w:rsid w:val="009830B0"/>
    <w:rsid w:val="00991AC7"/>
    <w:rsid w:val="009A065A"/>
    <w:rsid w:val="009A3261"/>
    <w:rsid w:val="009B7ED8"/>
    <w:rsid w:val="009D389F"/>
    <w:rsid w:val="009D7B54"/>
    <w:rsid w:val="00A165A3"/>
    <w:rsid w:val="00A201E7"/>
    <w:rsid w:val="00A241DF"/>
    <w:rsid w:val="00A318B3"/>
    <w:rsid w:val="00A36047"/>
    <w:rsid w:val="00A50B58"/>
    <w:rsid w:val="00A52955"/>
    <w:rsid w:val="00A5406E"/>
    <w:rsid w:val="00A615FB"/>
    <w:rsid w:val="00A81F58"/>
    <w:rsid w:val="00A82269"/>
    <w:rsid w:val="00A93DE3"/>
    <w:rsid w:val="00AC5C38"/>
    <w:rsid w:val="00AE0024"/>
    <w:rsid w:val="00AE0F06"/>
    <w:rsid w:val="00B07B1D"/>
    <w:rsid w:val="00B13B1F"/>
    <w:rsid w:val="00B210F5"/>
    <w:rsid w:val="00B240E8"/>
    <w:rsid w:val="00B426F2"/>
    <w:rsid w:val="00B45BB7"/>
    <w:rsid w:val="00B47EB6"/>
    <w:rsid w:val="00B6004A"/>
    <w:rsid w:val="00B72783"/>
    <w:rsid w:val="00B92662"/>
    <w:rsid w:val="00BA3E49"/>
    <w:rsid w:val="00BA4A58"/>
    <w:rsid w:val="00BC1BB7"/>
    <w:rsid w:val="00BE52ED"/>
    <w:rsid w:val="00C01C16"/>
    <w:rsid w:val="00C03706"/>
    <w:rsid w:val="00C03C68"/>
    <w:rsid w:val="00C244ED"/>
    <w:rsid w:val="00C246C8"/>
    <w:rsid w:val="00C43334"/>
    <w:rsid w:val="00C44F20"/>
    <w:rsid w:val="00C8250A"/>
    <w:rsid w:val="00C87610"/>
    <w:rsid w:val="00CB623D"/>
    <w:rsid w:val="00CC33FA"/>
    <w:rsid w:val="00CC6E16"/>
    <w:rsid w:val="00CD08C6"/>
    <w:rsid w:val="00CD124D"/>
    <w:rsid w:val="00CE75FA"/>
    <w:rsid w:val="00D1468C"/>
    <w:rsid w:val="00D25DC7"/>
    <w:rsid w:val="00D32E9E"/>
    <w:rsid w:val="00D347CE"/>
    <w:rsid w:val="00D40983"/>
    <w:rsid w:val="00D52222"/>
    <w:rsid w:val="00D60B7F"/>
    <w:rsid w:val="00D81739"/>
    <w:rsid w:val="00DA2925"/>
    <w:rsid w:val="00DA374B"/>
    <w:rsid w:val="00DB1503"/>
    <w:rsid w:val="00DC3B45"/>
    <w:rsid w:val="00DC7BD4"/>
    <w:rsid w:val="00DD60A9"/>
    <w:rsid w:val="00DD7989"/>
    <w:rsid w:val="00E019A0"/>
    <w:rsid w:val="00E05D07"/>
    <w:rsid w:val="00E26C4E"/>
    <w:rsid w:val="00E36A66"/>
    <w:rsid w:val="00E40108"/>
    <w:rsid w:val="00E42B17"/>
    <w:rsid w:val="00E629FA"/>
    <w:rsid w:val="00E644A4"/>
    <w:rsid w:val="00E66D94"/>
    <w:rsid w:val="00E67395"/>
    <w:rsid w:val="00E71003"/>
    <w:rsid w:val="00EB2AC9"/>
    <w:rsid w:val="00EF0028"/>
    <w:rsid w:val="00EF7152"/>
    <w:rsid w:val="00F01B58"/>
    <w:rsid w:val="00F22745"/>
    <w:rsid w:val="00F36D8E"/>
    <w:rsid w:val="00F3734E"/>
    <w:rsid w:val="00FC0F7A"/>
    <w:rsid w:val="00FC20B8"/>
    <w:rsid w:val="00FC5959"/>
    <w:rsid w:val="00FE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7CE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link w:val="Rubrik4Char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locked/>
    <w:rsid w:val="00FC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locked/>
    <w:rsid w:val="005C4FAB"/>
    <w:rPr>
      <w:rFonts w:ascii="Arial" w:hAnsi="Arial" w:cs="Times New Roman"/>
      <w:b/>
      <w:sz w:val="24"/>
      <w:lang w:val="sv-SE" w:eastAsia="sv-SE" w:bidi="ar-SA"/>
    </w:rPr>
  </w:style>
  <w:style w:type="character" w:customStyle="1" w:styleId="Rubrik3Char">
    <w:name w:val="Rubrik 3 Char"/>
    <w:basedOn w:val="Rubrik2Char"/>
    <w:link w:val="Rubrik3"/>
    <w:locked/>
    <w:rsid w:val="005C4FAB"/>
    <w:rPr>
      <w:rFonts w:cs="Arial"/>
      <w:bCs/>
    </w:rPr>
  </w:style>
  <w:style w:type="character" w:customStyle="1" w:styleId="Rubrik4Char">
    <w:name w:val="Rubrik 4 Char"/>
    <w:basedOn w:val="Standardstycketeckensnitt"/>
    <w:link w:val="Rubrik4"/>
    <w:semiHidden/>
    <w:locked/>
    <w:rsid w:val="00FC0F7A"/>
    <w:rPr>
      <w:rFonts w:ascii="Calibri" w:hAnsi="Calibri" w:cs="Times New Roman"/>
      <w:b/>
      <w:bCs/>
      <w:sz w:val="28"/>
      <w:szCs w:val="28"/>
    </w:rPr>
  </w:style>
  <w:style w:type="paragraph" w:styleId="Sidhuvud">
    <w:name w:val="header"/>
    <w:basedOn w:val="Normal"/>
    <w:link w:val="SidhuvudChar"/>
    <w:rsid w:val="00D347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locked/>
    <w:rsid w:val="00FC0F7A"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rsid w:val="00D347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locked/>
    <w:rsid w:val="00FC0F7A"/>
    <w:rPr>
      <w:rFonts w:cs="Times New Roman"/>
      <w:sz w:val="20"/>
      <w:szCs w:val="20"/>
    </w:r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basedOn w:val="Standardstycketeckensnitt"/>
    <w:rsid w:val="00D347CE"/>
    <w:rPr>
      <w:rFonts w:cs="Times New Roman"/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  <w:rPr>
      <w:rFonts w:cs="Times New Roman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paragraph" w:styleId="Ballongtext">
    <w:name w:val="Balloon Text"/>
    <w:basedOn w:val="Normal"/>
    <w:link w:val="BallongtextChar"/>
    <w:rsid w:val="00BA4A5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locked/>
    <w:rsid w:val="00BA4A58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BA3E49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8B2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6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droc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040B-171D-405F-905D-B8ADBDF0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1</TotalTime>
  <Pages>1</Pages>
  <Words>235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Midroc Property Development AB</Company>
  <LinksUpToDate>false</LinksUpToDate>
  <CharactersWithSpaces>1617</CharactersWithSpaces>
  <SharedDoc>false</SharedDoc>
  <HLinks>
    <vt:vector size="6" baseType="variant"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http://www.midroc.se/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Törnsten</dc:creator>
  <cp:keywords>Rev 2006-08-17</cp:keywords>
  <dc:description>Ansv: Karin SkiöldLena Björkling, Björkling IT-utveckling</dc:description>
  <cp:lastModifiedBy>Karin Skiöld</cp:lastModifiedBy>
  <cp:revision>2</cp:revision>
  <cp:lastPrinted>2013-01-02T08:06:00Z</cp:lastPrinted>
  <dcterms:created xsi:type="dcterms:W3CDTF">2013-01-02T08:07:00Z</dcterms:created>
  <dcterms:modified xsi:type="dcterms:W3CDTF">2013-01-02T08:07:00Z</dcterms:modified>
</cp:coreProperties>
</file>