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8F" w:rsidRPr="00C65925" w:rsidRDefault="00EF0A9E">
      <w:pPr>
        <w:rPr>
          <w:sz w:val="28"/>
          <w:szCs w:val="28"/>
        </w:rPr>
      </w:pPr>
      <w:r>
        <w:rPr>
          <w:sz w:val="28"/>
          <w:szCs w:val="28"/>
        </w:rPr>
        <w:t xml:space="preserve">Starkt </w:t>
      </w:r>
      <w:r w:rsidR="00CB0EB2">
        <w:rPr>
          <w:sz w:val="28"/>
          <w:szCs w:val="28"/>
        </w:rPr>
        <w:t>år för</w:t>
      </w:r>
      <w:r>
        <w:rPr>
          <w:sz w:val="28"/>
          <w:szCs w:val="28"/>
        </w:rPr>
        <w:t xml:space="preserve"> värmepumpar</w:t>
      </w:r>
      <w:r w:rsidR="00E95F2B">
        <w:rPr>
          <w:sz w:val="28"/>
          <w:szCs w:val="28"/>
        </w:rPr>
        <w:t xml:space="preserve"> – trots </w:t>
      </w:r>
      <w:proofErr w:type="spellStart"/>
      <w:r w:rsidR="00E95F2B">
        <w:rPr>
          <w:sz w:val="28"/>
          <w:szCs w:val="28"/>
        </w:rPr>
        <w:t>borrstopp</w:t>
      </w:r>
      <w:proofErr w:type="spellEnd"/>
      <w:r w:rsidR="00E95F2B">
        <w:rPr>
          <w:sz w:val="28"/>
          <w:szCs w:val="28"/>
        </w:rPr>
        <w:t xml:space="preserve"> i Stockholm</w:t>
      </w:r>
    </w:p>
    <w:p w:rsidR="004150C3" w:rsidRDefault="004150C3">
      <w:pPr>
        <w:rPr>
          <w:b/>
        </w:rPr>
      </w:pPr>
      <w:r>
        <w:rPr>
          <w:b/>
        </w:rPr>
        <w:t xml:space="preserve">2017 var ett år när försäljningen av värmepumpar ökade jämfört med 2016. Totalt ökade försäljningen med 7%. Efter en konstant ökning under årets första tre kvartal </w:t>
      </w:r>
      <w:r w:rsidR="00E95F2B">
        <w:rPr>
          <w:b/>
        </w:rPr>
        <w:t>mattades</w:t>
      </w:r>
      <w:r>
        <w:rPr>
          <w:b/>
        </w:rPr>
        <w:t xml:space="preserve"> </w:t>
      </w:r>
      <w:r w:rsidR="002F06EB">
        <w:rPr>
          <w:b/>
        </w:rPr>
        <w:t xml:space="preserve">dock </w:t>
      </w:r>
      <w:r>
        <w:rPr>
          <w:b/>
        </w:rPr>
        <w:t xml:space="preserve">försäljningen </w:t>
      </w:r>
      <w:r w:rsidR="002F06EB">
        <w:rPr>
          <w:b/>
        </w:rPr>
        <w:t xml:space="preserve">av </w:t>
      </w:r>
      <w:r>
        <w:rPr>
          <w:b/>
        </w:rPr>
        <w:t xml:space="preserve">under </w:t>
      </w:r>
      <w:r w:rsidR="00E95F2B">
        <w:rPr>
          <w:b/>
        </w:rPr>
        <w:t>sista kvartalet</w:t>
      </w:r>
      <w:r>
        <w:rPr>
          <w:b/>
        </w:rPr>
        <w:t xml:space="preserve"> </w:t>
      </w:r>
      <w:r w:rsidR="00E95F2B">
        <w:rPr>
          <w:b/>
        </w:rPr>
        <w:t xml:space="preserve">och landade på samma nivå </w:t>
      </w:r>
      <w:r>
        <w:rPr>
          <w:b/>
        </w:rPr>
        <w:t xml:space="preserve">som </w:t>
      </w:r>
      <w:r w:rsidR="00E95F2B">
        <w:rPr>
          <w:b/>
        </w:rPr>
        <w:t>motsvarande kvartal</w:t>
      </w:r>
      <w:r>
        <w:rPr>
          <w:b/>
        </w:rPr>
        <w:t xml:space="preserve"> 2016</w:t>
      </w:r>
      <w:r w:rsidR="00EF0A9E">
        <w:rPr>
          <w:b/>
        </w:rPr>
        <w:t xml:space="preserve">. </w:t>
      </w:r>
      <w:r w:rsidR="00E95F2B">
        <w:rPr>
          <w:b/>
        </w:rPr>
        <w:t>Detta som en direkt konsekvens av det plötslig</w:t>
      </w:r>
      <w:r w:rsidR="002F06EB">
        <w:rPr>
          <w:b/>
        </w:rPr>
        <w:t>t</w:t>
      </w:r>
      <w:r w:rsidR="00E95F2B">
        <w:rPr>
          <w:b/>
        </w:rPr>
        <w:t xml:space="preserve"> införda </w:t>
      </w:r>
      <w:proofErr w:type="spellStart"/>
      <w:r w:rsidR="00E95F2B">
        <w:rPr>
          <w:b/>
        </w:rPr>
        <w:t>borrstoppet</w:t>
      </w:r>
      <w:proofErr w:type="spellEnd"/>
      <w:r w:rsidR="00E95F2B">
        <w:rPr>
          <w:b/>
        </w:rPr>
        <w:t xml:space="preserve"> i Stockholms stad.  </w:t>
      </w:r>
    </w:p>
    <w:p w:rsidR="00C65925" w:rsidRPr="004B4B98" w:rsidRDefault="00653AE7">
      <w:r>
        <w:t xml:space="preserve">Försäljningen av luft-vattenvärmepumpar </w:t>
      </w:r>
      <w:r w:rsidR="00FC4A67">
        <w:t>har</w:t>
      </w:r>
      <w:r>
        <w:t xml:space="preserve"> öka</w:t>
      </w:r>
      <w:r w:rsidR="00A46000">
        <w:t>t med 7 procent</w:t>
      </w:r>
      <w:r>
        <w:t xml:space="preserve"> under </w:t>
      </w:r>
      <w:r w:rsidR="00A46000">
        <w:t>fjärde kvartalet</w:t>
      </w:r>
      <w:r>
        <w:t>.</w:t>
      </w:r>
      <w:r w:rsidR="00A46000">
        <w:t xml:space="preserve"> För frånluftsvärmepumpar har vi sett en stadig försäljningsökning sedan 2013. Under fjärde kvartalet ökade försäljningen med 12 procent jämfört med samma period förra året.  F</w:t>
      </w:r>
      <w:r>
        <w:t xml:space="preserve">örsäljningen av vätska-vattenvärmepumpar har </w:t>
      </w:r>
      <w:r w:rsidR="00A46000">
        <w:t xml:space="preserve">minskat med 11 procent under sista kvartalet 2017. En bidragande faktor har varit det stopp för bergvärmeborrning som Stockholms Stad införde i somras, som nu </w:t>
      </w:r>
      <w:r w:rsidR="00355F8A">
        <w:t>alltså</w:t>
      </w:r>
      <w:r w:rsidR="00A46000">
        <w:t xml:space="preserve"> kan märkas i statistiken.</w:t>
      </w:r>
    </w:p>
    <w:p w:rsidR="004B4B98" w:rsidRPr="004B4B98" w:rsidRDefault="00C65925" w:rsidP="004B4B98">
      <w:pPr>
        <w:rPr>
          <w:b/>
        </w:rPr>
      </w:pPr>
      <w:r w:rsidRPr="004B4B98">
        <w:rPr>
          <w:b/>
        </w:rPr>
        <w:t>Försäljningen uppdelad på olika produktslag: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2268"/>
      </w:tblGrid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</w:p>
        </w:tc>
        <w:tc>
          <w:tcPr>
            <w:tcW w:w="850" w:type="dxa"/>
          </w:tcPr>
          <w:p w:rsidR="004B4B98" w:rsidRPr="004B4B98" w:rsidRDefault="00EA1B62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rPr>
                <w:b/>
              </w:rPr>
              <w:t>Q</w:t>
            </w:r>
            <w:r w:rsidR="00E91838">
              <w:rPr>
                <w:b/>
              </w:rPr>
              <w:t>4</w:t>
            </w:r>
          </w:p>
        </w:tc>
        <w:tc>
          <w:tcPr>
            <w:tcW w:w="2268" w:type="dxa"/>
          </w:tcPr>
          <w:p w:rsidR="004B4B98" w:rsidRPr="004B4B98" w:rsidRDefault="00E9183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rPr>
                <w:b/>
              </w:rPr>
              <w:t>Helår</w:t>
            </w:r>
          </w:p>
        </w:tc>
      </w:tr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 w:rsidRPr="004B4B98">
              <w:rPr>
                <w:b/>
              </w:rPr>
              <w:t>Totalt</w:t>
            </w:r>
          </w:p>
        </w:tc>
        <w:tc>
          <w:tcPr>
            <w:tcW w:w="850" w:type="dxa"/>
          </w:tcPr>
          <w:p w:rsidR="004B4B98" w:rsidRPr="004B4B98" w:rsidRDefault="001502EF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rPr>
                <w:b/>
              </w:rPr>
              <w:t>0</w:t>
            </w:r>
            <w:r w:rsidR="00EF0A9E">
              <w:rPr>
                <w:b/>
              </w:rPr>
              <w:t xml:space="preserve"> </w:t>
            </w:r>
            <w:r w:rsidR="004B4B98" w:rsidRPr="004B4B98">
              <w:rPr>
                <w:b/>
              </w:rPr>
              <w:t>%</w:t>
            </w:r>
          </w:p>
        </w:tc>
        <w:tc>
          <w:tcPr>
            <w:tcW w:w="2268" w:type="dxa"/>
          </w:tcPr>
          <w:p w:rsidR="004B4B98" w:rsidRPr="004B4B98" w:rsidRDefault="001502EF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rPr>
                <w:b/>
              </w:rPr>
              <w:t xml:space="preserve">7 </w:t>
            </w:r>
            <w:r w:rsidR="004B4B98" w:rsidRPr="004B4B98">
              <w:rPr>
                <w:b/>
              </w:rPr>
              <w:t>%</w:t>
            </w:r>
          </w:p>
        </w:tc>
      </w:tr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 w:rsidRPr="004B4B98">
              <w:t>Luft-vattenvärmepumpar</w:t>
            </w:r>
          </w:p>
        </w:tc>
        <w:tc>
          <w:tcPr>
            <w:tcW w:w="850" w:type="dxa"/>
          </w:tcPr>
          <w:p w:rsidR="004B4B98" w:rsidRPr="004B4B98" w:rsidRDefault="001502EF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t>7</w:t>
            </w:r>
            <w:r w:rsidR="004B4B98" w:rsidRPr="004B4B98">
              <w:t xml:space="preserve"> %</w:t>
            </w:r>
          </w:p>
        </w:tc>
        <w:tc>
          <w:tcPr>
            <w:tcW w:w="2268" w:type="dxa"/>
          </w:tcPr>
          <w:p w:rsidR="004B4B98" w:rsidRPr="004B4B98" w:rsidRDefault="001502EF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t>15</w:t>
            </w:r>
            <w:r w:rsidR="004B4B98" w:rsidRPr="004B4B98">
              <w:t xml:space="preserve"> %</w:t>
            </w:r>
          </w:p>
        </w:tc>
      </w:tr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 w:rsidRPr="004B4B98">
              <w:t>Frånluftsvärmepumpar</w:t>
            </w:r>
          </w:p>
        </w:tc>
        <w:tc>
          <w:tcPr>
            <w:tcW w:w="850" w:type="dxa"/>
          </w:tcPr>
          <w:p w:rsidR="004B4B98" w:rsidRPr="004B4B98" w:rsidRDefault="001502EF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t>12</w:t>
            </w:r>
            <w:r w:rsidR="004B4B98" w:rsidRPr="004B4B98">
              <w:t xml:space="preserve"> %</w:t>
            </w:r>
          </w:p>
        </w:tc>
        <w:tc>
          <w:tcPr>
            <w:tcW w:w="2268" w:type="dxa"/>
          </w:tcPr>
          <w:p w:rsidR="004B4B98" w:rsidRPr="004B4B98" w:rsidRDefault="00EF0A9E" w:rsidP="0050068B">
            <w:pPr>
              <w:tabs>
                <w:tab w:val="center" w:pos="5387"/>
                <w:tab w:val="center" w:pos="6663"/>
              </w:tabs>
              <w:rPr>
                <w:b/>
              </w:rPr>
            </w:pPr>
            <w:r>
              <w:t>1</w:t>
            </w:r>
            <w:r w:rsidR="001502EF">
              <w:t>3</w:t>
            </w:r>
            <w:r w:rsidR="004B4B98" w:rsidRPr="004B4B98">
              <w:t xml:space="preserve"> %</w:t>
            </w:r>
          </w:p>
        </w:tc>
      </w:tr>
      <w:tr w:rsidR="004B4B98" w:rsidRPr="004B4B98" w:rsidTr="004B4B98">
        <w:tc>
          <w:tcPr>
            <w:tcW w:w="4820" w:type="dxa"/>
          </w:tcPr>
          <w:p w:rsidR="004B4B98" w:rsidRPr="004B4B98" w:rsidRDefault="004B4B98" w:rsidP="0050068B">
            <w:pPr>
              <w:tabs>
                <w:tab w:val="center" w:pos="5387"/>
                <w:tab w:val="center" w:pos="6663"/>
              </w:tabs>
            </w:pPr>
            <w:r w:rsidRPr="004B4B98">
              <w:t>Vätska-vattenvärmepumpar (bergvärmepumpar)</w:t>
            </w:r>
          </w:p>
        </w:tc>
        <w:tc>
          <w:tcPr>
            <w:tcW w:w="850" w:type="dxa"/>
          </w:tcPr>
          <w:p w:rsidR="004B4B98" w:rsidRPr="004B4B98" w:rsidRDefault="001502EF" w:rsidP="0050068B">
            <w:pPr>
              <w:tabs>
                <w:tab w:val="center" w:pos="5387"/>
                <w:tab w:val="center" w:pos="6663"/>
              </w:tabs>
            </w:pPr>
            <w:r>
              <w:t>-11</w:t>
            </w:r>
            <w:r w:rsidR="004B4B98" w:rsidRPr="004B4B98">
              <w:t xml:space="preserve"> %</w:t>
            </w:r>
          </w:p>
        </w:tc>
        <w:tc>
          <w:tcPr>
            <w:tcW w:w="2268" w:type="dxa"/>
          </w:tcPr>
          <w:p w:rsidR="004B4B98" w:rsidRPr="004B4B98" w:rsidRDefault="001502EF" w:rsidP="0050068B">
            <w:pPr>
              <w:tabs>
                <w:tab w:val="center" w:pos="5387"/>
                <w:tab w:val="center" w:pos="6663"/>
              </w:tabs>
            </w:pPr>
            <w:r>
              <w:t>-1</w:t>
            </w:r>
            <w:r w:rsidR="004B4B98" w:rsidRPr="004B4B98">
              <w:t xml:space="preserve"> %</w:t>
            </w:r>
          </w:p>
        </w:tc>
      </w:tr>
    </w:tbl>
    <w:p w:rsidR="00C65925" w:rsidRPr="004B4B98" w:rsidRDefault="00C65925">
      <w:r w:rsidRPr="004B4B98">
        <w:tab/>
      </w:r>
      <w:r w:rsidR="0050068B" w:rsidRPr="004B4B98">
        <w:tab/>
      </w:r>
    </w:p>
    <w:p w:rsidR="004D277D" w:rsidRDefault="00A46000">
      <w:r>
        <w:t xml:space="preserve">Framförallt kan </w:t>
      </w:r>
      <w:r w:rsidR="00E161C8">
        <w:t xml:space="preserve">det så kallade </w:t>
      </w:r>
      <w:proofErr w:type="spellStart"/>
      <w:r>
        <w:t>borrstoppet</w:t>
      </w:r>
      <w:proofErr w:type="spellEnd"/>
      <w:r>
        <w:t xml:space="preserve"> i Stockholm märkas på försäljning i fa</w:t>
      </w:r>
      <w:r w:rsidR="00355F8A">
        <w:t>s</w:t>
      </w:r>
      <w:r>
        <w:t xml:space="preserve">tighetsvärmepumpssegmentet, som dalade med </w:t>
      </w:r>
      <w:r w:rsidR="00F51A43">
        <w:t xml:space="preserve">hela </w:t>
      </w:r>
      <w:r>
        <w:t>16 procent under fjärde kvartalet.</w:t>
      </w:r>
      <w:r w:rsidR="00F51A43">
        <w:t xml:space="preserve"> Det är första gången sedan mätningarna av fastighetsinstallationer </w:t>
      </w:r>
      <w:r w:rsidR="00E95F2B">
        <w:t>inleddes</w:t>
      </w:r>
      <w:r w:rsidR="00F51A43">
        <w:t xml:space="preserve"> som en så kraftig minskning uppmätts.</w:t>
      </w:r>
      <w:r w:rsidR="00AE0B74">
        <w:t xml:space="preserve"> Motsvarande siffror för tredje kvartalet var en ökning med 30 procent.</w:t>
      </w:r>
    </w:p>
    <w:p w:rsidR="00607EC8" w:rsidRDefault="00C65925">
      <w:r w:rsidRPr="004B4B98">
        <w:t xml:space="preserve">- </w:t>
      </w:r>
      <w:r w:rsidR="00355F8A">
        <w:t xml:space="preserve">Det är upprörande </w:t>
      </w:r>
      <w:r w:rsidR="00F51A43">
        <w:t xml:space="preserve">att </w:t>
      </w:r>
      <w:r w:rsidR="00355F8A">
        <w:t xml:space="preserve">notera vad ett beslut på tjänstemannanivå </w:t>
      </w:r>
      <w:r w:rsidR="00F51A43">
        <w:t xml:space="preserve">får för konsekvenser på en hel bransch. En bransch som tillför Stockholms stad klimatsmart uppvärmning med hjälp av förnyelsebar energi. </w:t>
      </w:r>
      <w:r w:rsidR="00E95F2B">
        <w:t xml:space="preserve">Samtidigt drabbas hundratals villaägare som inte kan komma vidare med sina installationer av </w:t>
      </w:r>
      <w:r w:rsidR="00AE0B74">
        <w:t>uppvärmningssystem</w:t>
      </w:r>
      <w:r w:rsidR="002F06EB">
        <w:t>, i</w:t>
      </w:r>
      <w:r w:rsidR="00E95F2B">
        <w:t xml:space="preserve"> många fall som ersättning för oljeeldning eller direktverkande el.</w:t>
      </w:r>
      <w:r w:rsidR="00AE0B74">
        <w:t xml:space="preserve"> </w:t>
      </w:r>
      <w:r w:rsidR="00F51A43">
        <w:t xml:space="preserve">Jag förutsätter att stadens politiker </w:t>
      </w:r>
      <w:r w:rsidR="00E95F2B">
        <w:t xml:space="preserve">nu </w:t>
      </w:r>
      <w:r w:rsidR="00F51A43">
        <w:t xml:space="preserve">tar sitt ansvar </w:t>
      </w:r>
      <w:r w:rsidR="00E95F2B">
        <w:t xml:space="preserve">både </w:t>
      </w:r>
      <w:r w:rsidR="00AE0B74">
        <w:t>mot</w:t>
      </w:r>
      <w:r w:rsidR="00E95F2B">
        <w:t xml:space="preserve"> sina medborgare och miljön </w:t>
      </w:r>
      <w:r w:rsidR="00F51A43">
        <w:t>och snarast styr upp den oreda som förnärvarande finns inom förvaltningen</w:t>
      </w:r>
      <w:r w:rsidR="0050068B" w:rsidRPr="004B4B98">
        <w:t>, säger Per Jonasson vd på Svenska Kyl &amp; Värmepumpföreningen.</w:t>
      </w:r>
    </w:p>
    <w:p w:rsidR="00607EC8" w:rsidRDefault="00607EC8">
      <w:r>
        <w:br w:type="page"/>
      </w:r>
    </w:p>
    <w:p w:rsidR="0050068B" w:rsidRPr="004B4B98" w:rsidRDefault="0050068B">
      <w:bookmarkStart w:id="0" w:name="_GoBack"/>
      <w:bookmarkEnd w:id="0"/>
    </w:p>
    <w:p w:rsidR="0050068B" w:rsidRPr="004B4B98" w:rsidRDefault="0050068B">
      <w:pPr>
        <w:rPr>
          <w:b/>
        </w:rPr>
      </w:pPr>
      <w:r w:rsidRPr="004B4B98">
        <w:rPr>
          <w:b/>
        </w:rPr>
        <w:t>Försäljningen uppdelad på villa och fastighet</w:t>
      </w:r>
      <w:r w:rsidR="00653AE7">
        <w:rPr>
          <w:b/>
        </w:rPr>
        <w:t>, Q</w:t>
      </w:r>
      <w:r w:rsidR="00E91838">
        <w:rPr>
          <w:b/>
        </w:rPr>
        <w:t>4</w:t>
      </w:r>
      <w:r w:rsidR="002A7D3D" w:rsidRPr="004B4B98">
        <w:rPr>
          <w:b/>
        </w:rPr>
        <w:t>/</w:t>
      </w:r>
      <w:r w:rsidR="00E91838">
        <w:rPr>
          <w:b/>
        </w:rPr>
        <w:t>helår</w:t>
      </w:r>
      <w:r w:rsidRPr="004B4B98">
        <w:rPr>
          <w:b/>
        </w:rPr>
        <w:t>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276"/>
      </w:tblGrid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rPr>
                <w:b/>
              </w:rPr>
              <w:t>Villa</w:t>
            </w: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rPr>
                <w:b/>
              </w:rPr>
              <w:t>Fastighet</w:t>
            </w:r>
          </w:p>
        </w:tc>
      </w:tr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rPr>
                <w:b/>
              </w:rPr>
              <w:t>Totalt</w:t>
            </w:r>
          </w:p>
        </w:tc>
        <w:tc>
          <w:tcPr>
            <w:tcW w:w="1276" w:type="dxa"/>
          </w:tcPr>
          <w:p w:rsidR="004B4B98" w:rsidRPr="004B4B98" w:rsidRDefault="001502EF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rPr>
                <w:b/>
              </w:rPr>
              <w:t>2</w:t>
            </w:r>
            <w:r w:rsidR="00EF0A9E">
              <w:rPr>
                <w:b/>
              </w:rPr>
              <w:t xml:space="preserve"> %/</w:t>
            </w:r>
            <w:r>
              <w:rPr>
                <w:b/>
              </w:rPr>
              <w:t>8</w:t>
            </w:r>
            <w:r w:rsidR="004B4B98" w:rsidRPr="004B4B98">
              <w:rPr>
                <w:b/>
              </w:rPr>
              <w:t xml:space="preserve"> %</w:t>
            </w:r>
          </w:p>
        </w:tc>
        <w:tc>
          <w:tcPr>
            <w:tcW w:w="1276" w:type="dxa"/>
          </w:tcPr>
          <w:p w:rsidR="004B4B98" w:rsidRPr="004B4B98" w:rsidRDefault="001502EF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rPr>
                <w:b/>
              </w:rPr>
              <w:t xml:space="preserve">-16 </w:t>
            </w:r>
            <w:r w:rsidR="00EF0A9E">
              <w:rPr>
                <w:b/>
              </w:rPr>
              <w:t>%/</w:t>
            </w:r>
            <w:r>
              <w:rPr>
                <w:b/>
              </w:rPr>
              <w:t>5</w:t>
            </w:r>
            <w:r w:rsidR="004B4B98" w:rsidRPr="004B4B98">
              <w:rPr>
                <w:b/>
              </w:rPr>
              <w:t xml:space="preserve"> %</w:t>
            </w:r>
          </w:p>
        </w:tc>
      </w:tr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t>Luft-vattenvärmepumpar</w:t>
            </w:r>
          </w:p>
        </w:tc>
        <w:tc>
          <w:tcPr>
            <w:tcW w:w="1276" w:type="dxa"/>
          </w:tcPr>
          <w:p w:rsidR="004B4B98" w:rsidRPr="004B4B98" w:rsidRDefault="001502EF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t>15</w:t>
            </w:r>
            <w:r w:rsidR="00EF0A9E">
              <w:t xml:space="preserve"> %/</w:t>
            </w:r>
            <w:r>
              <w:t>23</w:t>
            </w:r>
            <w:r w:rsidR="004B4B98" w:rsidRPr="004B4B98">
              <w:t xml:space="preserve"> %</w:t>
            </w: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</w:p>
        </w:tc>
      </w:tr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t>Frånluftsvärmepumpar</w:t>
            </w:r>
          </w:p>
        </w:tc>
        <w:tc>
          <w:tcPr>
            <w:tcW w:w="1276" w:type="dxa"/>
          </w:tcPr>
          <w:p w:rsidR="004B4B98" w:rsidRPr="004B4B98" w:rsidRDefault="001502EF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t>12</w:t>
            </w:r>
            <w:r w:rsidR="00EF0A9E">
              <w:t xml:space="preserve"> %/</w:t>
            </w:r>
            <w:r>
              <w:t>13</w:t>
            </w:r>
            <w:r w:rsidR="004B4B98" w:rsidRPr="004B4B98">
              <w:t xml:space="preserve"> %</w:t>
            </w: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</w:p>
        </w:tc>
      </w:tr>
      <w:tr w:rsidR="004B4B98" w:rsidRPr="004B4B98" w:rsidTr="00EF0A9E">
        <w:tc>
          <w:tcPr>
            <w:tcW w:w="4678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 w:rsidRPr="004B4B98">
              <w:t>Vätska-vattenvärmepumpar (bergvärmepumpar)</w:t>
            </w:r>
          </w:p>
        </w:tc>
        <w:tc>
          <w:tcPr>
            <w:tcW w:w="1276" w:type="dxa"/>
          </w:tcPr>
          <w:p w:rsidR="004B4B98" w:rsidRPr="004B4B98" w:rsidRDefault="001502EF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  <w:r>
              <w:t>-10</w:t>
            </w:r>
            <w:r w:rsidR="00EF0A9E">
              <w:t xml:space="preserve"> %/</w:t>
            </w:r>
            <w:r>
              <w:t xml:space="preserve">-1 </w:t>
            </w:r>
            <w:r w:rsidR="004B4B98" w:rsidRPr="004B4B98">
              <w:t>%</w:t>
            </w:r>
          </w:p>
        </w:tc>
        <w:tc>
          <w:tcPr>
            <w:tcW w:w="1276" w:type="dxa"/>
          </w:tcPr>
          <w:p w:rsidR="004B4B98" w:rsidRPr="004B4B98" w:rsidRDefault="004B4B98" w:rsidP="002A7D3D">
            <w:pPr>
              <w:tabs>
                <w:tab w:val="center" w:pos="5529"/>
                <w:tab w:val="center" w:pos="6946"/>
              </w:tabs>
              <w:rPr>
                <w:b/>
              </w:rPr>
            </w:pPr>
          </w:p>
        </w:tc>
      </w:tr>
    </w:tbl>
    <w:p w:rsidR="00EF0A9E" w:rsidRPr="004B4B98" w:rsidRDefault="00653AE7" w:rsidP="00304669">
      <w:pPr>
        <w:shd w:val="clear" w:color="auto" w:fill="FFFFFF" w:themeFill="background1"/>
        <w:spacing w:beforeAutospacing="1" w:after="0" w:line="240" w:lineRule="auto"/>
        <w:rPr>
          <w:rFonts w:eastAsia="Times New Roman" w:cstheme="minorHAnsi"/>
          <w:color w:val="222222"/>
          <w:lang w:eastAsia="sv-SE"/>
        </w:rPr>
      </w:pPr>
      <w:r>
        <w:t>U</w:t>
      </w:r>
      <w:r w:rsidR="00EF0A9E" w:rsidRPr="004B4B98">
        <w:t>nder året</w:t>
      </w:r>
      <w:r w:rsidR="001502EF">
        <w:t xml:space="preserve"> såldes värmepumpar</w:t>
      </w:r>
      <w:r w:rsidR="00EF0A9E" w:rsidRPr="004B4B98">
        <w:t xml:space="preserve"> för totalt </w:t>
      </w:r>
      <w:r w:rsidR="001502EF">
        <w:t>6,9</w:t>
      </w:r>
      <w:r w:rsidR="00EF0A9E" w:rsidRPr="004B4B98">
        <w:t xml:space="preserve"> miljarder kronor i Sverige, vilket är</w:t>
      </w:r>
      <w:r w:rsidR="001502EF">
        <w:t xml:space="preserve"> 7 </w:t>
      </w:r>
      <w:r w:rsidR="00EF0A9E" w:rsidRPr="004B4B98">
        <w:t xml:space="preserve">procent mer än </w:t>
      </w:r>
      <w:r w:rsidR="001502EF">
        <w:t>2016</w:t>
      </w:r>
      <w:r w:rsidR="00EF0A9E" w:rsidRPr="004B4B98">
        <w:t>.</w:t>
      </w:r>
      <w:r w:rsidR="001502EF">
        <w:t xml:space="preserve"> Under fjärde kvartalet uppgick försäljningsvärdet till 2,1 miljarder kronor, vilket är 3 procent lägre än samma period 2016.</w:t>
      </w:r>
    </w:p>
    <w:p w:rsidR="0050068B" w:rsidRPr="004B4B98" w:rsidRDefault="00304669" w:rsidP="00FD035C">
      <w:pPr>
        <w:shd w:val="clear" w:color="auto" w:fill="FFFFFF" w:themeFill="background1"/>
        <w:spacing w:before="100" w:beforeAutospacing="1" w:after="0" w:line="240" w:lineRule="auto"/>
      </w:pPr>
      <w:r w:rsidRPr="004B4B98">
        <w:rPr>
          <w:rFonts w:eastAsia="Times New Roman" w:cstheme="minorHAnsi"/>
          <w:color w:val="222222"/>
          <w:lang w:eastAsia="sv-SE"/>
        </w:rPr>
        <w:t>För ytterligare information: Per Jonasson, vd, Svenska Kyl &amp; Värmepumpföreningen, </w:t>
      </w:r>
      <w:r w:rsidRPr="004B4B98">
        <w:rPr>
          <w:rFonts w:eastAsia="Times New Roman" w:cstheme="minorHAnsi"/>
          <w:color w:val="222222"/>
          <w:lang w:eastAsia="sv-SE"/>
        </w:rPr>
        <w:br/>
      </w:r>
      <w:proofErr w:type="spellStart"/>
      <w:r w:rsidRPr="004B4B98">
        <w:rPr>
          <w:rFonts w:eastAsia="Times New Roman" w:cstheme="minorHAnsi"/>
          <w:color w:val="222222"/>
          <w:lang w:eastAsia="sv-SE"/>
        </w:rPr>
        <w:t>tel</w:t>
      </w:r>
      <w:proofErr w:type="spellEnd"/>
      <w:r w:rsidRPr="004B4B98">
        <w:rPr>
          <w:rFonts w:eastAsia="Times New Roman" w:cstheme="minorHAnsi"/>
          <w:color w:val="222222"/>
          <w:lang w:eastAsia="sv-SE"/>
        </w:rPr>
        <w:t>: 08-512 549 55, e-post: per.jonasson@skvp.se</w:t>
      </w:r>
    </w:p>
    <w:sectPr w:rsidR="0050068B" w:rsidRPr="004B4B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C2" w:rsidRDefault="003467C2" w:rsidP="0018094B">
      <w:pPr>
        <w:spacing w:after="0" w:line="240" w:lineRule="auto"/>
      </w:pPr>
      <w:r>
        <w:separator/>
      </w:r>
    </w:p>
  </w:endnote>
  <w:endnote w:type="continuationSeparator" w:id="0">
    <w:p w:rsidR="003467C2" w:rsidRDefault="003467C2" w:rsidP="0018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0F" w:rsidRDefault="0006290F" w:rsidP="0006290F">
    <w:pPr>
      <w:spacing w:after="240"/>
      <w:rPr>
        <w:rStyle w:val="Hyperlnk"/>
        <w:rFonts w:cstheme="minorHAnsi"/>
        <w:i/>
        <w:sz w:val="20"/>
        <w:szCs w:val="20"/>
        <w:shd w:val="clear" w:color="auto" w:fill="FFFFFF"/>
      </w:rPr>
    </w:pPr>
  </w:p>
  <w:p w:rsidR="0006290F" w:rsidRPr="000204A3" w:rsidRDefault="0006290F" w:rsidP="0006290F">
    <w:pPr>
      <w:pBdr>
        <w:top w:val="single" w:sz="4" w:space="1" w:color="auto"/>
      </w:pBdr>
      <w:spacing w:after="240"/>
      <w:rPr>
        <w:rFonts w:cstheme="minorHAnsi"/>
        <w:i/>
        <w:sz w:val="20"/>
        <w:szCs w:val="20"/>
        <w:shd w:val="clear" w:color="auto" w:fill="FFFFFF"/>
      </w:rPr>
    </w:pP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Svenska </w:t>
    </w:r>
    <w:r>
      <w:rPr>
        <w:rStyle w:val="Hyperlnk"/>
        <w:rFonts w:cstheme="minorHAnsi"/>
        <w:i/>
        <w:sz w:val="20"/>
        <w:szCs w:val="20"/>
        <w:shd w:val="clear" w:color="auto" w:fill="FFFFFF"/>
      </w:rPr>
      <w:t>K</w:t>
    </w: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yl &amp; </w:t>
    </w:r>
    <w:r>
      <w:rPr>
        <w:rStyle w:val="Hyperlnk"/>
        <w:rFonts w:cstheme="minorHAnsi"/>
        <w:i/>
        <w:sz w:val="20"/>
        <w:szCs w:val="20"/>
        <w:shd w:val="clear" w:color="auto" w:fill="FFFFFF"/>
      </w:rPr>
      <w:t>V</w:t>
    </w:r>
    <w:r w:rsidRPr="00121A89">
      <w:rPr>
        <w:rStyle w:val="Hyperlnk"/>
        <w:rFonts w:cstheme="minorHAnsi"/>
        <w:i/>
        <w:sz w:val="20"/>
        <w:szCs w:val="20"/>
        <w:shd w:val="clear" w:color="auto" w:fill="FFFFFF"/>
      </w:rPr>
      <w:t xml:space="preserve">ärmepumpföreningen är en branschorganisation </w:t>
    </w:r>
    <w:r w:rsidRPr="00121A89">
      <w:rPr>
        <w:rFonts w:cstheme="minorHAnsi"/>
        <w:i/>
        <w:sz w:val="20"/>
        <w:szCs w:val="20"/>
        <w:shd w:val="clear" w:color="auto" w:fill="FFFFFF"/>
      </w:rPr>
      <w:t>för företag som tillverkar, importerar, underhåller, installerar och utför entreprenader av kyl- och värmepumpanläggningar. Föreningen har 1000 medlemmar och representerar en bransch som sysselsätter 20 000 personer o</w:t>
    </w:r>
    <w:r>
      <w:rPr>
        <w:rFonts w:cstheme="minorHAnsi"/>
        <w:i/>
        <w:sz w:val="20"/>
        <w:szCs w:val="20"/>
        <w:shd w:val="clear" w:color="auto" w:fill="FFFFFF"/>
      </w:rPr>
      <w:t>ch omsätter 12 miljarder kronor</w:t>
    </w:r>
  </w:p>
  <w:p w:rsidR="0006290F" w:rsidRDefault="0006290F">
    <w:pPr>
      <w:pStyle w:val="Sidfot"/>
    </w:pPr>
  </w:p>
  <w:p w:rsidR="0006290F" w:rsidRDefault="000629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C2" w:rsidRDefault="003467C2" w:rsidP="0018094B">
      <w:pPr>
        <w:spacing w:after="0" w:line="240" w:lineRule="auto"/>
      </w:pPr>
      <w:r>
        <w:separator/>
      </w:r>
    </w:p>
  </w:footnote>
  <w:footnote w:type="continuationSeparator" w:id="0">
    <w:p w:rsidR="003467C2" w:rsidRDefault="003467C2" w:rsidP="0018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0F" w:rsidRDefault="0006290F">
    <w:pPr>
      <w:pStyle w:val="Sidhuvud"/>
    </w:pPr>
    <w:r w:rsidRPr="00830764">
      <w:rPr>
        <w:noProof/>
        <w:lang w:eastAsia="sv-SE"/>
      </w:rPr>
      <w:drawing>
        <wp:inline distT="0" distB="0" distL="0" distR="0" wp14:anchorId="61229D0B" wp14:editId="07EFA131">
          <wp:extent cx="1854834" cy="11239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93" b="10835"/>
                  <a:stretch/>
                </pic:blipFill>
                <pic:spPr bwMode="auto">
                  <a:xfrm>
                    <a:off x="0" y="0"/>
                    <a:ext cx="1871608" cy="11341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90F" w:rsidRDefault="000629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4F"/>
    <w:rsid w:val="00025E2A"/>
    <w:rsid w:val="0006290F"/>
    <w:rsid w:val="001502EF"/>
    <w:rsid w:val="0016024F"/>
    <w:rsid w:val="0018094B"/>
    <w:rsid w:val="00191025"/>
    <w:rsid w:val="002A7D3D"/>
    <w:rsid w:val="002F06EB"/>
    <w:rsid w:val="00304669"/>
    <w:rsid w:val="003467C2"/>
    <w:rsid w:val="00355F8A"/>
    <w:rsid w:val="00405BC7"/>
    <w:rsid w:val="004150C3"/>
    <w:rsid w:val="004551F3"/>
    <w:rsid w:val="0049014D"/>
    <w:rsid w:val="004B4B98"/>
    <w:rsid w:val="004D277D"/>
    <w:rsid w:val="0050068B"/>
    <w:rsid w:val="0051448F"/>
    <w:rsid w:val="005F577E"/>
    <w:rsid w:val="00607EC8"/>
    <w:rsid w:val="00636C53"/>
    <w:rsid w:val="00653AE7"/>
    <w:rsid w:val="00687E1A"/>
    <w:rsid w:val="006A1F99"/>
    <w:rsid w:val="0076724A"/>
    <w:rsid w:val="00A36465"/>
    <w:rsid w:val="00A46000"/>
    <w:rsid w:val="00AA328B"/>
    <w:rsid w:val="00AE0B74"/>
    <w:rsid w:val="00B211BD"/>
    <w:rsid w:val="00B22B80"/>
    <w:rsid w:val="00B23D95"/>
    <w:rsid w:val="00BA4BD4"/>
    <w:rsid w:val="00C65925"/>
    <w:rsid w:val="00CB0EB2"/>
    <w:rsid w:val="00D06D8E"/>
    <w:rsid w:val="00D27273"/>
    <w:rsid w:val="00D86ECD"/>
    <w:rsid w:val="00DD78B8"/>
    <w:rsid w:val="00E130D0"/>
    <w:rsid w:val="00E161C8"/>
    <w:rsid w:val="00E16B94"/>
    <w:rsid w:val="00E91838"/>
    <w:rsid w:val="00E95F2B"/>
    <w:rsid w:val="00EA1B62"/>
    <w:rsid w:val="00EF0A9E"/>
    <w:rsid w:val="00F36CF9"/>
    <w:rsid w:val="00F51A43"/>
    <w:rsid w:val="00F608FE"/>
    <w:rsid w:val="00FC4A67"/>
    <w:rsid w:val="00FD035C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B2F4"/>
  <w15:chartTrackingRefBased/>
  <w15:docId w15:val="{8DDD2DE4-622A-4E50-BEC8-A0DEA11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094B"/>
  </w:style>
  <w:style w:type="paragraph" w:styleId="Sidfot">
    <w:name w:val="footer"/>
    <w:basedOn w:val="Normal"/>
    <w:link w:val="SidfotChar"/>
    <w:uiPriority w:val="99"/>
    <w:unhideWhenUsed/>
    <w:rsid w:val="0018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094B"/>
  </w:style>
  <w:style w:type="character" w:styleId="Hyperlnk">
    <w:name w:val="Hyperlink"/>
    <w:basedOn w:val="Standardstycketeckensnitt"/>
    <w:uiPriority w:val="99"/>
    <w:unhideWhenUsed/>
    <w:rsid w:val="0006290F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4B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8410427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F4C4-A789-49EB-9840-270D134C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Jonasson</dc:creator>
  <cp:keywords/>
  <dc:description/>
  <cp:lastModifiedBy>Cecilia Branting</cp:lastModifiedBy>
  <cp:revision>2</cp:revision>
  <dcterms:created xsi:type="dcterms:W3CDTF">2018-01-17T12:12:00Z</dcterms:created>
  <dcterms:modified xsi:type="dcterms:W3CDTF">2018-01-17T12:12:00Z</dcterms:modified>
</cp:coreProperties>
</file>