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B5" w:rsidRPr="000D2E62" w:rsidRDefault="00E144B5" w:rsidP="00E144B5">
      <w:pPr>
        <w:spacing w:after="0"/>
        <w:rPr>
          <w:rFonts w:ascii="Imago" w:hAnsi="Imago"/>
          <w:sz w:val="24"/>
          <w:szCs w:val="24"/>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Pr="000D2E62">
        <w:rPr>
          <w:rFonts w:ascii="Imago" w:hAnsi="Imago"/>
          <w:sz w:val="24"/>
          <w:szCs w:val="24"/>
          <w:lang w:val="fi-FI"/>
        </w:rPr>
        <w:tab/>
      </w:r>
    </w:p>
    <w:p w:rsidR="00E144B5" w:rsidRPr="000D2E62" w:rsidRDefault="00E144B5" w:rsidP="00E144B5">
      <w:pPr>
        <w:spacing w:after="0"/>
        <w:rPr>
          <w:rFonts w:ascii="Imago" w:hAnsi="Imago"/>
          <w:sz w:val="24"/>
          <w:szCs w:val="24"/>
          <w:lang w:val="fi-FI"/>
        </w:rPr>
      </w:pPr>
      <w:r w:rsidRPr="000D2E62">
        <w:rPr>
          <w:rFonts w:ascii="Imago" w:hAnsi="Imago"/>
          <w:sz w:val="24"/>
          <w:szCs w:val="24"/>
          <w:lang w:val="fi-FI"/>
        </w:rPr>
        <w:tab/>
      </w:r>
      <w:r w:rsidRPr="000D2E62">
        <w:rPr>
          <w:rFonts w:ascii="Imago" w:hAnsi="Imago"/>
          <w:sz w:val="24"/>
          <w:szCs w:val="24"/>
          <w:lang w:val="fi-FI"/>
        </w:rPr>
        <w:tab/>
      </w:r>
      <w:r w:rsidRPr="000D2E62">
        <w:rPr>
          <w:rFonts w:ascii="Imago" w:hAnsi="Imago"/>
          <w:sz w:val="24"/>
          <w:szCs w:val="24"/>
          <w:lang w:val="fi-FI"/>
        </w:rPr>
        <w:tab/>
      </w:r>
      <w:r w:rsidRPr="000D2E62">
        <w:rPr>
          <w:rFonts w:ascii="Imago" w:hAnsi="Imago"/>
          <w:sz w:val="24"/>
          <w:szCs w:val="24"/>
          <w:lang w:val="fi-FI"/>
        </w:rPr>
        <w:tab/>
      </w:r>
      <w:r w:rsidRPr="000D2E62">
        <w:rPr>
          <w:rFonts w:ascii="Imago" w:hAnsi="Imago"/>
          <w:sz w:val="24"/>
          <w:szCs w:val="24"/>
          <w:lang w:val="fi-FI"/>
        </w:rPr>
        <w:tab/>
      </w:r>
      <w:r w:rsidRPr="000D2E62">
        <w:rPr>
          <w:rFonts w:ascii="Imago" w:hAnsi="Imago"/>
          <w:sz w:val="24"/>
          <w:szCs w:val="24"/>
          <w:lang w:val="fi-FI"/>
        </w:rPr>
        <w:tab/>
      </w:r>
      <w:r w:rsidRPr="000D2E62">
        <w:rPr>
          <w:rFonts w:ascii="Imago" w:hAnsi="Imago"/>
          <w:sz w:val="24"/>
          <w:szCs w:val="24"/>
          <w:lang w:val="fi-FI"/>
        </w:rPr>
        <w:tab/>
      </w:r>
    </w:p>
    <w:p w:rsidR="001A420A" w:rsidRDefault="001A420A" w:rsidP="001A420A">
      <w:pPr>
        <w:spacing w:after="0"/>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p>
    <w:p w:rsidR="001A420A" w:rsidRDefault="001A420A" w:rsidP="001A420A">
      <w:pPr>
        <w:spacing w:after="0"/>
        <w:rPr>
          <w:lang w:val="fi-FI"/>
        </w:rPr>
      </w:pPr>
    </w:p>
    <w:p w:rsidR="001A420A" w:rsidRPr="001A420A" w:rsidRDefault="001A420A" w:rsidP="001A420A">
      <w:pPr>
        <w:spacing w:after="0"/>
        <w:rPr>
          <w:rFonts w:ascii="Imago" w:hAnsi="Imago"/>
          <w:b/>
          <w:sz w:val="24"/>
          <w:szCs w:val="24"/>
          <w:lang w:val="fi-FI"/>
        </w:rPr>
      </w:pPr>
      <w:r w:rsidRPr="001A420A">
        <w:rPr>
          <w:rFonts w:ascii="Imago" w:hAnsi="Imago"/>
          <w:b/>
          <w:sz w:val="24"/>
          <w:szCs w:val="24"/>
          <w:lang w:val="fi-FI"/>
        </w:rPr>
        <w:t>ESBRIET® (pirfenidoni)</w:t>
      </w:r>
    </w:p>
    <w:p w:rsidR="001A420A" w:rsidRPr="001A420A" w:rsidRDefault="001A420A" w:rsidP="001A420A">
      <w:pPr>
        <w:spacing w:after="0"/>
        <w:rPr>
          <w:rFonts w:ascii="Imago" w:hAnsi="Imago"/>
          <w:b/>
          <w:lang w:val="fi-FI"/>
        </w:rPr>
      </w:pPr>
    </w:p>
    <w:p w:rsidR="001A420A" w:rsidRPr="001A420A" w:rsidRDefault="001A420A" w:rsidP="001A420A">
      <w:p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 xml:space="preserve">Esbrietin vaikuttava aine on pirfenidoni, ja sitä käytetään lievän tai keskivaikean idiopaattisen keuhkofibroosin hoitoon aikuisilla. Lääke on peruskorvattu. </w:t>
      </w:r>
    </w:p>
    <w:p w:rsidR="001A420A" w:rsidRPr="001A420A" w:rsidRDefault="001A420A" w:rsidP="001A420A">
      <w:pPr>
        <w:spacing w:after="0"/>
        <w:rPr>
          <w:rFonts w:ascii="Imago" w:eastAsia="Times New Roman" w:hAnsi="Imago" w:cs="Arial"/>
          <w:color w:val="353535"/>
          <w:sz w:val="24"/>
          <w:szCs w:val="24"/>
          <w:lang w:val="fi-FI"/>
        </w:rPr>
      </w:pPr>
    </w:p>
    <w:p w:rsidR="001A420A" w:rsidRPr="001A420A" w:rsidRDefault="001A420A" w:rsidP="001A420A">
      <w:p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 xml:space="preserve">Idiopaattinen keuhkofibroosi on sairaus, jossa potilaan keuhkoihin alkaa muodostua arpikudosta. Taudin edetessä potilaan on yhä vaikeampi hengittää. </w:t>
      </w:r>
    </w:p>
    <w:p w:rsidR="001A420A" w:rsidRPr="001A420A" w:rsidRDefault="001A420A" w:rsidP="001A420A">
      <w:pPr>
        <w:spacing w:after="0"/>
        <w:rPr>
          <w:rFonts w:ascii="Imago" w:eastAsia="Times New Roman" w:hAnsi="Imago" w:cs="Arial"/>
          <w:color w:val="353535"/>
          <w:sz w:val="24"/>
          <w:szCs w:val="24"/>
          <w:lang w:val="fi-FI"/>
        </w:rPr>
      </w:pPr>
    </w:p>
    <w:p w:rsidR="001A420A" w:rsidRPr="001A420A" w:rsidRDefault="001A420A" w:rsidP="001A420A">
      <w:p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Pirfenidoni on suun kautta otettava lääke, jolla on sekä antifibroottisia että tulehdusta estäviä ominaisuuksia.  Sen on tutkimuksissa osoitettu vähentävän sidekudoksen muodostumiseen tarvittavien fibroblastien määrää ja hidastavan taudin etenemistä. Lääke annostellaan seuraavasti:</w:t>
      </w:r>
    </w:p>
    <w:p w:rsidR="001A420A" w:rsidRPr="001A420A" w:rsidRDefault="001A420A" w:rsidP="001A420A">
      <w:pPr>
        <w:pStyle w:val="ListParagraph"/>
        <w:numPr>
          <w:ilvl w:val="0"/>
          <w:numId w:val="2"/>
        </w:num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Ensimmäiset seitsemän päivää: yksi kapseli kolme kertaa päivässä.</w:t>
      </w:r>
    </w:p>
    <w:p w:rsidR="001A420A" w:rsidRPr="001A420A" w:rsidRDefault="001A420A" w:rsidP="001A420A">
      <w:pPr>
        <w:pStyle w:val="ListParagraph"/>
        <w:numPr>
          <w:ilvl w:val="0"/>
          <w:numId w:val="2"/>
        </w:num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Päivät 8-14: kaksi kapselia kolme kertaa päivässä.</w:t>
      </w:r>
    </w:p>
    <w:p w:rsidR="001A420A" w:rsidRPr="001A420A" w:rsidRDefault="001A420A" w:rsidP="001A420A">
      <w:pPr>
        <w:pStyle w:val="ListParagraph"/>
        <w:numPr>
          <w:ilvl w:val="0"/>
          <w:numId w:val="2"/>
        </w:num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15. päivästä eteenpäin kolme kapselia kolme kertaa päivässä.</w:t>
      </w:r>
    </w:p>
    <w:p w:rsidR="001A420A" w:rsidRPr="001A420A" w:rsidRDefault="001A420A" w:rsidP="001A420A">
      <w:pPr>
        <w:spacing w:after="0"/>
        <w:rPr>
          <w:rFonts w:ascii="Imago" w:eastAsia="Times New Roman" w:hAnsi="Imago" w:cs="Arial"/>
          <w:color w:val="353535"/>
          <w:sz w:val="24"/>
          <w:szCs w:val="24"/>
          <w:lang w:val="fi-FI"/>
        </w:rPr>
      </w:pPr>
    </w:p>
    <w:p w:rsidR="001A420A" w:rsidRPr="001A420A" w:rsidRDefault="001A420A" w:rsidP="001A420A">
      <w:pPr>
        <w:spacing w:after="0"/>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 xml:space="preserve">Lääke saattaa herkistää auringonvalolle, minkä vuoksi hoidon aikana on syytä välttää aurinkoa. </w:t>
      </w: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Pirfenidonin turvallisuutta on arvioitu kliinisissä tutkimuksissa, joihin osallistui 1 345 tervettä</w:t>
      </w: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vapaaehtoista koehenkilöä sekä potilaita. Kliinisessä tutkimuksessa, jossa lääkettä käytettiin 2 403 mg:n päiväannoksella ja jossa sitä verrattiin lumelääkkeeseen, yleisimmät (≥ 10 prosenttia) ilmoitetut haittavaikutukset olivat pahoinvointi, ihottuma, väsymys, ripuli, ruoansulatushäiriöt ja valoherkistyneisyysreaktio.</w:t>
      </w: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Lääkkeen kliinistä tehoa on tutkittu kolmessa vaiheen 3 monikeskustutkimuksessa, jotka olivat</w:t>
      </w: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satunnaistettuja, kaksoissokkoutettuja ja lumelääkekontrolloituja ja joihin osallistui idiopaattista</w:t>
      </w:r>
    </w:p>
    <w:p w:rsidR="001A420A" w:rsidRPr="001A420A" w:rsidRDefault="001A420A" w:rsidP="001A420A">
      <w:pPr>
        <w:autoSpaceDE w:val="0"/>
        <w:autoSpaceDN w:val="0"/>
        <w:adjustRightInd w:val="0"/>
        <w:spacing w:after="0" w:line="240" w:lineRule="auto"/>
        <w:rPr>
          <w:rFonts w:ascii="Imago" w:eastAsia="Times New Roman" w:hAnsi="Imago" w:cs="Arial"/>
          <w:color w:val="353535"/>
          <w:sz w:val="24"/>
          <w:szCs w:val="24"/>
          <w:lang w:val="fi-FI"/>
        </w:rPr>
      </w:pPr>
      <w:r w:rsidRPr="001A420A">
        <w:rPr>
          <w:rFonts w:ascii="Imago" w:eastAsia="Times New Roman" w:hAnsi="Imago" w:cs="Arial"/>
          <w:color w:val="353535"/>
          <w:sz w:val="24"/>
          <w:szCs w:val="24"/>
          <w:lang w:val="fi-FI"/>
        </w:rPr>
        <w:t xml:space="preserve">keuhkofibroosia sairastavia potilaita. </w:t>
      </w:r>
    </w:p>
    <w:p w:rsidR="001A420A" w:rsidRDefault="001A420A" w:rsidP="001A420A">
      <w:pPr>
        <w:autoSpaceDE w:val="0"/>
        <w:autoSpaceDN w:val="0"/>
        <w:adjustRightInd w:val="0"/>
        <w:spacing w:after="0" w:line="240" w:lineRule="auto"/>
        <w:rPr>
          <w:rFonts w:eastAsia="Times New Roman" w:cs="Arial"/>
          <w:color w:val="353535"/>
          <w:sz w:val="24"/>
          <w:szCs w:val="24"/>
          <w:lang w:val="fi-FI"/>
        </w:rPr>
      </w:pPr>
      <w:r w:rsidRPr="001A420A">
        <w:rPr>
          <w:rFonts w:ascii="Imago" w:eastAsia="Times New Roman" w:hAnsi="Imago" w:cs="Arial"/>
          <w:color w:val="353535"/>
          <w:sz w:val="24"/>
          <w:szCs w:val="24"/>
          <w:lang w:val="fi-FI"/>
        </w:rPr>
        <w:t>Tutkimusten mukaan pirfenidoni paransi potilaiden vitaalikapasiteettia (suurin ilmamäärä, jonka potilas pystyy hengittämään ulos mahdollisimman täydellisen sisäänhengityksen jälkeen) ja kuuden minuutin kävelytestin tulosta. Tutkimuksista tehty meta-analyysi osoitti pirfenidonin vähentävän taudin etenemisen riskiä 30 % sekä vähentävän keuhkofunktioiden heikkenemistä</w:t>
      </w:r>
      <w:r>
        <w:rPr>
          <w:rFonts w:eastAsia="Times New Roman" w:cs="Arial"/>
          <w:color w:val="353535"/>
          <w:sz w:val="24"/>
          <w:szCs w:val="24"/>
          <w:lang w:val="fi-FI"/>
        </w:rPr>
        <w:t xml:space="preserve">. </w:t>
      </w:r>
    </w:p>
    <w:p w:rsidR="009C7D34" w:rsidRPr="00EA7FCF" w:rsidRDefault="009C7D34" w:rsidP="001A420A">
      <w:pPr>
        <w:autoSpaceDE w:val="0"/>
        <w:autoSpaceDN w:val="0"/>
        <w:adjustRightInd w:val="0"/>
        <w:spacing w:after="0" w:line="240" w:lineRule="auto"/>
        <w:rPr>
          <w:rFonts w:eastAsia="Times New Roman" w:cs="Arial"/>
          <w:color w:val="353535"/>
          <w:sz w:val="24"/>
          <w:szCs w:val="24"/>
          <w:lang w:val="fi-FI"/>
        </w:rPr>
      </w:pPr>
    </w:p>
    <w:p w:rsidR="001A420A" w:rsidRPr="009C7D34" w:rsidRDefault="009C7D34" w:rsidP="001A420A">
      <w:pPr>
        <w:spacing w:after="0"/>
        <w:rPr>
          <w:rFonts w:ascii="Imago" w:eastAsia="Times New Roman" w:hAnsi="Imago" w:cs="Arial"/>
          <w:color w:val="353535"/>
          <w:sz w:val="20"/>
          <w:szCs w:val="20"/>
          <w:lang w:val="fi-FI"/>
        </w:rPr>
      </w:pPr>
      <w:r w:rsidRPr="009C7D34">
        <w:rPr>
          <w:rFonts w:ascii="Imago" w:eastAsia="Times New Roman" w:hAnsi="Imago" w:cs="Arial"/>
          <w:color w:val="353535"/>
          <w:sz w:val="20"/>
          <w:szCs w:val="20"/>
          <w:lang w:val="fi-FI"/>
        </w:rPr>
        <w:t>FI/ESB/1501/003</w:t>
      </w:r>
    </w:p>
    <w:p w:rsidR="001A420A" w:rsidRPr="001A420A" w:rsidRDefault="001A420A" w:rsidP="001A420A">
      <w:pPr>
        <w:spacing w:after="0"/>
        <w:rPr>
          <w:rFonts w:ascii="Minion" w:eastAsia="Times New Roman" w:hAnsi="Minion" w:cs="Arial"/>
          <w:i/>
          <w:color w:val="353535"/>
          <w:sz w:val="20"/>
          <w:szCs w:val="20"/>
          <w:lang w:val="fi-FI"/>
        </w:rPr>
      </w:pPr>
      <w:r w:rsidRPr="001A420A">
        <w:rPr>
          <w:rFonts w:ascii="Minion" w:eastAsia="Times New Roman" w:hAnsi="Minion" w:cs="Arial"/>
          <w:i/>
          <w:color w:val="353535"/>
          <w:sz w:val="20"/>
          <w:szCs w:val="20"/>
          <w:lang w:val="fi-FI"/>
        </w:rPr>
        <w:t>Lähte</w:t>
      </w:r>
      <w:bookmarkStart w:id="0" w:name="_GoBack"/>
      <w:bookmarkEnd w:id="0"/>
      <w:r w:rsidRPr="001A420A">
        <w:rPr>
          <w:rFonts w:ascii="Minion" w:eastAsia="Times New Roman" w:hAnsi="Minion" w:cs="Arial"/>
          <w:i/>
          <w:color w:val="353535"/>
          <w:sz w:val="20"/>
          <w:szCs w:val="20"/>
          <w:lang w:val="fi-FI"/>
        </w:rPr>
        <w:t>et:</w:t>
      </w:r>
    </w:p>
    <w:p w:rsidR="00E144B5" w:rsidRDefault="001A420A" w:rsidP="00E144B5">
      <w:pPr>
        <w:spacing w:after="0"/>
        <w:rPr>
          <w:rFonts w:ascii="Minion" w:eastAsia="Times New Roman" w:hAnsi="Minion" w:cs="Arial"/>
          <w:i/>
          <w:color w:val="353535"/>
          <w:sz w:val="20"/>
          <w:szCs w:val="20"/>
          <w:lang w:val="fi-FI"/>
        </w:rPr>
      </w:pPr>
      <w:r w:rsidRPr="001A420A">
        <w:rPr>
          <w:rFonts w:ascii="Minion" w:eastAsia="Times New Roman" w:hAnsi="Minion" w:cs="Arial"/>
          <w:i/>
          <w:color w:val="353535"/>
          <w:sz w:val="20"/>
          <w:szCs w:val="20"/>
          <w:lang w:val="fi-FI"/>
        </w:rPr>
        <w:t>Esbriet-valmisteyhteenveto</w:t>
      </w:r>
      <w:r>
        <w:rPr>
          <w:rFonts w:ascii="Minion" w:eastAsia="Times New Roman" w:hAnsi="Minion" w:cs="Arial"/>
          <w:i/>
          <w:color w:val="353535"/>
          <w:sz w:val="20"/>
          <w:szCs w:val="20"/>
          <w:lang w:val="fi-FI"/>
        </w:rPr>
        <w:t>, Suomen Lääkärilehti 5/</w:t>
      </w:r>
      <w:r w:rsidR="009C7D34">
        <w:rPr>
          <w:rFonts w:ascii="Minion" w:eastAsia="Times New Roman" w:hAnsi="Minion" w:cs="Arial"/>
          <w:i/>
          <w:color w:val="353535"/>
          <w:sz w:val="20"/>
          <w:szCs w:val="20"/>
          <w:lang w:val="fi-FI"/>
        </w:rPr>
        <w:t>2013</w:t>
      </w:r>
    </w:p>
    <w:p w:rsidR="009C7D34" w:rsidRPr="009C7D34" w:rsidRDefault="009C7D34" w:rsidP="00E144B5">
      <w:pPr>
        <w:spacing w:after="0"/>
        <w:rPr>
          <w:rFonts w:ascii="Minion" w:eastAsia="Times New Roman" w:hAnsi="Minion" w:cs="Arial"/>
          <w:color w:val="353535"/>
          <w:sz w:val="20"/>
          <w:szCs w:val="20"/>
          <w:lang w:val="fi-FI"/>
        </w:rPr>
      </w:pPr>
    </w:p>
    <w:p w:rsidR="009C7D34" w:rsidRPr="001A420A" w:rsidRDefault="009C7D34" w:rsidP="00E144B5">
      <w:pPr>
        <w:spacing w:after="0"/>
        <w:rPr>
          <w:rFonts w:ascii="Minion" w:eastAsia="Times New Roman" w:hAnsi="Minion" w:cs="Arial"/>
          <w:i/>
          <w:color w:val="353535"/>
          <w:sz w:val="20"/>
          <w:szCs w:val="20"/>
          <w:lang w:val="fi-FI"/>
        </w:rPr>
      </w:pPr>
    </w:p>
    <w:sectPr w:rsidR="009C7D34" w:rsidRPr="001A420A" w:rsidSect="00E144B5">
      <w:headerReference w:type="default" r:id="rId8"/>
      <w:footerReference w:type="default" r:id="rId9"/>
      <w:headerReference w:type="first" r:id="rId10"/>
      <w:footerReference w:type="first" r:id="rId11"/>
      <w:pgSz w:w="11907" w:h="16839" w:code="9"/>
      <w:pgMar w:top="2608" w:right="850" w:bottom="850" w:left="1417" w:header="68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B5" w:rsidRDefault="00E144B5">
      <w:r>
        <w:separator/>
      </w:r>
    </w:p>
  </w:endnote>
  <w:endnote w:type="continuationSeparator" w:id="0">
    <w:p w:rsidR="00E144B5" w:rsidRDefault="00E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2040503050201020203"/>
    <w:charset w:val="00"/>
    <w:family w:val="roman"/>
    <w:pitch w:val="variable"/>
    <w:sig w:usb0="E00002AF" w:usb1="5000E07B" w:usb2="00000000" w:usb3="00000000" w:csb0="0000019F" w:csb1="00000000"/>
  </w:font>
  <w:font w:name="Imago">
    <w:panose1 w:val="02000500060000020004"/>
    <w:charset w:val="00"/>
    <w:family w:val="auto"/>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ayout w:type="fixed"/>
      <w:tblCellMar>
        <w:left w:w="0" w:type="dxa"/>
        <w:right w:w="0" w:type="dxa"/>
      </w:tblCellMar>
      <w:tblLook w:val="0000" w:firstRow="0" w:lastRow="0" w:firstColumn="0" w:lastColumn="0" w:noHBand="0" w:noVBand="0"/>
    </w:tblPr>
    <w:tblGrid>
      <w:gridCol w:w="9638"/>
    </w:tblGrid>
    <w:tr w:rsidR="00BE035E" w:rsidRPr="005462E3" w:rsidTr="00E144B5">
      <w:trPr>
        <w:cantSplit/>
        <w:trHeight w:hRule="exact" w:val="907"/>
      </w:trPr>
      <w:tc>
        <w:tcPr>
          <w:tcW w:w="9638" w:type="dxa"/>
          <w:vAlign w:val="bottom"/>
        </w:tcPr>
        <w:p w:rsidR="00BE035E" w:rsidRPr="00F57ECA" w:rsidRDefault="008E3686" w:rsidP="00A25AE8">
          <w:pPr>
            <w:pStyle w:val="Footer4"/>
          </w:pPr>
          <w:r>
            <w:fldChar w:fldCharType="begin"/>
          </w:r>
          <w:r>
            <w:instrText xml:space="preserve"> PAGE </w:instrText>
          </w:r>
          <w:r>
            <w:fldChar w:fldCharType="separate"/>
          </w:r>
          <w:r w:rsidR="009C7D34">
            <w:rPr>
              <w:noProof/>
            </w:rPr>
            <w:t>2</w:t>
          </w:r>
          <w:r>
            <w:rPr>
              <w:noProof/>
            </w:rPr>
            <w:fldChar w:fldCharType="end"/>
          </w:r>
          <w:r w:rsidR="00BE035E" w:rsidRPr="00F57ECA">
            <w:t>/</w:t>
          </w:r>
          <w:r w:rsidR="009C7D34">
            <w:fldChar w:fldCharType="begin"/>
          </w:r>
          <w:r w:rsidR="009C7D34">
            <w:instrText xml:space="preserve"> NUMPAGES </w:instrText>
          </w:r>
          <w:r w:rsidR="009C7D34">
            <w:fldChar w:fldCharType="separate"/>
          </w:r>
          <w:r w:rsidR="009C7D34">
            <w:rPr>
              <w:noProof/>
            </w:rPr>
            <w:t>2</w:t>
          </w:r>
          <w:r w:rsidR="009C7D34">
            <w:rPr>
              <w:noProof/>
            </w:rPr>
            <w:fldChar w:fldCharType="end"/>
          </w:r>
        </w:p>
      </w:tc>
    </w:tr>
  </w:tbl>
  <w:p w:rsidR="00BE035E" w:rsidRPr="00A30206" w:rsidRDefault="00BE035E" w:rsidP="00A30206">
    <w:pPr>
      <w:pStyle w:val="Empty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ayout w:type="fixed"/>
      <w:tblCellMar>
        <w:left w:w="0" w:type="dxa"/>
        <w:right w:w="0" w:type="dxa"/>
      </w:tblCellMar>
      <w:tblLook w:val="0000" w:firstRow="0" w:lastRow="0" w:firstColumn="0" w:lastColumn="0" w:noHBand="0" w:noVBand="0"/>
    </w:tblPr>
    <w:tblGrid>
      <w:gridCol w:w="9638"/>
    </w:tblGrid>
    <w:tr w:rsidR="00BE035E" w:rsidRPr="005462E3" w:rsidTr="00E144B5">
      <w:trPr>
        <w:cantSplit/>
        <w:trHeight w:hRule="exact" w:val="907"/>
      </w:trPr>
      <w:tc>
        <w:tcPr>
          <w:tcW w:w="9638" w:type="dxa"/>
          <w:shd w:val="clear" w:color="auto" w:fill="auto"/>
          <w:vAlign w:val="bottom"/>
        </w:tcPr>
        <w:p w:rsidR="00BE035E" w:rsidRPr="00F57ECA" w:rsidRDefault="008E3686" w:rsidP="005E130F">
          <w:pPr>
            <w:pStyle w:val="Footer4"/>
          </w:pPr>
          <w:r>
            <w:fldChar w:fldCharType="begin"/>
          </w:r>
          <w:r>
            <w:instrText xml:space="preserve"> PAGE </w:instrText>
          </w:r>
          <w:r>
            <w:fldChar w:fldCharType="separate"/>
          </w:r>
          <w:r w:rsidR="009C7D34">
            <w:rPr>
              <w:noProof/>
            </w:rPr>
            <w:t>1</w:t>
          </w:r>
          <w:r>
            <w:rPr>
              <w:noProof/>
            </w:rPr>
            <w:fldChar w:fldCharType="end"/>
          </w:r>
          <w:r w:rsidR="00BE035E" w:rsidRPr="00F57ECA">
            <w:t>/</w:t>
          </w:r>
          <w:r w:rsidR="009C7D34">
            <w:fldChar w:fldCharType="begin"/>
          </w:r>
          <w:r w:rsidR="009C7D34">
            <w:instrText xml:space="preserve"> NUMPAGES </w:instrText>
          </w:r>
          <w:r w:rsidR="009C7D34">
            <w:fldChar w:fldCharType="separate"/>
          </w:r>
          <w:r w:rsidR="009C7D34">
            <w:rPr>
              <w:noProof/>
            </w:rPr>
            <w:t>2</w:t>
          </w:r>
          <w:r w:rsidR="009C7D34">
            <w:rPr>
              <w:noProof/>
            </w:rPr>
            <w:fldChar w:fldCharType="end"/>
          </w:r>
        </w:p>
      </w:tc>
    </w:tr>
    <w:tr w:rsidR="00BE035E" w:rsidRPr="00D559A9" w:rsidTr="00E144B5">
      <w:trPr>
        <w:cantSplit/>
      </w:trPr>
      <w:tc>
        <w:tcPr>
          <w:tcW w:w="9638" w:type="dxa"/>
          <w:shd w:val="clear" w:color="auto" w:fill="auto"/>
        </w:tcPr>
        <w:p w:rsidR="00BE035E" w:rsidRPr="00D559A9" w:rsidRDefault="00BE035E" w:rsidP="00E144B5">
          <w:pPr>
            <w:pStyle w:val="EmptyLine"/>
          </w:pPr>
          <w:bookmarkStart w:id="1" w:name="MandatoryIndication" w:colFirst="0" w:colLast="0"/>
        </w:p>
      </w:tc>
    </w:tr>
    <w:tr w:rsidR="00BE035E" w:rsidRPr="005462E3" w:rsidTr="00E144B5">
      <w:trPr>
        <w:cantSplit/>
      </w:trPr>
      <w:tc>
        <w:tcPr>
          <w:tcW w:w="9638" w:type="dxa"/>
          <w:shd w:val="clear" w:color="auto" w:fill="auto"/>
        </w:tcPr>
        <w:p w:rsidR="00BE035E" w:rsidRPr="00544F99" w:rsidRDefault="00BE035E" w:rsidP="00E144B5">
          <w:pPr>
            <w:pStyle w:val="EmptyLine"/>
          </w:pPr>
          <w:bookmarkStart w:id="2" w:name="Confidentiality" w:colFirst="0" w:colLast="0"/>
          <w:bookmarkEnd w:id="1"/>
        </w:p>
      </w:tc>
    </w:tr>
    <w:bookmarkEnd w:id="2"/>
  </w:tbl>
  <w:p w:rsidR="00BE035E" w:rsidRPr="002D7118" w:rsidRDefault="00BE035E" w:rsidP="002D7118">
    <w:pPr>
      <w:pStyle w:val="Empty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B5" w:rsidRDefault="00E144B5">
      <w:r>
        <w:separator/>
      </w:r>
    </w:p>
  </w:footnote>
  <w:footnote w:type="continuationSeparator" w:id="0">
    <w:p w:rsidR="00E144B5" w:rsidRDefault="00E1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CellMar>
        <w:left w:w="0" w:type="dxa"/>
        <w:right w:w="0" w:type="dxa"/>
      </w:tblCellMar>
      <w:tblLook w:val="01E0" w:firstRow="1" w:lastRow="1" w:firstColumn="1" w:lastColumn="1" w:noHBand="0" w:noVBand="0"/>
    </w:tblPr>
    <w:tblGrid>
      <w:gridCol w:w="9757"/>
    </w:tblGrid>
    <w:tr w:rsidR="00BE035E" w:rsidTr="00E144B5">
      <w:trPr>
        <w:trHeight w:hRule="exact" w:val="1559"/>
      </w:trPr>
      <w:tc>
        <w:tcPr>
          <w:tcW w:w="9757" w:type="dxa"/>
        </w:tcPr>
        <w:p w:rsidR="00BE035E" w:rsidRDefault="00E144B5" w:rsidP="00091F24">
          <w:pPr>
            <w:jc w:val="right"/>
          </w:pPr>
          <w:r>
            <w:rPr>
              <w:noProof/>
            </w:rPr>
            <w:drawing>
              <wp:inline distT="0" distB="0" distL="0" distR="0" wp14:anchorId="338AACF9" wp14:editId="6A1A9E5A">
                <wp:extent cx="695325" cy="361950"/>
                <wp:effectExtent l="0" t="0" r="9525" b="0"/>
                <wp:docPr id="21" name="Picture 21" descr="C:\users\ratias\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tias\appdata\roaming\roche\logos\roche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Pr="00032993" w:rsidRDefault="00BE035E" w:rsidP="00032993">
    <w:pPr>
      <w:pStyle w:val="Empty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8" w:type="dxa"/>
      <w:tblLayout w:type="fixed"/>
      <w:tblCellMar>
        <w:left w:w="0" w:type="dxa"/>
        <w:right w:w="0" w:type="dxa"/>
      </w:tblCellMar>
      <w:tblLook w:val="0000" w:firstRow="0" w:lastRow="0" w:firstColumn="0" w:lastColumn="0" w:noHBand="0" w:noVBand="0"/>
    </w:tblPr>
    <w:tblGrid>
      <w:gridCol w:w="5516"/>
      <w:gridCol w:w="4242"/>
    </w:tblGrid>
    <w:tr w:rsidR="00BE035E">
      <w:trPr>
        <w:cantSplit/>
        <w:trHeight w:hRule="exact" w:val="1560"/>
      </w:trPr>
      <w:tc>
        <w:tcPr>
          <w:tcW w:w="5529" w:type="dxa"/>
        </w:tcPr>
        <w:p w:rsidR="00E144B5" w:rsidRDefault="00E144B5" w:rsidP="00772E95">
          <w:pPr>
            <w:pStyle w:val="EmptyLine"/>
            <w:rPr>
              <w:lang w:val="de-CH"/>
            </w:rPr>
          </w:pPr>
          <w:r>
            <w:rPr>
              <w:lang w:val="de-CH"/>
            </w:rPr>
            <w:t>T</w:t>
          </w:r>
        </w:p>
        <w:p w:rsidR="00E144B5" w:rsidRDefault="00E144B5" w:rsidP="00E144B5">
          <w:pPr>
            <w:rPr>
              <w:lang w:val="de-CH" w:eastAsia="ru-RU"/>
            </w:rPr>
          </w:pPr>
        </w:p>
        <w:p w:rsidR="00BE035E" w:rsidRPr="00E144B5" w:rsidRDefault="00E144B5" w:rsidP="00E144B5">
          <w:pPr>
            <w:rPr>
              <w:rFonts w:ascii="Imago" w:hAnsi="Imago"/>
              <w:sz w:val="24"/>
              <w:szCs w:val="24"/>
              <w:lang w:val="de-CH" w:eastAsia="ru-RU"/>
            </w:rPr>
          </w:pPr>
          <w:r>
            <w:rPr>
              <w:rFonts w:ascii="Imago" w:hAnsi="Imago"/>
              <w:lang w:val="de-CH" w:eastAsia="ru-RU"/>
            </w:rPr>
            <w:t>TAUSTATIEDOTE</w:t>
          </w:r>
        </w:p>
      </w:tc>
      <w:tc>
        <w:tcPr>
          <w:tcW w:w="4252" w:type="dxa"/>
        </w:tcPr>
        <w:p w:rsidR="00BE035E" w:rsidRDefault="00E144B5" w:rsidP="0051768A">
          <w:pPr>
            <w:spacing w:before="70"/>
            <w:jc w:val="right"/>
            <w:rPr>
              <w:noProof/>
              <w:lang w:val="de-CH" w:eastAsia="zh-CN"/>
            </w:rPr>
          </w:pPr>
          <w:r>
            <w:rPr>
              <w:noProof/>
            </w:rPr>
            <w:drawing>
              <wp:inline distT="0" distB="0" distL="0" distR="0" wp14:anchorId="1A39D0FE" wp14:editId="37136223">
                <wp:extent cx="695325" cy="361950"/>
                <wp:effectExtent l="0" t="0" r="9525" b="0"/>
                <wp:docPr id="19" name="Picture 19" descr="C:\users\ratias\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tias\appdata\roaming\roche\logos\roche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Default="00BE035E" w:rsidP="00296CE7">
    <w:pPr>
      <w:pStyle w:val="Empty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EFC69B3"/>
    <w:multiLevelType w:val="hybridMultilevel"/>
    <w:tmpl w:val="A2B456D8"/>
    <w:lvl w:ilvl="0" w:tplc="4656ABDC">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ocConfidentiality" w:val="GCIFalse"/>
    <w:docVar w:name="varDocFooterShow" w:val="GCIFalse"/>
    <w:docVar w:name="varDocLang" w:val="GCIEnglish"/>
    <w:docVar w:name="varDocLangPrevious" w:val="GCIEnglish"/>
    <w:docVar w:name="varDocLogoState" w:val="GCIBlackWhiteLogo"/>
    <w:docVar w:name="varDocMandatoryIndication" w:val="GCIFalse"/>
    <w:docVar w:name="varDocSetupPerformed" w:val="GCITrue"/>
    <w:docVar w:name="varDocType" w:val="GCIBLANK"/>
    <w:docVar w:name="varDotVersion" w:val="GCI6.90"/>
    <w:docVar w:name="varsenaddress" w:val="GCI"/>
    <w:docVar w:name="varsenbuilding" w:val="GCI"/>
    <w:docVar w:name="varsencompanyEnglish" w:val="GCIRoche"/>
    <w:docVar w:name="varsencompanyFrench" w:val="GCIRoche"/>
    <w:docVar w:name="varsencompanyGerman" w:val="GCIRoche"/>
    <w:docVar w:name="varsencompanyItalian" w:val="GCIRoche"/>
    <w:docVar w:name="varsencompanyLocal" w:val="GCIRoche"/>
    <w:docVar w:name="varsencompanySpanish" w:val="GCIRoche"/>
    <w:docVar w:name="varsenconfidentiality" w:val="GCI"/>
    <w:docVar w:name="varsencustom_text" w:val="GCIFalse"/>
    <w:docVar w:name="varsendefault_text" w:val="GCITrue"/>
    <w:docVar w:name="varsendepartment" w:val="GCI"/>
    <w:docVar w:name="varsendepartment_short" w:val="GCI"/>
    <w:docVar w:name="varsendivision" w:val="GCIPharmaceuticals"/>
    <w:docVar w:name="varsenemail" w:val="GCI"/>
    <w:docVar w:name="varsenfax" w:val="GCI"/>
    <w:docVar w:name="varsenfax_textEnglish" w:val="GCI"/>
    <w:docVar w:name="varsenfax_textFrench" w:val="GCI"/>
    <w:docVar w:name="varsenfax_textGerman" w:val="GCI"/>
    <w:docVar w:name="varsenfax_textItalian" w:val="GCI"/>
    <w:docVar w:name="varsenfax_textLocal" w:val="GCI"/>
    <w:docVar w:name="varsenfax_textSpanish" w:val="GCI"/>
    <w:docVar w:name="varsenfirst_name" w:val="GCISatu"/>
    <w:docVar w:name="varsenfunctionEnglish" w:val="GCI"/>
    <w:docVar w:name="varsenfunctionFrench" w:val="GCI"/>
    <w:docVar w:name="varsenfunctionGerman" w:val="GCI"/>
    <w:docVar w:name="varsenfunctionItalian" w:val="GCI"/>
    <w:docVar w:name="varsenfunctionLocal" w:val="GCI"/>
    <w:docVar w:name="varsenfunctionSpanish" w:val="GCI"/>
    <w:docVar w:name="varsenid" w:val="GCI1"/>
    <w:docVar w:name="varsenlanguage" w:val="GCINone"/>
    <w:docVar w:name="varsenlast_name" w:val="GCIRatia"/>
    <w:docVar w:name="varsenletter_text_1English" w:val="GCI"/>
    <w:docVar w:name="varsenletter_text_1French" w:val="GCI"/>
    <w:docVar w:name="varsenletter_text_1German" w:val="GCI"/>
    <w:docVar w:name="varsenletter_text_1Italian" w:val="GCI"/>
    <w:docVar w:name="varsenletter_text_1Local" w:val="GCI"/>
    <w:docVar w:name="varsenletter_text_1Spanish" w:val="GCI"/>
    <w:docVar w:name="varsenletter_text_2English" w:val="GCI"/>
    <w:docVar w:name="varsenletter_text_2French" w:val="GCI"/>
    <w:docVar w:name="varsenletter_text_2German" w:val="GCI"/>
    <w:docVar w:name="varsenletter_text_2Italian" w:val="GCI"/>
    <w:docVar w:name="varsenletter_text_2Local" w:val="GCI"/>
    <w:docVar w:name="varsenletter_text_2Spanish" w:val="GCI"/>
    <w:docVar w:name="varsenletter_text_3English" w:val="GCI"/>
    <w:docVar w:name="varsenletter_text_3French" w:val="GCI"/>
    <w:docVar w:name="varsenletter_text_3German" w:val="GCI"/>
    <w:docVar w:name="varsenletter_text_3Italian" w:val="GCI"/>
    <w:docVar w:name="varsenletter_text_3Local" w:val="GCI"/>
    <w:docVar w:name="varsenletter_text_3Spanish" w:val="GCI"/>
    <w:docVar w:name="varsenletter_text_4English" w:val="GCI"/>
    <w:docVar w:name="varsenletter_text_4French" w:val="GCI"/>
    <w:docVar w:name="varsenletter_text_4German" w:val="GCI"/>
    <w:docVar w:name="varsenletter_text_4Italian" w:val="GCI"/>
    <w:docVar w:name="varsenletter_text_4Local" w:val="GCI"/>
    <w:docVar w:name="varsenletter_text_4Spanish" w:val="GCI"/>
    <w:docVar w:name="varsenlocationEnglish" w:val="GCI"/>
    <w:docVar w:name="varsenlocationFrench" w:val="GCI"/>
    <w:docVar w:name="varsenlocationGerman" w:val="GCI"/>
    <w:docVar w:name="varsenlocationItalian" w:val="GCI"/>
    <w:docVar w:name="varsenlocationLocal" w:val="GCI"/>
    <w:docVar w:name="varsenlocationSpanish" w:val="GCI"/>
    <w:docVar w:name="varsenlogo" w:val="GCIroche"/>
    <w:docVar w:name="varsenmandatory_indication" w:val="GCI"/>
    <w:docVar w:name="varsenmemo_textEnglish" w:val="GCI"/>
    <w:docVar w:name="varsenmemo_textFrench" w:val="GCI"/>
    <w:docVar w:name="varsenmemo_textGerman" w:val="GCI"/>
    <w:docVar w:name="varsenmemo_textItalian" w:val="GCI"/>
    <w:docVar w:name="varsenmemo_textLocal" w:val="GCI"/>
    <w:docVar w:name="varsenmemo_textSpanish" w:val="GCI"/>
    <w:docVar w:name="varsenphone" w:val="GCI"/>
  </w:docVars>
  <w:rsids>
    <w:rsidRoot w:val="00E144B5"/>
    <w:rsid w:val="00032993"/>
    <w:rsid w:val="000410EE"/>
    <w:rsid w:val="00045E6F"/>
    <w:rsid w:val="00047903"/>
    <w:rsid w:val="00047B7E"/>
    <w:rsid w:val="00050F7A"/>
    <w:rsid w:val="0005640D"/>
    <w:rsid w:val="000738F6"/>
    <w:rsid w:val="00091F24"/>
    <w:rsid w:val="000D57FB"/>
    <w:rsid w:val="000E27B6"/>
    <w:rsid w:val="000E7C67"/>
    <w:rsid w:val="000F2FBF"/>
    <w:rsid w:val="001230EF"/>
    <w:rsid w:val="00123804"/>
    <w:rsid w:val="00141BF4"/>
    <w:rsid w:val="00142BB0"/>
    <w:rsid w:val="00144BA1"/>
    <w:rsid w:val="0016007E"/>
    <w:rsid w:val="001805FC"/>
    <w:rsid w:val="001872A7"/>
    <w:rsid w:val="001907D0"/>
    <w:rsid w:val="001A2C49"/>
    <w:rsid w:val="001A420A"/>
    <w:rsid w:val="001B3665"/>
    <w:rsid w:val="001B3DDC"/>
    <w:rsid w:val="001B7F9C"/>
    <w:rsid w:val="001C28F4"/>
    <w:rsid w:val="001C4B53"/>
    <w:rsid w:val="00211EDC"/>
    <w:rsid w:val="00217BA2"/>
    <w:rsid w:val="002278ED"/>
    <w:rsid w:val="00231F33"/>
    <w:rsid w:val="002327C3"/>
    <w:rsid w:val="00241161"/>
    <w:rsid w:val="00296CE7"/>
    <w:rsid w:val="002A6F24"/>
    <w:rsid w:val="002B0EC9"/>
    <w:rsid w:val="002D0CDB"/>
    <w:rsid w:val="002D7118"/>
    <w:rsid w:val="002F474D"/>
    <w:rsid w:val="0030281D"/>
    <w:rsid w:val="00322C01"/>
    <w:rsid w:val="0032526B"/>
    <w:rsid w:val="003273A0"/>
    <w:rsid w:val="003522DE"/>
    <w:rsid w:val="0035396A"/>
    <w:rsid w:val="00366356"/>
    <w:rsid w:val="003718AE"/>
    <w:rsid w:val="00377894"/>
    <w:rsid w:val="00391816"/>
    <w:rsid w:val="003A6A8E"/>
    <w:rsid w:val="003B226B"/>
    <w:rsid w:val="003B68F7"/>
    <w:rsid w:val="003D35DB"/>
    <w:rsid w:val="00421270"/>
    <w:rsid w:val="00440572"/>
    <w:rsid w:val="00455CF3"/>
    <w:rsid w:val="004803AE"/>
    <w:rsid w:val="004A1C62"/>
    <w:rsid w:val="004E418C"/>
    <w:rsid w:val="004F19A7"/>
    <w:rsid w:val="004F598A"/>
    <w:rsid w:val="004F70AB"/>
    <w:rsid w:val="00502055"/>
    <w:rsid w:val="0051768A"/>
    <w:rsid w:val="00533AA1"/>
    <w:rsid w:val="00565BEB"/>
    <w:rsid w:val="00584BA3"/>
    <w:rsid w:val="005C60FC"/>
    <w:rsid w:val="005E130F"/>
    <w:rsid w:val="005F622C"/>
    <w:rsid w:val="00625640"/>
    <w:rsid w:val="00640481"/>
    <w:rsid w:val="00647478"/>
    <w:rsid w:val="006543C3"/>
    <w:rsid w:val="00697EB4"/>
    <w:rsid w:val="006A7C42"/>
    <w:rsid w:val="006D61CF"/>
    <w:rsid w:val="006E369C"/>
    <w:rsid w:val="006F5914"/>
    <w:rsid w:val="00732E67"/>
    <w:rsid w:val="0074424B"/>
    <w:rsid w:val="00753DD9"/>
    <w:rsid w:val="00762D0E"/>
    <w:rsid w:val="00772973"/>
    <w:rsid w:val="00772E95"/>
    <w:rsid w:val="007759F2"/>
    <w:rsid w:val="00780615"/>
    <w:rsid w:val="007960A1"/>
    <w:rsid w:val="007D0C24"/>
    <w:rsid w:val="007D7FDF"/>
    <w:rsid w:val="007F2E1A"/>
    <w:rsid w:val="008137A0"/>
    <w:rsid w:val="0082207A"/>
    <w:rsid w:val="008465C5"/>
    <w:rsid w:val="0085454C"/>
    <w:rsid w:val="00881D1C"/>
    <w:rsid w:val="00882C38"/>
    <w:rsid w:val="00893E3D"/>
    <w:rsid w:val="00895596"/>
    <w:rsid w:val="008A10DD"/>
    <w:rsid w:val="008E2E79"/>
    <w:rsid w:val="008E3686"/>
    <w:rsid w:val="008E454F"/>
    <w:rsid w:val="008E6987"/>
    <w:rsid w:val="009049FE"/>
    <w:rsid w:val="00906EE2"/>
    <w:rsid w:val="00934F48"/>
    <w:rsid w:val="00955DD9"/>
    <w:rsid w:val="0096113D"/>
    <w:rsid w:val="00964286"/>
    <w:rsid w:val="00995560"/>
    <w:rsid w:val="009B64DE"/>
    <w:rsid w:val="009C2D5D"/>
    <w:rsid w:val="009C7D34"/>
    <w:rsid w:val="009D45BA"/>
    <w:rsid w:val="009E33CE"/>
    <w:rsid w:val="009F108F"/>
    <w:rsid w:val="00A06CF0"/>
    <w:rsid w:val="00A25AE8"/>
    <w:rsid w:val="00A27484"/>
    <w:rsid w:val="00A30206"/>
    <w:rsid w:val="00A36A1F"/>
    <w:rsid w:val="00A460BF"/>
    <w:rsid w:val="00A94623"/>
    <w:rsid w:val="00A95E2D"/>
    <w:rsid w:val="00A96B2B"/>
    <w:rsid w:val="00AA2BBC"/>
    <w:rsid w:val="00AB1469"/>
    <w:rsid w:val="00AC2E78"/>
    <w:rsid w:val="00AF23E6"/>
    <w:rsid w:val="00B00B76"/>
    <w:rsid w:val="00B21ECA"/>
    <w:rsid w:val="00B37430"/>
    <w:rsid w:val="00B60E37"/>
    <w:rsid w:val="00B772AF"/>
    <w:rsid w:val="00B9428E"/>
    <w:rsid w:val="00B942CC"/>
    <w:rsid w:val="00B96960"/>
    <w:rsid w:val="00BB54B7"/>
    <w:rsid w:val="00BC1724"/>
    <w:rsid w:val="00BE035E"/>
    <w:rsid w:val="00BE72E5"/>
    <w:rsid w:val="00BF770E"/>
    <w:rsid w:val="00C15AE7"/>
    <w:rsid w:val="00C17E7E"/>
    <w:rsid w:val="00C22ADD"/>
    <w:rsid w:val="00C27E91"/>
    <w:rsid w:val="00C60FC6"/>
    <w:rsid w:val="00C70E72"/>
    <w:rsid w:val="00CA26F2"/>
    <w:rsid w:val="00CE0624"/>
    <w:rsid w:val="00CE283F"/>
    <w:rsid w:val="00CE32B2"/>
    <w:rsid w:val="00D45276"/>
    <w:rsid w:val="00D559A9"/>
    <w:rsid w:val="00D93D88"/>
    <w:rsid w:val="00DA3953"/>
    <w:rsid w:val="00DD4E3A"/>
    <w:rsid w:val="00DD6169"/>
    <w:rsid w:val="00DD64FD"/>
    <w:rsid w:val="00DE29EA"/>
    <w:rsid w:val="00DE435D"/>
    <w:rsid w:val="00DF394B"/>
    <w:rsid w:val="00E07401"/>
    <w:rsid w:val="00E1110C"/>
    <w:rsid w:val="00E144B5"/>
    <w:rsid w:val="00E164AD"/>
    <w:rsid w:val="00E2289D"/>
    <w:rsid w:val="00E3142D"/>
    <w:rsid w:val="00E33DE6"/>
    <w:rsid w:val="00E354E1"/>
    <w:rsid w:val="00E612D2"/>
    <w:rsid w:val="00E97AF7"/>
    <w:rsid w:val="00EA1C84"/>
    <w:rsid w:val="00EF7D4E"/>
    <w:rsid w:val="00F22D55"/>
    <w:rsid w:val="00F34BF6"/>
    <w:rsid w:val="00F40E0C"/>
    <w:rsid w:val="00F53095"/>
    <w:rsid w:val="00F721E2"/>
    <w:rsid w:val="00F83515"/>
    <w:rsid w:val="00FA15F8"/>
    <w:rsid w:val="00FD531C"/>
    <w:rsid w:val="00FE0C53"/>
    <w:rsid w:val="00FE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4B5"/>
    <w:pPr>
      <w:spacing w:after="200" w:line="276" w:lineRule="auto"/>
    </w:pPr>
    <w:rPr>
      <w:rFonts w:ascii="Calibri" w:eastAsia="Calibri" w:hAnsi="Calibri"/>
      <w:sz w:val="22"/>
      <w:szCs w:val="22"/>
    </w:rPr>
  </w:style>
  <w:style w:type="paragraph" w:styleId="Heading1">
    <w:name w:val="heading 1"/>
    <w:basedOn w:val="Normal"/>
    <w:next w:val="Normal"/>
    <w:qFormat/>
    <w:rsid w:val="00C15AE7"/>
    <w:pPr>
      <w:keepNext/>
      <w:numPr>
        <w:numId w:val="1"/>
      </w:numPr>
      <w:spacing w:before="240"/>
      <w:outlineLvl w:val="0"/>
    </w:pPr>
    <w:rPr>
      <w:i/>
    </w:rPr>
  </w:style>
  <w:style w:type="paragraph" w:styleId="Heading2">
    <w:name w:val="heading 2"/>
    <w:basedOn w:val="Heading1"/>
    <w:next w:val="Normal"/>
    <w:qFormat/>
    <w:rsid w:val="00C15AE7"/>
    <w:pPr>
      <w:numPr>
        <w:ilvl w:val="1"/>
      </w:numPr>
      <w:outlineLvl w:val="1"/>
    </w:pPr>
  </w:style>
  <w:style w:type="paragraph" w:styleId="Heading3">
    <w:name w:val="heading 3"/>
    <w:basedOn w:val="Heading2"/>
    <w:next w:val="Normal"/>
    <w:qFormat/>
    <w:rsid w:val="00C15AE7"/>
    <w:pPr>
      <w:numPr>
        <w:ilvl w:val="2"/>
      </w:numPr>
      <w:outlineLvl w:val="2"/>
    </w:pPr>
  </w:style>
  <w:style w:type="paragraph" w:styleId="Heading4">
    <w:name w:val="heading 4"/>
    <w:basedOn w:val="Heading3"/>
    <w:next w:val="Normal"/>
    <w:qFormat/>
    <w:rsid w:val="00C15AE7"/>
    <w:pPr>
      <w:numPr>
        <w:ilvl w:val="3"/>
      </w:numPr>
      <w:outlineLvl w:val="3"/>
    </w:pPr>
  </w:style>
  <w:style w:type="paragraph" w:styleId="Heading5">
    <w:name w:val="heading 5"/>
    <w:basedOn w:val="Heading4"/>
    <w:next w:val="Normal"/>
    <w:qFormat/>
    <w:rsid w:val="00C15AE7"/>
    <w:pPr>
      <w:numPr>
        <w:ilvl w:val="4"/>
      </w:numPr>
      <w:outlineLvl w:val="4"/>
    </w:pPr>
  </w:style>
  <w:style w:type="paragraph" w:styleId="Heading6">
    <w:name w:val="heading 6"/>
    <w:basedOn w:val="Heading5"/>
    <w:next w:val="Normal"/>
    <w:qFormat/>
    <w:rsid w:val="00C15AE7"/>
    <w:pPr>
      <w:numPr>
        <w:ilvl w:val="5"/>
      </w:numPr>
      <w:outlineLvl w:val="5"/>
    </w:pPr>
  </w:style>
  <w:style w:type="paragraph" w:styleId="Heading7">
    <w:name w:val="heading 7"/>
    <w:basedOn w:val="Heading6"/>
    <w:next w:val="Normal"/>
    <w:qFormat/>
    <w:rsid w:val="00C15AE7"/>
    <w:pPr>
      <w:numPr>
        <w:ilvl w:val="6"/>
      </w:numPr>
      <w:outlineLvl w:val="6"/>
    </w:pPr>
  </w:style>
  <w:style w:type="paragraph" w:styleId="Heading8">
    <w:name w:val="heading 8"/>
    <w:basedOn w:val="Heading7"/>
    <w:next w:val="Normal"/>
    <w:qFormat/>
    <w:rsid w:val="00C15AE7"/>
    <w:pPr>
      <w:numPr>
        <w:ilvl w:val="7"/>
      </w:numPr>
      <w:outlineLvl w:val="7"/>
    </w:pPr>
  </w:style>
  <w:style w:type="paragraph" w:styleId="Heading9">
    <w:name w:val="heading 9"/>
    <w:basedOn w:val="Heading8"/>
    <w:next w:val="Normal"/>
    <w:qFormat/>
    <w:rsid w:val="00C15AE7"/>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E7"/>
  </w:style>
  <w:style w:type="paragraph" w:styleId="Footer">
    <w:name w:val="footer"/>
    <w:basedOn w:val="Normal"/>
    <w:rsid w:val="00C15AE7"/>
    <w:pPr>
      <w:spacing w:line="220" w:lineRule="exact"/>
    </w:pPr>
    <w:rPr>
      <w:i/>
      <w:sz w:val="18"/>
    </w:rPr>
  </w:style>
  <w:style w:type="paragraph" w:customStyle="1" w:styleId="EmptyLine">
    <w:name w:val="EmptyLine"/>
    <w:basedOn w:val="Normal"/>
    <w:rsid w:val="00C15AE7"/>
    <w:pPr>
      <w:spacing w:line="10" w:lineRule="exact"/>
    </w:pPr>
    <w:rPr>
      <w:color w:val="FFFFFF"/>
    </w:rPr>
  </w:style>
  <w:style w:type="paragraph" w:customStyle="1" w:styleId="DocumentType">
    <w:name w:val="DocumentType"/>
    <w:basedOn w:val="Normal"/>
    <w:rsid w:val="00C15AE7"/>
    <w:pPr>
      <w:framePr w:hSpace="181" w:wrap="around" w:vAnchor="page" w:hAnchor="text" w:y="625"/>
      <w:spacing w:before="57"/>
    </w:pPr>
    <w:rPr>
      <w:i/>
      <w:sz w:val="54"/>
    </w:rPr>
  </w:style>
  <w:style w:type="paragraph" w:customStyle="1" w:styleId="FaxDisclaimer">
    <w:name w:val="FaxDisclaimer"/>
    <w:basedOn w:val="Normal"/>
    <w:rsid w:val="00BC1724"/>
    <w:pPr>
      <w:spacing w:line="200" w:lineRule="exact"/>
      <w:ind w:left="11"/>
    </w:pPr>
    <w:rPr>
      <w:sz w:val="16"/>
    </w:rPr>
  </w:style>
  <w:style w:type="table" w:styleId="TableGrid">
    <w:name w:val="Table Grid"/>
    <w:basedOn w:val="TableNormal"/>
    <w:rsid w:val="006A7C4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3">
    <w:name w:val="Footer3"/>
    <w:basedOn w:val="Normal"/>
    <w:link w:val="Footer3Char"/>
    <w:rsid w:val="002D7118"/>
    <w:pPr>
      <w:spacing w:line="210" w:lineRule="atLeast"/>
      <w:ind w:right="170"/>
    </w:pPr>
    <w:rPr>
      <w:i/>
      <w:sz w:val="16"/>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l"/>
    <w:rsid w:val="002D7118"/>
    <w:pPr>
      <w:spacing w:before="60" w:after="80" w:line="210" w:lineRule="atLeast"/>
    </w:pPr>
    <w:rPr>
      <w:rFonts w:ascii="Imago" w:hAnsi="Imago"/>
      <w:sz w:val="16"/>
      <w:szCs w:val="16"/>
    </w:rPr>
  </w:style>
  <w:style w:type="paragraph" w:customStyle="1" w:styleId="Footer4">
    <w:name w:val="Footer4"/>
    <w:basedOn w:val="Normal"/>
    <w:rsid w:val="005E130F"/>
    <w:pPr>
      <w:spacing w:before="120" w:after="80" w:line="210" w:lineRule="atLeast"/>
      <w:jc w:val="right"/>
    </w:pPr>
    <w:rPr>
      <w:rFonts w:ascii="Imago" w:hAnsi="Imago"/>
      <w:sz w:val="16"/>
      <w:szCs w:val="16"/>
    </w:rPr>
  </w:style>
  <w:style w:type="character" w:customStyle="1" w:styleId="hps">
    <w:name w:val="hps"/>
    <w:rsid w:val="00E144B5"/>
  </w:style>
  <w:style w:type="paragraph" w:styleId="BalloonText">
    <w:name w:val="Balloon Text"/>
    <w:basedOn w:val="Normal"/>
    <w:link w:val="BalloonTextChar"/>
    <w:rsid w:val="00AB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1469"/>
    <w:rPr>
      <w:rFonts w:ascii="Tahoma" w:eastAsia="Calibri" w:hAnsi="Tahoma" w:cs="Tahoma"/>
      <w:sz w:val="16"/>
      <w:szCs w:val="16"/>
    </w:rPr>
  </w:style>
  <w:style w:type="paragraph" w:styleId="ListParagraph">
    <w:name w:val="List Paragraph"/>
    <w:basedOn w:val="Normal"/>
    <w:uiPriority w:val="34"/>
    <w:qFormat/>
    <w:rsid w:val="001A420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4B5"/>
    <w:pPr>
      <w:spacing w:after="200" w:line="276" w:lineRule="auto"/>
    </w:pPr>
    <w:rPr>
      <w:rFonts w:ascii="Calibri" w:eastAsia="Calibri" w:hAnsi="Calibri"/>
      <w:sz w:val="22"/>
      <w:szCs w:val="22"/>
    </w:rPr>
  </w:style>
  <w:style w:type="paragraph" w:styleId="Heading1">
    <w:name w:val="heading 1"/>
    <w:basedOn w:val="Normal"/>
    <w:next w:val="Normal"/>
    <w:qFormat/>
    <w:rsid w:val="00C15AE7"/>
    <w:pPr>
      <w:keepNext/>
      <w:numPr>
        <w:numId w:val="1"/>
      </w:numPr>
      <w:spacing w:before="240"/>
      <w:outlineLvl w:val="0"/>
    </w:pPr>
    <w:rPr>
      <w:i/>
    </w:rPr>
  </w:style>
  <w:style w:type="paragraph" w:styleId="Heading2">
    <w:name w:val="heading 2"/>
    <w:basedOn w:val="Heading1"/>
    <w:next w:val="Normal"/>
    <w:qFormat/>
    <w:rsid w:val="00C15AE7"/>
    <w:pPr>
      <w:numPr>
        <w:ilvl w:val="1"/>
      </w:numPr>
      <w:outlineLvl w:val="1"/>
    </w:pPr>
  </w:style>
  <w:style w:type="paragraph" w:styleId="Heading3">
    <w:name w:val="heading 3"/>
    <w:basedOn w:val="Heading2"/>
    <w:next w:val="Normal"/>
    <w:qFormat/>
    <w:rsid w:val="00C15AE7"/>
    <w:pPr>
      <w:numPr>
        <w:ilvl w:val="2"/>
      </w:numPr>
      <w:outlineLvl w:val="2"/>
    </w:pPr>
  </w:style>
  <w:style w:type="paragraph" w:styleId="Heading4">
    <w:name w:val="heading 4"/>
    <w:basedOn w:val="Heading3"/>
    <w:next w:val="Normal"/>
    <w:qFormat/>
    <w:rsid w:val="00C15AE7"/>
    <w:pPr>
      <w:numPr>
        <w:ilvl w:val="3"/>
      </w:numPr>
      <w:outlineLvl w:val="3"/>
    </w:pPr>
  </w:style>
  <w:style w:type="paragraph" w:styleId="Heading5">
    <w:name w:val="heading 5"/>
    <w:basedOn w:val="Heading4"/>
    <w:next w:val="Normal"/>
    <w:qFormat/>
    <w:rsid w:val="00C15AE7"/>
    <w:pPr>
      <w:numPr>
        <w:ilvl w:val="4"/>
      </w:numPr>
      <w:outlineLvl w:val="4"/>
    </w:pPr>
  </w:style>
  <w:style w:type="paragraph" w:styleId="Heading6">
    <w:name w:val="heading 6"/>
    <w:basedOn w:val="Heading5"/>
    <w:next w:val="Normal"/>
    <w:qFormat/>
    <w:rsid w:val="00C15AE7"/>
    <w:pPr>
      <w:numPr>
        <w:ilvl w:val="5"/>
      </w:numPr>
      <w:outlineLvl w:val="5"/>
    </w:pPr>
  </w:style>
  <w:style w:type="paragraph" w:styleId="Heading7">
    <w:name w:val="heading 7"/>
    <w:basedOn w:val="Heading6"/>
    <w:next w:val="Normal"/>
    <w:qFormat/>
    <w:rsid w:val="00C15AE7"/>
    <w:pPr>
      <w:numPr>
        <w:ilvl w:val="6"/>
      </w:numPr>
      <w:outlineLvl w:val="6"/>
    </w:pPr>
  </w:style>
  <w:style w:type="paragraph" w:styleId="Heading8">
    <w:name w:val="heading 8"/>
    <w:basedOn w:val="Heading7"/>
    <w:next w:val="Normal"/>
    <w:qFormat/>
    <w:rsid w:val="00C15AE7"/>
    <w:pPr>
      <w:numPr>
        <w:ilvl w:val="7"/>
      </w:numPr>
      <w:outlineLvl w:val="7"/>
    </w:pPr>
  </w:style>
  <w:style w:type="paragraph" w:styleId="Heading9">
    <w:name w:val="heading 9"/>
    <w:basedOn w:val="Heading8"/>
    <w:next w:val="Normal"/>
    <w:qFormat/>
    <w:rsid w:val="00C15AE7"/>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E7"/>
  </w:style>
  <w:style w:type="paragraph" w:styleId="Footer">
    <w:name w:val="footer"/>
    <w:basedOn w:val="Normal"/>
    <w:rsid w:val="00C15AE7"/>
    <w:pPr>
      <w:spacing w:line="220" w:lineRule="exact"/>
    </w:pPr>
    <w:rPr>
      <w:i/>
      <w:sz w:val="18"/>
    </w:rPr>
  </w:style>
  <w:style w:type="paragraph" w:customStyle="1" w:styleId="EmptyLine">
    <w:name w:val="EmptyLine"/>
    <w:basedOn w:val="Normal"/>
    <w:rsid w:val="00C15AE7"/>
    <w:pPr>
      <w:spacing w:line="10" w:lineRule="exact"/>
    </w:pPr>
    <w:rPr>
      <w:color w:val="FFFFFF"/>
    </w:rPr>
  </w:style>
  <w:style w:type="paragraph" w:customStyle="1" w:styleId="DocumentType">
    <w:name w:val="DocumentType"/>
    <w:basedOn w:val="Normal"/>
    <w:rsid w:val="00C15AE7"/>
    <w:pPr>
      <w:framePr w:hSpace="181" w:wrap="around" w:vAnchor="page" w:hAnchor="text" w:y="625"/>
      <w:spacing w:before="57"/>
    </w:pPr>
    <w:rPr>
      <w:i/>
      <w:sz w:val="54"/>
    </w:rPr>
  </w:style>
  <w:style w:type="paragraph" w:customStyle="1" w:styleId="FaxDisclaimer">
    <w:name w:val="FaxDisclaimer"/>
    <w:basedOn w:val="Normal"/>
    <w:rsid w:val="00BC1724"/>
    <w:pPr>
      <w:spacing w:line="200" w:lineRule="exact"/>
      <w:ind w:left="11"/>
    </w:pPr>
    <w:rPr>
      <w:sz w:val="16"/>
    </w:rPr>
  </w:style>
  <w:style w:type="table" w:styleId="TableGrid">
    <w:name w:val="Table Grid"/>
    <w:basedOn w:val="TableNormal"/>
    <w:rsid w:val="006A7C4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3">
    <w:name w:val="Footer3"/>
    <w:basedOn w:val="Normal"/>
    <w:link w:val="Footer3Char"/>
    <w:rsid w:val="002D7118"/>
    <w:pPr>
      <w:spacing w:line="210" w:lineRule="atLeast"/>
      <w:ind w:right="170"/>
    </w:pPr>
    <w:rPr>
      <w:i/>
      <w:sz w:val="16"/>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l"/>
    <w:rsid w:val="002D7118"/>
    <w:pPr>
      <w:spacing w:before="60" w:after="80" w:line="210" w:lineRule="atLeast"/>
    </w:pPr>
    <w:rPr>
      <w:rFonts w:ascii="Imago" w:hAnsi="Imago"/>
      <w:sz w:val="16"/>
      <w:szCs w:val="16"/>
    </w:rPr>
  </w:style>
  <w:style w:type="paragraph" w:customStyle="1" w:styleId="Footer4">
    <w:name w:val="Footer4"/>
    <w:basedOn w:val="Normal"/>
    <w:rsid w:val="005E130F"/>
    <w:pPr>
      <w:spacing w:before="120" w:after="80" w:line="210" w:lineRule="atLeast"/>
      <w:jc w:val="right"/>
    </w:pPr>
    <w:rPr>
      <w:rFonts w:ascii="Imago" w:hAnsi="Imago"/>
      <w:sz w:val="16"/>
      <w:szCs w:val="16"/>
    </w:rPr>
  </w:style>
  <w:style w:type="character" w:customStyle="1" w:styleId="hps">
    <w:name w:val="hps"/>
    <w:rsid w:val="00E144B5"/>
  </w:style>
  <w:style w:type="paragraph" w:styleId="BalloonText">
    <w:name w:val="Balloon Text"/>
    <w:basedOn w:val="Normal"/>
    <w:link w:val="BalloonTextChar"/>
    <w:rsid w:val="00AB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1469"/>
    <w:rPr>
      <w:rFonts w:ascii="Tahoma" w:eastAsia="Calibri" w:hAnsi="Tahoma" w:cs="Tahoma"/>
      <w:sz w:val="16"/>
      <w:szCs w:val="16"/>
    </w:rPr>
  </w:style>
  <w:style w:type="paragraph" w:styleId="ListParagraph">
    <w:name w:val="List Paragraph"/>
    <w:basedOn w:val="Normal"/>
    <w:uiPriority w:val="34"/>
    <w:qFormat/>
    <w:rsid w:val="001A420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ias\AppData\Roaming\Roche\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_BLANK</Template>
  <TotalTime>0</TotalTime>
  <Pages>2</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F. Hoffmann-La Roche, Ltd.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Ratia, Satu {MWMF~Espoo}</dc:creator>
  <cp:lastModifiedBy>Ratia, Satu {MWMF~Espoo}</cp:lastModifiedBy>
  <cp:revision>2</cp:revision>
  <cp:lastPrinted>1997-11-03T06:55:00Z</cp:lastPrinted>
  <dcterms:created xsi:type="dcterms:W3CDTF">2015-01-30T10:42:00Z</dcterms:created>
  <dcterms:modified xsi:type="dcterms:W3CDTF">2015-01-30T10:42:00Z</dcterms:modified>
</cp:coreProperties>
</file>