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4394"/>
      </w:tblGrid>
      <w:tr w:rsidR="00E27378">
        <w:trPr>
          <w:trHeight w:hRule="exact" w:val="284"/>
        </w:trPr>
        <w:tc>
          <w:tcPr>
            <w:tcW w:w="5599" w:type="dxa"/>
          </w:tcPr>
          <w:p w:rsidR="00E27378" w:rsidRDefault="00E27378" w:rsidP="00E27378">
            <w:pPr>
              <w:pStyle w:val="A-partner"/>
            </w:pPr>
          </w:p>
        </w:tc>
        <w:tc>
          <w:tcPr>
            <w:tcW w:w="4394" w:type="dxa"/>
          </w:tcPr>
          <w:p w:rsidR="00E27378" w:rsidRDefault="00253652" w:rsidP="00253652">
            <w:pPr>
              <w:pStyle w:val="A-partner"/>
            </w:pPr>
            <w:proofErr w:type="spellStart"/>
            <w:r>
              <w:t>Kontakt</w:t>
            </w:r>
            <w:proofErr w:type="spellEnd"/>
          </w:p>
        </w:tc>
      </w:tr>
      <w:tr w:rsidR="00E27378" w:rsidRPr="000B65CC">
        <w:tc>
          <w:tcPr>
            <w:tcW w:w="5599" w:type="dxa"/>
            <w:vAlign w:val="bottom"/>
          </w:tcPr>
          <w:p w:rsidR="00E27378" w:rsidRDefault="00253652" w:rsidP="00253652">
            <w:pPr>
              <w:pStyle w:val="StandardfettPr"/>
            </w:pPr>
            <w:proofErr w:type="spellStart"/>
            <w:r>
              <w:t>Pressrelease</w:t>
            </w:r>
            <w:proofErr w:type="spellEnd"/>
            <w:r w:rsidR="00A26E37">
              <w:t xml:space="preserve"> </w:t>
            </w:r>
          </w:p>
        </w:tc>
        <w:tc>
          <w:tcPr>
            <w:tcW w:w="4394" w:type="dxa"/>
            <w:vAlign w:val="bottom"/>
          </w:tcPr>
          <w:p w:rsidR="00E27378" w:rsidRDefault="00E27378" w:rsidP="00E27378">
            <w:pPr>
              <w:pStyle w:val="Standard-A-partner"/>
              <w:ind w:left="74"/>
            </w:pPr>
            <w:r>
              <w:t xml:space="preserve">Dr. </w:t>
            </w:r>
            <w:proofErr w:type="spellStart"/>
            <w:r>
              <w:t>Raphaela</w:t>
            </w:r>
            <w:proofErr w:type="spellEnd"/>
            <w:r>
              <w:t xml:space="preserve"> </w:t>
            </w:r>
            <w:proofErr w:type="spellStart"/>
            <w:r>
              <w:t>Farrenkopf</w:t>
            </w:r>
            <w:proofErr w:type="spellEnd"/>
          </w:p>
          <w:p w:rsidR="00E27378" w:rsidRPr="00A26E37" w:rsidRDefault="00E27378" w:rsidP="00E27378">
            <w:pPr>
              <w:pStyle w:val="Standard-A-partner"/>
              <w:ind w:left="74"/>
              <w:rPr>
                <w:lang w:val="en-GB"/>
              </w:rPr>
            </w:pPr>
            <w:r>
              <w:t>Phone +49 6151-72 2274</w:t>
            </w:r>
          </w:p>
        </w:tc>
      </w:tr>
      <w:tr w:rsidR="00E27378" w:rsidRPr="000B65CC">
        <w:trPr>
          <w:cantSplit/>
          <w:trHeight w:hRule="exact" w:val="510"/>
        </w:trPr>
        <w:tc>
          <w:tcPr>
            <w:tcW w:w="9993" w:type="dxa"/>
            <w:gridSpan w:val="2"/>
            <w:vAlign w:val="bottom"/>
          </w:tcPr>
          <w:p w:rsidR="00E27378" w:rsidRPr="00A26E37" w:rsidRDefault="00E27378" w:rsidP="00E27378">
            <w:pPr>
              <w:pStyle w:val="Standard-A-partner"/>
              <w:rPr>
                <w:lang w:val="en-GB"/>
              </w:rPr>
            </w:pPr>
          </w:p>
        </w:tc>
      </w:tr>
      <w:tr w:rsidR="00E27378">
        <w:trPr>
          <w:cantSplit/>
        </w:trPr>
        <w:tc>
          <w:tcPr>
            <w:tcW w:w="9993" w:type="dxa"/>
            <w:gridSpan w:val="2"/>
          </w:tcPr>
          <w:p w:rsidR="00E27378" w:rsidRDefault="0012601E" w:rsidP="0012601E">
            <w:pPr>
              <w:pStyle w:val="Standardfett"/>
            </w:pPr>
            <w:r>
              <w:t>Mars 30</w:t>
            </w:r>
            <w:r w:rsidR="004F120E">
              <w:t xml:space="preserve">, 2011 </w:t>
            </w:r>
          </w:p>
        </w:tc>
      </w:tr>
      <w:tr w:rsidR="00E27378">
        <w:trPr>
          <w:cantSplit/>
        </w:trPr>
        <w:tc>
          <w:tcPr>
            <w:tcW w:w="9993" w:type="dxa"/>
            <w:gridSpan w:val="2"/>
          </w:tcPr>
          <w:p w:rsidR="00E27378" w:rsidRDefault="00E27378" w:rsidP="00E27378">
            <w:pPr>
              <w:pStyle w:val="Standardfett"/>
            </w:pPr>
          </w:p>
        </w:tc>
      </w:tr>
      <w:tr w:rsidR="00E27378" w:rsidRPr="001674F1">
        <w:trPr>
          <w:cantSplit/>
        </w:trPr>
        <w:tc>
          <w:tcPr>
            <w:tcW w:w="9993" w:type="dxa"/>
            <w:gridSpan w:val="2"/>
          </w:tcPr>
          <w:p w:rsidR="00DE799C" w:rsidRDefault="001674F1" w:rsidP="00DE799C">
            <w:pPr>
              <w:jc w:val="both"/>
              <w:rPr>
                <w:rFonts w:eastAsia="Calibri"/>
                <w:b/>
                <w:sz w:val="28"/>
                <w:lang w:val="sv-SE"/>
              </w:rPr>
            </w:pPr>
            <w:r>
              <w:rPr>
                <w:rFonts w:eastAsia="Calibri"/>
                <w:b/>
                <w:sz w:val="28"/>
                <w:lang w:val="sv-SE"/>
              </w:rPr>
              <w:t xml:space="preserve">Ansökan för </w:t>
            </w:r>
            <w:r w:rsidR="004F120E" w:rsidRPr="00253652">
              <w:rPr>
                <w:rFonts w:eastAsia="Calibri"/>
                <w:b/>
                <w:sz w:val="28"/>
                <w:lang w:val="sv-SE"/>
              </w:rPr>
              <w:t>Erbitux</w:t>
            </w:r>
            <w:r>
              <w:rPr>
                <w:rFonts w:eastAsia="Calibri"/>
                <w:b/>
                <w:sz w:val="28"/>
                <w:lang w:val="sv-SE"/>
              </w:rPr>
              <w:t xml:space="preserve"> om </w:t>
            </w:r>
            <w:r w:rsidR="00DE799C">
              <w:rPr>
                <w:rFonts w:eastAsia="Calibri"/>
                <w:b/>
                <w:sz w:val="28"/>
                <w:lang w:val="sv-SE"/>
              </w:rPr>
              <w:t>utökad</w:t>
            </w:r>
            <w:r w:rsidR="00253652" w:rsidRPr="00253652">
              <w:rPr>
                <w:rFonts w:eastAsia="Calibri"/>
                <w:b/>
                <w:sz w:val="28"/>
                <w:lang w:val="sv-SE"/>
              </w:rPr>
              <w:t xml:space="preserve"> indik</w:t>
            </w:r>
            <w:r w:rsidR="00425C9C" w:rsidRPr="00253652">
              <w:rPr>
                <w:rFonts w:eastAsia="Calibri"/>
                <w:b/>
                <w:sz w:val="28"/>
                <w:lang w:val="sv-SE"/>
              </w:rPr>
              <w:t xml:space="preserve">ation </w:t>
            </w:r>
            <w:r>
              <w:rPr>
                <w:rFonts w:eastAsia="Calibri"/>
                <w:b/>
                <w:sz w:val="28"/>
                <w:lang w:val="sv-SE"/>
              </w:rPr>
              <w:t>v</w:t>
            </w:r>
            <w:r w:rsidR="00DE799C">
              <w:rPr>
                <w:rFonts w:eastAsia="Calibri"/>
                <w:b/>
                <w:sz w:val="28"/>
                <w:lang w:val="sv-SE"/>
              </w:rPr>
              <w:t>i</w:t>
            </w:r>
            <w:r>
              <w:rPr>
                <w:rFonts w:eastAsia="Calibri"/>
                <w:b/>
                <w:sz w:val="28"/>
                <w:lang w:val="sv-SE"/>
              </w:rPr>
              <w:t>d</w:t>
            </w:r>
            <w:r w:rsidR="00DE799C">
              <w:rPr>
                <w:rFonts w:eastAsia="Calibri"/>
                <w:b/>
                <w:sz w:val="28"/>
                <w:lang w:val="sv-SE"/>
              </w:rPr>
              <w:t xml:space="preserve"> 1:a linjens behandling </w:t>
            </w:r>
          </w:p>
          <w:p w:rsidR="00DE799C" w:rsidRDefault="001674F1" w:rsidP="00DE799C">
            <w:pPr>
              <w:jc w:val="both"/>
              <w:rPr>
                <w:rFonts w:eastAsia="Calibri"/>
                <w:b/>
                <w:sz w:val="28"/>
                <w:lang w:val="sv-SE"/>
              </w:rPr>
            </w:pPr>
            <w:r>
              <w:rPr>
                <w:rFonts w:eastAsia="Calibri"/>
                <w:b/>
                <w:sz w:val="28"/>
                <w:lang w:val="sv-SE"/>
              </w:rPr>
              <w:t>av</w:t>
            </w:r>
            <w:r w:rsidR="00DE799C">
              <w:rPr>
                <w:rFonts w:eastAsia="Calibri"/>
                <w:b/>
                <w:sz w:val="28"/>
                <w:lang w:val="sv-SE"/>
              </w:rPr>
              <w:t xml:space="preserve"> avancerad eller metastaserad icke småcellig lungcancer </w:t>
            </w:r>
          </w:p>
          <w:p w:rsidR="00DE799C" w:rsidRPr="00253652" w:rsidRDefault="00253652" w:rsidP="00DE799C">
            <w:pPr>
              <w:jc w:val="both"/>
              <w:rPr>
                <w:rFonts w:eastAsia="Calibri"/>
                <w:b/>
                <w:sz w:val="28"/>
                <w:lang w:val="sv-SE"/>
              </w:rPr>
            </w:pPr>
            <w:r w:rsidRPr="00253652">
              <w:rPr>
                <w:rFonts w:eastAsia="Calibri"/>
                <w:b/>
                <w:sz w:val="28"/>
                <w:lang w:val="sv-SE"/>
              </w:rPr>
              <w:t xml:space="preserve">har lämnats </w:t>
            </w:r>
            <w:r w:rsidR="001674F1">
              <w:rPr>
                <w:rFonts w:eastAsia="Calibri"/>
                <w:b/>
                <w:sz w:val="28"/>
                <w:lang w:val="sv-SE"/>
              </w:rPr>
              <w:t xml:space="preserve">in </w:t>
            </w:r>
            <w:r w:rsidRPr="00253652">
              <w:rPr>
                <w:rFonts w:eastAsia="Calibri"/>
                <w:b/>
                <w:sz w:val="28"/>
                <w:lang w:val="sv-SE"/>
              </w:rPr>
              <w:t>in</w:t>
            </w:r>
            <w:r w:rsidR="001674F1">
              <w:rPr>
                <w:rFonts w:eastAsia="Calibri"/>
                <w:b/>
                <w:sz w:val="28"/>
                <w:lang w:val="sv-SE"/>
              </w:rPr>
              <w:t>om</w:t>
            </w:r>
            <w:r w:rsidR="00DE799C">
              <w:rPr>
                <w:rFonts w:eastAsia="Calibri"/>
                <w:b/>
                <w:sz w:val="28"/>
                <w:lang w:val="sv-SE"/>
              </w:rPr>
              <w:t xml:space="preserve"> EU</w:t>
            </w:r>
          </w:p>
          <w:p w:rsidR="00E27378" w:rsidRPr="00253652" w:rsidRDefault="00E27378" w:rsidP="00253652">
            <w:pPr>
              <w:jc w:val="both"/>
              <w:rPr>
                <w:rFonts w:eastAsia="Calibri"/>
                <w:b/>
                <w:sz w:val="28"/>
                <w:lang w:val="sv-SE"/>
              </w:rPr>
            </w:pPr>
          </w:p>
        </w:tc>
      </w:tr>
    </w:tbl>
    <w:p w:rsidR="00E27378" w:rsidRPr="00253652" w:rsidRDefault="00E27378" w:rsidP="00E27378">
      <w:pPr>
        <w:pStyle w:val="Standardfettb"/>
        <w:rPr>
          <w:lang w:val="sv-SE"/>
        </w:rPr>
        <w:sectPr w:rsidR="00E27378" w:rsidRPr="00253652" w:rsidSect="00E27378">
          <w:headerReference w:type="default" r:id="rId7"/>
          <w:footerReference w:type="default" r:id="rId8"/>
          <w:pgSz w:w="11907" w:h="16840" w:code="9"/>
          <w:pgMar w:top="2608" w:right="2155" w:bottom="2438" w:left="1247" w:header="624" w:footer="761" w:gutter="0"/>
          <w:cols w:space="720"/>
        </w:sectPr>
      </w:pPr>
    </w:p>
    <w:p w:rsidR="00D84969" w:rsidRPr="00253652" w:rsidRDefault="00253652" w:rsidP="00F7480A">
      <w:pPr>
        <w:pStyle w:val="ListParagraph"/>
        <w:numPr>
          <w:ilvl w:val="0"/>
          <w:numId w:val="3"/>
        </w:numPr>
        <w:jc w:val="both"/>
        <w:rPr>
          <w:rFonts w:cs="Arial"/>
          <w:b/>
          <w:szCs w:val="22"/>
          <w:lang w:val="sv-SE"/>
        </w:rPr>
      </w:pPr>
      <w:r w:rsidRPr="00253652">
        <w:rPr>
          <w:rFonts w:cs="Arial"/>
          <w:b/>
          <w:szCs w:val="22"/>
          <w:lang w:val="sv-SE"/>
        </w:rPr>
        <w:lastRenderedPageBreak/>
        <w:t>Ansökan är baserad på en ny biomarkör</w:t>
      </w:r>
      <w:r w:rsidR="00D84969" w:rsidRPr="00253652">
        <w:rPr>
          <w:rFonts w:cs="Arial"/>
          <w:b/>
          <w:szCs w:val="22"/>
          <w:lang w:val="sv-SE"/>
        </w:rPr>
        <w:t xml:space="preserve"> </w:t>
      </w:r>
    </w:p>
    <w:p w:rsidR="004F120E" w:rsidRPr="00DE799C" w:rsidRDefault="004F120E" w:rsidP="00F7480A">
      <w:pPr>
        <w:pStyle w:val="ListParagraph"/>
        <w:numPr>
          <w:ilvl w:val="0"/>
          <w:numId w:val="3"/>
        </w:numPr>
        <w:jc w:val="both"/>
        <w:rPr>
          <w:rFonts w:cs="Arial"/>
          <w:b/>
          <w:szCs w:val="22"/>
          <w:lang w:val="sv-SE"/>
        </w:rPr>
      </w:pPr>
      <w:r w:rsidRPr="00DE799C">
        <w:rPr>
          <w:b/>
          <w:lang w:val="sv-SE"/>
        </w:rPr>
        <w:t xml:space="preserve">Merck Serono </w:t>
      </w:r>
      <w:r w:rsidR="00253652" w:rsidRPr="00DE799C">
        <w:rPr>
          <w:b/>
          <w:lang w:val="sv-SE"/>
        </w:rPr>
        <w:t xml:space="preserve">anser att </w:t>
      </w:r>
      <w:r w:rsidR="00DE799C" w:rsidRPr="00DE799C">
        <w:rPr>
          <w:b/>
          <w:lang w:val="sv-SE"/>
        </w:rPr>
        <w:t xml:space="preserve">individanpassad behandling är framtiden för cancerbehandlingar och arbetar för att förverkliga detta </w:t>
      </w:r>
      <w:r w:rsidRPr="00DE799C">
        <w:rPr>
          <w:b/>
          <w:lang w:val="sv-SE"/>
        </w:rPr>
        <w:t xml:space="preserve"> </w:t>
      </w:r>
    </w:p>
    <w:p w:rsidR="00253652" w:rsidRPr="00253652" w:rsidRDefault="00253652" w:rsidP="00253652">
      <w:pPr>
        <w:tabs>
          <w:tab w:val="clear" w:pos="170"/>
        </w:tabs>
        <w:spacing w:line="240" w:lineRule="auto"/>
        <w:textAlignment w:val="top"/>
        <w:rPr>
          <w:rFonts w:cs="Arial"/>
          <w:color w:val="888888"/>
          <w:sz w:val="20"/>
          <w:lang w:val="sv-SE"/>
        </w:rPr>
      </w:pPr>
      <w:r w:rsidRPr="00253652">
        <w:rPr>
          <w:rFonts w:cs="Arial"/>
          <w:color w:val="000000"/>
          <w:sz w:val="24"/>
          <w:szCs w:val="24"/>
          <w:lang w:val="sv-SE"/>
        </w:rPr>
        <w:br/>
        <w:t xml:space="preserve">Darmstadt, Tyskland, XXX, 2011 - Merck Serono, en division av Merck KGaA, Darmstadt, Tyskland, </w:t>
      </w:r>
      <w:r w:rsidR="00A05E7D">
        <w:rPr>
          <w:rFonts w:cs="Arial"/>
          <w:color w:val="000000"/>
          <w:sz w:val="24"/>
          <w:szCs w:val="24"/>
          <w:lang w:val="sv-SE"/>
        </w:rPr>
        <w:t xml:space="preserve"> 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meddelade idag att man har lämnat in en </w:t>
      </w:r>
      <w:r w:rsidR="00A05E7D">
        <w:rPr>
          <w:rFonts w:cs="Arial"/>
          <w:color w:val="000000"/>
          <w:sz w:val="24"/>
          <w:szCs w:val="24"/>
          <w:lang w:val="sv-SE"/>
        </w:rPr>
        <w:t xml:space="preserve">ansökan om utökad indikation 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till Europeiska läkemedelsmyndigheten (EMA) för godkännande av Erbitux ® (cetuximab) i kombination med </w:t>
      </w:r>
      <w:r w:rsidR="00A05E7D">
        <w:rPr>
          <w:rFonts w:cs="Arial"/>
          <w:color w:val="000000"/>
          <w:sz w:val="24"/>
          <w:szCs w:val="24"/>
          <w:lang w:val="sv-SE"/>
        </w:rPr>
        <w:t>platinumbaserad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</w:t>
      </w:r>
      <w:r w:rsidR="00A05E7D">
        <w:rPr>
          <w:rFonts w:cs="Arial"/>
          <w:color w:val="000000"/>
          <w:sz w:val="24"/>
          <w:szCs w:val="24"/>
          <w:lang w:val="sv-SE"/>
        </w:rPr>
        <w:t xml:space="preserve">cytostatika i </w:t>
      </w:r>
      <w:r w:rsidRPr="00253652">
        <w:rPr>
          <w:rFonts w:cs="Arial"/>
          <w:color w:val="000000"/>
          <w:sz w:val="24"/>
          <w:szCs w:val="24"/>
          <w:lang w:val="sv-SE"/>
        </w:rPr>
        <w:t>1</w:t>
      </w:r>
      <w:r w:rsidR="00A05E7D">
        <w:rPr>
          <w:rFonts w:cs="Arial"/>
          <w:color w:val="000000"/>
          <w:sz w:val="24"/>
          <w:szCs w:val="24"/>
          <w:lang w:val="sv-SE"/>
        </w:rPr>
        <w:t>: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a </w:t>
      </w:r>
      <w:r w:rsidR="00A05E7D">
        <w:rPr>
          <w:rFonts w:cs="Arial"/>
          <w:color w:val="000000"/>
          <w:sz w:val="24"/>
          <w:szCs w:val="24"/>
          <w:lang w:val="sv-SE"/>
        </w:rPr>
        <w:t xml:space="preserve">linjen för </w:t>
      </w:r>
      <w:r w:rsidRPr="00253652">
        <w:rPr>
          <w:rFonts w:cs="Arial"/>
          <w:color w:val="000000"/>
          <w:sz w:val="24"/>
          <w:szCs w:val="24"/>
          <w:lang w:val="sv-SE"/>
        </w:rPr>
        <w:t>patienter med avancerad eller metastaserad icke-småcellig lungcancer (NSCLC) med hög epidermal tillväxtfaktor (EGFR) uttryck.</w:t>
      </w:r>
      <w:r w:rsidRPr="00253652">
        <w:rPr>
          <w:rFonts w:cs="Arial"/>
          <w:color w:val="000000"/>
          <w:sz w:val="24"/>
          <w:szCs w:val="24"/>
          <w:lang w:val="sv-SE"/>
        </w:rPr>
        <w:br/>
      </w:r>
      <w:r w:rsidRPr="00253652">
        <w:rPr>
          <w:rFonts w:cs="Arial"/>
          <w:color w:val="000000"/>
          <w:sz w:val="24"/>
          <w:szCs w:val="24"/>
          <w:lang w:val="sv-SE"/>
        </w:rPr>
        <w:br/>
      </w:r>
      <w:r w:rsidR="00A05E7D">
        <w:rPr>
          <w:rFonts w:cs="Arial"/>
          <w:color w:val="000000"/>
          <w:sz w:val="24"/>
          <w:szCs w:val="24"/>
          <w:lang w:val="sv-SE"/>
        </w:rPr>
        <w:t>Ansökan bygger på en ny biomarkör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analys av </w:t>
      </w:r>
      <w:r w:rsidR="00A05E7D">
        <w:rPr>
          <w:rFonts w:cs="Arial"/>
          <w:color w:val="000000"/>
          <w:sz w:val="24"/>
          <w:szCs w:val="24"/>
          <w:lang w:val="sv-SE"/>
        </w:rPr>
        <w:t xml:space="preserve">nivåer av 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EGFR-uttryck i tumörer </w:t>
      </w:r>
      <w:r w:rsidR="00C9314D">
        <w:rPr>
          <w:rFonts w:cs="Arial"/>
          <w:color w:val="000000"/>
          <w:sz w:val="24"/>
          <w:szCs w:val="24"/>
          <w:lang w:val="sv-SE"/>
        </w:rPr>
        <w:t>från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patienter som deltog i fas III </w:t>
      </w:r>
      <w:r w:rsidR="00C9314D">
        <w:rPr>
          <w:rFonts w:cs="Arial"/>
          <w:color w:val="000000"/>
          <w:sz w:val="24"/>
          <w:szCs w:val="24"/>
          <w:lang w:val="sv-SE"/>
        </w:rPr>
        <w:t>studien FLEX</w:t>
      </w:r>
      <w:r w:rsidR="00606374" w:rsidRPr="00606374">
        <w:rPr>
          <w:b/>
          <w:vertAlign w:val="superscript"/>
          <w:lang w:val="sv-SE"/>
        </w:rPr>
        <w:t>a</w:t>
      </w:r>
      <w:r w:rsidRPr="00253652">
        <w:rPr>
          <w:rFonts w:cs="Arial"/>
          <w:color w:val="000000"/>
          <w:sz w:val="24"/>
          <w:szCs w:val="24"/>
          <w:lang w:val="sv-SE"/>
        </w:rPr>
        <w:t>. Ny</w:t>
      </w:r>
      <w:r w:rsidR="00C9314D">
        <w:rPr>
          <w:rFonts w:cs="Arial"/>
          <w:color w:val="000000"/>
          <w:sz w:val="24"/>
          <w:szCs w:val="24"/>
          <w:lang w:val="sv-SE"/>
        </w:rPr>
        <w:t xml:space="preserve"> data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, som presenterades vid </w:t>
      </w:r>
      <w:r w:rsidR="00C9314D">
        <w:rPr>
          <w:rFonts w:cs="Arial"/>
          <w:color w:val="000000"/>
          <w:sz w:val="24"/>
          <w:szCs w:val="24"/>
          <w:lang w:val="sv-SE"/>
        </w:rPr>
        <w:t xml:space="preserve">det tvärvetenskapliga symposiet </w:t>
      </w:r>
      <w:r w:rsidR="00C9314D" w:rsidRPr="00C9314D">
        <w:rPr>
          <w:rFonts w:eastAsia="Calibri"/>
          <w:bCs/>
          <w:i/>
          <w:lang w:val="sv-SE"/>
        </w:rPr>
        <w:t>Chicago Multidisciplinary Symposium in Thoracic Oncology</w:t>
      </w:r>
      <w:r w:rsidR="00C9314D" w:rsidRPr="00C9314D">
        <w:rPr>
          <w:rFonts w:eastAsia="Calibri"/>
          <w:bCs/>
          <w:lang w:val="sv-SE"/>
        </w:rPr>
        <w:t xml:space="preserve"> </w:t>
      </w:r>
      <w:r w:rsidR="00C9314D">
        <w:rPr>
          <w:rFonts w:cs="Arial"/>
          <w:color w:val="000000"/>
          <w:sz w:val="24"/>
          <w:szCs w:val="24"/>
          <w:lang w:val="sv-SE"/>
        </w:rPr>
        <w:t xml:space="preserve">i 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Chicago i december 2010, visade att </w:t>
      </w:r>
      <w:r w:rsidR="00C9314D">
        <w:rPr>
          <w:rFonts w:cs="Arial"/>
          <w:color w:val="000000"/>
          <w:sz w:val="24"/>
          <w:szCs w:val="24"/>
          <w:lang w:val="sv-SE"/>
        </w:rPr>
        <w:t xml:space="preserve">för de </w:t>
      </w:r>
      <w:r w:rsidRPr="00253652">
        <w:rPr>
          <w:rFonts w:cs="Arial"/>
          <w:color w:val="000000"/>
          <w:sz w:val="24"/>
          <w:szCs w:val="24"/>
          <w:lang w:val="sv-SE"/>
        </w:rPr>
        <w:t>patienter med hög</w:t>
      </w:r>
      <w:r w:rsidR="00C9314D">
        <w:rPr>
          <w:rFonts w:cs="Arial"/>
          <w:color w:val="000000"/>
          <w:sz w:val="24"/>
          <w:szCs w:val="24"/>
          <w:lang w:val="sv-SE"/>
        </w:rPr>
        <w:t>t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EGFR-uttryck, var svarsfrekvensen </w:t>
      </w:r>
      <w:r w:rsidR="00C9314D">
        <w:rPr>
          <w:rFonts w:cs="Arial"/>
          <w:color w:val="000000"/>
          <w:sz w:val="24"/>
          <w:szCs w:val="24"/>
          <w:lang w:val="sv-SE"/>
        </w:rPr>
        <w:t>signifikant högre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</w:t>
      </w:r>
      <w:r w:rsidR="00F22157">
        <w:rPr>
          <w:rFonts w:cs="Arial"/>
          <w:color w:val="000000"/>
          <w:sz w:val="24"/>
          <w:szCs w:val="24"/>
          <w:lang w:val="sv-SE"/>
        </w:rPr>
        <w:t>med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tillägg av Erbitux till standard </w:t>
      </w:r>
      <w:r w:rsidR="00C9314D">
        <w:rPr>
          <w:rFonts w:cs="Arial"/>
          <w:color w:val="000000"/>
          <w:sz w:val="24"/>
          <w:szCs w:val="24"/>
          <w:lang w:val="sv-SE"/>
        </w:rPr>
        <w:t xml:space="preserve">cytostatika, från </w:t>
      </w:r>
      <w:r w:rsidRPr="00253652">
        <w:rPr>
          <w:rFonts w:cs="Arial"/>
          <w:color w:val="000000"/>
          <w:sz w:val="24"/>
          <w:szCs w:val="24"/>
          <w:lang w:val="sv-SE"/>
        </w:rPr>
        <w:t>28,1% till 44,4% (p = 0,002 ).</w:t>
      </w:r>
      <w:r w:rsidR="00C9314D">
        <w:rPr>
          <w:rStyle w:val="EndnoteReference"/>
          <w:rFonts w:eastAsia="Calibri" w:cs="Arial"/>
        </w:rPr>
        <w:endnoteReference w:id="1"/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Merck Serono </w:t>
      </w:r>
      <w:r w:rsidR="00634ED3">
        <w:rPr>
          <w:rFonts w:cs="Arial"/>
          <w:color w:val="000000"/>
          <w:sz w:val="24"/>
          <w:szCs w:val="24"/>
          <w:lang w:val="sv-SE"/>
        </w:rPr>
        <w:t xml:space="preserve">har ytterligare </w:t>
      </w:r>
      <w:r w:rsidRPr="00253652">
        <w:rPr>
          <w:rFonts w:cs="Arial"/>
          <w:color w:val="000000"/>
          <w:sz w:val="24"/>
          <w:szCs w:val="24"/>
          <w:lang w:val="sv-SE"/>
        </w:rPr>
        <w:t>analysera</w:t>
      </w:r>
      <w:r w:rsidR="00634ED3">
        <w:rPr>
          <w:rFonts w:cs="Arial"/>
          <w:color w:val="000000"/>
          <w:sz w:val="24"/>
          <w:szCs w:val="24"/>
          <w:lang w:val="sv-SE"/>
        </w:rPr>
        <w:t>t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</w:t>
      </w:r>
      <w:r w:rsidR="00634ED3">
        <w:rPr>
          <w:rFonts w:cs="Arial"/>
          <w:color w:val="000000"/>
          <w:sz w:val="24"/>
          <w:szCs w:val="24"/>
          <w:lang w:val="sv-SE"/>
        </w:rPr>
        <w:t>klinisk</w:t>
      </w:r>
      <w:r w:rsidR="001674F1">
        <w:rPr>
          <w:rFonts w:cs="Arial"/>
          <w:color w:val="000000"/>
          <w:sz w:val="24"/>
          <w:szCs w:val="24"/>
          <w:lang w:val="sv-SE"/>
        </w:rPr>
        <w:t>a</w:t>
      </w:r>
      <w:r w:rsidR="00634ED3">
        <w:rPr>
          <w:rFonts w:cs="Arial"/>
          <w:color w:val="000000"/>
          <w:sz w:val="24"/>
          <w:szCs w:val="24"/>
          <w:lang w:val="sv-SE"/>
        </w:rPr>
        <w:t xml:space="preserve"> data </w:t>
      </w:r>
      <w:r w:rsidR="00F22157">
        <w:rPr>
          <w:rFonts w:cs="Arial"/>
          <w:color w:val="000000"/>
          <w:sz w:val="24"/>
          <w:szCs w:val="24"/>
          <w:lang w:val="sv-SE"/>
        </w:rPr>
        <w:t>i och med</w:t>
      </w:r>
      <w:r w:rsidR="00634ED3">
        <w:rPr>
          <w:rFonts w:cs="Arial"/>
          <w:color w:val="000000"/>
          <w:sz w:val="24"/>
          <w:szCs w:val="24"/>
          <w:lang w:val="sv-SE"/>
        </w:rPr>
        <w:t xml:space="preserve"> ansökan </w:t>
      </w:r>
      <w:r w:rsidRPr="00253652">
        <w:rPr>
          <w:rFonts w:cs="Arial"/>
          <w:color w:val="000000"/>
          <w:sz w:val="24"/>
          <w:szCs w:val="24"/>
          <w:lang w:val="sv-SE"/>
        </w:rPr>
        <w:t>och planerar att presentera resultat</w:t>
      </w:r>
      <w:r w:rsidR="001674F1">
        <w:rPr>
          <w:rFonts w:cs="Arial"/>
          <w:color w:val="000000"/>
          <w:sz w:val="24"/>
          <w:szCs w:val="24"/>
          <w:lang w:val="sv-SE"/>
        </w:rPr>
        <w:t>en</w:t>
      </w:r>
      <w:r w:rsidRPr="00253652">
        <w:rPr>
          <w:rFonts w:cs="Arial"/>
          <w:color w:val="000000"/>
          <w:sz w:val="24"/>
          <w:szCs w:val="24"/>
          <w:lang w:val="sv-SE"/>
        </w:rPr>
        <w:t xml:space="preserve"> vid kommande kongresser.</w:t>
      </w:r>
    </w:p>
    <w:p w:rsidR="00634ED3" w:rsidRPr="00C224CA" w:rsidRDefault="00634ED3" w:rsidP="004F120E">
      <w:pPr>
        <w:spacing w:line="360" w:lineRule="auto"/>
        <w:jc w:val="both"/>
        <w:rPr>
          <w:rFonts w:eastAsia="Calibri"/>
          <w:lang w:val="sv-SE"/>
        </w:rPr>
      </w:pPr>
    </w:p>
    <w:p w:rsidR="00634ED3" w:rsidRPr="00634ED3" w:rsidRDefault="00634ED3" w:rsidP="00634ED3">
      <w:pPr>
        <w:tabs>
          <w:tab w:val="clear" w:pos="170"/>
        </w:tabs>
        <w:spacing w:line="240" w:lineRule="auto"/>
        <w:textAlignment w:val="top"/>
        <w:rPr>
          <w:rFonts w:cs="Arial"/>
          <w:color w:val="888888"/>
          <w:sz w:val="20"/>
          <w:lang w:val="sv-SE"/>
        </w:rPr>
      </w:pPr>
      <w:r w:rsidRPr="00634ED3">
        <w:rPr>
          <w:rFonts w:cs="Arial"/>
          <w:color w:val="000000"/>
          <w:sz w:val="24"/>
          <w:szCs w:val="24"/>
          <w:lang w:val="sv-SE"/>
        </w:rPr>
        <w:t>I Europa är lungcancer den vanligaste orsaken till död i cancer</w:t>
      </w:r>
      <w:r w:rsidR="00047A8D">
        <w:rPr>
          <w:rFonts w:cs="Arial"/>
          <w:color w:val="000000"/>
          <w:sz w:val="24"/>
          <w:szCs w:val="24"/>
          <w:lang w:val="sv-SE"/>
        </w:rPr>
        <w:t>, vilket innebär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20% av alla dödsfall i cancer (28% hos män och 10% hos kvinnor).</w:t>
      </w:r>
      <w:r>
        <w:rPr>
          <w:rStyle w:val="EndnoteReference"/>
          <w:rFonts w:eastAsia="Calibri" w:cs="Arial"/>
        </w:rPr>
        <w:endnoteReference w:id="2"/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NSCLC står för cirka 80% av alla lungcancerfall.</w:t>
      </w:r>
      <w:r>
        <w:rPr>
          <w:rStyle w:val="EndnoteReference"/>
          <w:rFonts w:eastAsia="Calibri" w:cs="Arial"/>
        </w:rPr>
        <w:endnoteReference w:id="3"/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</w:t>
      </w:r>
      <w:r>
        <w:rPr>
          <w:rFonts w:cs="Arial"/>
          <w:color w:val="000000"/>
          <w:sz w:val="24"/>
          <w:szCs w:val="24"/>
          <w:lang w:val="sv-SE"/>
        </w:rPr>
        <w:t>De flesta patienter har redan vid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diagnos</w:t>
      </w:r>
      <w:r>
        <w:rPr>
          <w:rFonts w:cs="Arial"/>
          <w:color w:val="000000"/>
          <w:sz w:val="24"/>
          <w:szCs w:val="24"/>
          <w:lang w:val="sv-SE"/>
        </w:rPr>
        <w:t xml:space="preserve"> en avancerad, icke-operabel (även kallad icke resektabel) sjukdom, vilket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är förenat med en mycket dålig prognos.</w:t>
      </w:r>
      <w:r w:rsidR="00A3074B">
        <w:rPr>
          <w:rStyle w:val="EndnoteReference"/>
          <w:rFonts w:eastAsia="Calibri" w:cs="Arial"/>
        </w:rPr>
        <w:endnoteReference w:id="4"/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NSCLC är fortfarande svår</w:t>
      </w:r>
      <w:r w:rsidR="00A3074B">
        <w:rPr>
          <w:rFonts w:cs="Arial"/>
          <w:color w:val="000000"/>
          <w:sz w:val="24"/>
          <w:szCs w:val="24"/>
          <w:lang w:val="sv-SE"/>
        </w:rPr>
        <w:t>t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att behandla </w:t>
      </w:r>
      <w:r w:rsidR="00A3074B">
        <w:rPr>
          <w:rFonts w:cs="Arial"/>
          <w:color w:val="000000"/>
          <w:sz w:val="24"/>
          <w:szCs w:val="24"/>
          <w:lang w:val="sv-SE"/>
        </w:rPr>
        <w:t>och få nya effektiva läkemedel har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identifierats under de senaste tio åren. Den totala 5-års överlevnad</w:t>
      </w:r>
      <w:r w:rsidR="00A3074B">
        <w:rPr>
          <w:rFonts w:cs="Arial"/>
          <w:color w:val="000000"/>
          <w:sz w:val="24"/>
          <w:szCs w:val="24"/>
          <w:lang w:val="sv-SE"/>
        </w:rPr>
        <w:t>en</w:t>
      </w:r>
      <w:r w:rsidRPr="00634ED3">
        <w:rPr>
          <w:rFonts w:cs="Arial"/>
          <w:color w:val="000000"/>
          <w:sz w:val="24"/>
          <w:szCs w:val="24"/>
          <w:lang w:val="sv-SE"/>
        </w:rPr>
        <w:t xml:space="preserve"> för lungcancer är cirka 10%, jämfört med 81% för melanom och 75% för bröstcancer.</w:t>
      </w:r>
      <w:r w:rsidR="00A3074B">
        <w:rPr>
          <w:rStyle w:val="EndnoteReference"/>
          <w:rFonts w:eastAsia="Calibri" w:cs="Arial"/>
        </w:rPr>
        <w:endnoteReference w:id="5"/>
      </w:r>
    </w:p>
    <w:p w:rsidR="004F120E" w:rsidRDefault="004F120E" w:rsidP="004F120E">
      <w:pPr>
        <w:pStyle w:val="QAAnswerChar"/>
        <w:numPr>
          <w:ilvl w:val="0"/>
          <w:numId w:val="0"/>
        </w:numPr>
        <w:jc w:val="left"/>
        <w:rPr>
          <w:b/>
          <w:u w:val="single"/>
        </w:rPr>
      </w:pPr>
      <w:proofErr w:type="gramStart"/>
      <w:r w:rsidRPr="00A924E5">
        <w:rPr>
          <w:b/>
          <w:vertAlign w:val="superscript"/>
        </w:rPr>
        <w:lastRenderedPageBreak/>
        <w:t>a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 xml:space="preserve">FLEX: </w:t>
      </w:r>
      <w:r w:rsidRPr="00D253CB">
        <w:rPr>
          <w:b/>
          <w:u w:val="single"/>
        </w:rPr>
        <w:t>F</w:t>
      </w:r>
      <w:r>
        <w:t xml:space="preserve">irst-line in </w:t>
      </w:r>
      <w:r w:rsidRPr="00D253CB">
        <w:rPr>
          <w:b/>
          <w:u w:val="single"/>
        </w:rPr>
        <w:t>L</w:t>
      </w:r>
      <w:r>
        <w:t xml:space="preserve">ung cancer with </w:t>
      </w:r>
      <w:proofErr w:type="spellStart"/>
      <w:r w:rsidRPr="00D253CB">
        <w:rPr>
          <w:b/>
          <w:u w:val="single"/>
        </w:rPr>
        <w:t>E</w:t>
      </w:r>
      <w:r>
        <w:t>rbitu</w:t>
      </w:r>
      <w:r w:rsidRPr="00D253CB">
        <w:rPr>
          <w:b/>
          <w:u w:val="single"/>
        </w:rPr>
        <w:t>X</w:t>
      </w:r>
      <w:proofErr w:type="spellEnd"/>
    </w:p>
    <w:p w:rsidR="00465143" w:rsidRDefault="00465143" w:rsidP="004F120E">
      <w:pPr>
        <w:pStyle w:val="QAAnswerChar"/>
        <w:numPr>
          <w:ilvl w:val="0"/>
          <w:numId w:val="0"/>
        </w:numPr>
        <w:jc w:val="left"/>
        <w:rPr>
          <w:b/>
          <w:u w:val="single"/>
        </w:rPr>
      </w:pPr>
    </w:p>
    <w:p w:rsidR="00225668" w:rsidRPr="00A3074B" w:rsidRDefault="00465143" w:rsidP="00465143">
      <w:pPr>
        <w:pStyle w:val="QAAnswerChar"/>
        <w:numPr>
          <w:ilvl w:val="0"/>
          <w:numId w:val="0"/>
        </w:numPr>
        <w:jc w:val="left"/>
        <w:rPr>
          <w:rFonts w:eastAsia="MS Mincho"/>
          <w:color w:val="000000"/>
          <w:sz w:val="18"/>
          <w:szCs w:val="18"/>
          <w:lang w:val="sv-SE" w:eastAsia="ja-JP"/>
        </w:rPr>
      </w:pPr>
      <w:r w:rsidRPr="00A3074B">
        <w:rPr>
          <w:b/>
          <w:sz w:val="18"/>
          <w:szCs w:val="18"/>
          <w:lang w:val="sv-SE"/>
        </w:rPr>
        <w:t>Referen</w:t>
      </w:r>
      <w:r w:rsidR="00A3074B" w:rsidRPr="00A3074B">
        <w:rPr>
          <w:b/>
          <w:sz w:val="18"/>
          <w:szCs w:val="18"/>
          <w:lang w:val="sv-SE"/>
        </w:rPr>
        <w:t>s</w:t>
      </w:r>
      <w:r w:rsidRPr="00A3074B">
        <w:rPr>
          <w:b/>
          <w:sz w:val="18"/>
          <w:szCs w:val="18"/>
          <w:lang w:val="sv-SE"/>
        </w:rPr>
        <w:t>e</w:t>
      </w:r>
      <w:r w:rsidR="00A3074B" w:rsidRPr="00A3074B">
        <w:rPr>
          <w:b/>
          <w:sz w:val="18"/>
          <w:szCs w:val="18"/>
          <w:lang w:val="sv-SE"/>
        </w:rPr>
        <w:t>r</w:t>
      </w:r>
    </w:p>
    <w:p w:rsidR="00465143" w:rsidRPr="00A3074B" w:rsidRDefault="00465143" w:rsidP="00225668">
      <w:pPr>
        <w:tabs>
          <w:tab w:val="clear" w:pos="170"/>
        </w:tabs>
        <w:autoSpaceDE w:val="0"/>
        <w:autoSpaceDN w:val="0"/>
        <w:adjustRightInd w:val="0"/>
        <w:spacing w:line="240" w:lineRule="auto"/>
        <w:rPr>
          <w:rFonts w:eastAsia="MS Mincho" w:cs="Arial"/>
          <w:color w:val="000000"/>
          <w:szCs w:val="22"/>
          <w:lang w:val="sv-SE" w:eastAsia="ja-JP"/>
        </w:rPr>
        <w:sectPr w:rsidR="00465143" w:rsidRPr="00A3074B" w:rsidSect="0099163A">
          <w:headerReference w:type="even" r:id="rId9"/>
          <w:headerReference w:type="default" r:id="rId10"/>
          <w:footerReference w:type="default" r:id="rId11"/>
          <w:endnotePr>
            <w:numFmt w:val="decimal"/>
          </w:endnotePr>
          <w:type w:val="continuous"/>
          <w:pgSz w:w="11907" w:h="16840" w:code="9"/>
          <w:pgMar w:top="3661" w:right="2155" w:bottom="1418" w:left="1247" w:header="2410" w:footer="761" w:gutter="0"/>
          <w:cols w:space="720"/>
          <w:formProt w:val="0"/>
          <w:titlePg/>
        </w:sectPr>
      </w:pPr>
    </w:p>
    <w:p w:rsidR="004F120E" w:rsidRPr="00A3074B" w:rsidRDefault="004F120E" w:rsidP="004F120E">
      <w:pPr>
        <w:spacing w:line="360" w:lineRule="auto"/>
        <w:jc w:val="both"/>
        <w:rPr>
          <w:rFonts w:eastAsia="Calibri"/>
          <w:lang w:val="sv-SE"/>
        </w:rPr>
      </w:pPr>
    </w:p>
    <w:p w:rsidR="00465143" w:rsidRPr="00A3074B" w:rsidRDefault="00465143" w:rsidP="004F120E">
      <w:pPr>
        <w:spacing w:line="360" w:lineRule="auto"/>
        <w:jc w:val="both"/>
        <w:rPr>
          <w:rFonts w:eastAsia="Calibri"/>
          <w:lang w:val="sv-SE"/>
        </w:rPr>
        <w:sectPr w:rsidR="00465143" w:rsidRPr="00A3074B" w:rsidSect="0099163A">
          <w:endnotePr>
            <w:numFmt w:val="decimal"/>
          </w:endnotePr>
          <w:type w:val="continuous"/>
          <w:pgSz w:w="11907" w:h="16840" w:code="9"/>
          <w:pgMar w:top="3661" w:right="2155" w:bottom="1418" w:left="1247" w:header="2410" w:footer="761" w:gutter="0"/>
          <w:cols w:space="720"/>
          <w:formProt w:val="0"/>
          <w:titlePg/>
        </w:sectPr>
      </w:pPr>
    </w:p>
    <w:p w:rsidR="00465143" w:rsidRPr="00A3074B" w:rsidRDefault="00A3074B" w:rsidP="00465143">
      <w:pPr>
        <w:tabs>
          <w:tab w:val="clear" w:pos="170"/>
        </w:tabs>
        <w:autoSpaceDE w:val="0"/>
        <w:autoSpaceDN w:val="0"/>
        <w:adjustRightInd w:val="0"/>
        <w:spacing w:line="240" w:lineRule="auto"/>
        <w:rPr>
          <w:rFonts w:eastAsia="MS Mincho" w:cs="Arial"/>
          <w:color w:val="000000"/>
          <w:szCs w:val="22"/>
          <w:lang w:val="sv-SE" w:eastAsia="ja-JP"/>
        </w:rPr>
      </w:pPr>
      <w:r w:rsidRPr="00A3074B">
        <w:rPr>
          <w:rFonts w:eastAsia="MS Mincho" w:cs="Arial"/>
          <w:color w:val="000000"/>
          <w:szCs w:val="22"/>
          <w:lang w:val="sv-SE" w:eastAsia="ja-JP"/>
        </w:rPr>
        <w:lastRenderedPageBreak/>
        <w:t xml:space="preserve">För mer information om Erbitux inom kolorektalcancer, huvud- och halscancer och icke småcellig lungcancer, besök gärna </w:t>
      </w:r>
      <w:r w:rsidR="00465143" w:rsidRPr="00A3074B">
        <w:rPr>
          <w:rFonts w:eastAsia="MS Mincho" w:cs="Arial"/>
          <w:color w:val="000000"/>
          <w:szCs w:val="22"/>
          <w:lang w:val="sv-SE" w:eastAsia="ja-JP"/>
        </w:rPr>
        <w:t>www.globalcancernews.com.</w:t>
      </w:r>
    </w:p>
    <w:p w:rsidR="00A3074B" w:rsidRPr="00C224CA" w:rsidRDefault="00A3074B" w:rsidP="00465143">
      <w:pPr>
        <w:tabs>
          <w:tab w:val="left" w:pos="1620"/>
        </w:tabs>
        <w:spacing w:line="240" w:lineRule="auto"/>
        <w:ind w:right="908"/>
        <w:rPr>
          <w:rFonts w:eastAsia="Batang" w:cs="Arial"/>
          <w:b/>
          <w:bCs/>
          <w:color w:val="000000"/>
          <w:sz w:val="18"/>
          <w:szCs w:val="18"/>
          <w:lang w:val="sv-SE" w:eastAsia="ko-KR"/>
        </w:rPr>
      </w:pPr>
    </w:p>
    <w:p w:rsidR="00A3074B" w:rsidRPr="00C224CA" w:rsidRDefault="00A3074B" w:rsidP="00465143">
      <w:pPr>
        <w:tabs>
          <w:tab w:val="left" w:pos="1620"/>
        </w:tabs>
        <w:spacing w:line="240" w:lineRule="auto"/>
        <w:ind w:right="908"/>
        <w:rPr>
          <w:rFonts w:eastAsia="Batang" w:cs="Arial"/>
          <w:b/>
          <w:bCs/>
          <w:color w:val="000000"/>
          <w:sz w:val="18"/>
          <w:szCs w:val="18"/>
          <w:lang w:val="sv-SE" w:eastAsia="ko-KR"/>
        </w:rPr>
      </w:pPr>
    </w:p>
    <w:p w:rsidR="00465143" w:rsidRDefault="00465143" w:rsidP="00465143">
      <w:pPr>
        <w:tabs>
          <w:tab w:val="left" w:pos="1620"/>
        </w:tabs>
        <w:spacing w:line="240" w:lineRule="auto"/>
        <w:ind w:right="908"/>
        <w:rPr>
          <w:rFonts w:eastAsia="Batang" w:cs="Arial"/>
          <w:b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/>
          <w:bCs/>
          <w:color w:val="000000"/>
          <w:sz w:val="18"/>
          <w:szCs w:val="18"/>
          <w:lang w:val="en-GB" w:eastAsia="ko-KR"/>
        </w:rPr>
        <w:t xml:space="preserve">About </w:t>
      </w:r>
      <w:proofErr w:type="spellStart"/>
      <w:r w:rsidRPr="00561B9E">
        <w:rPr>
          <w:rFonts w:eastAsia="Batang" w:cs="Arial"/>
          <w:b/>
          <w:bCs/>
          <w:color w:val="000000"/>
          <w:sz w:val="18"/>
          <w:szCs w:val="18"/>
          <w:lang w:val="en-GB" w:eastAsia="ko-KR"/>
        </w:rPr>
        <w:t>Erbitux</w:t>
      </w:r>
      <w:proofErr w:type="spellEnd"/>
    </w:p>
    <w:p w:rsidR="00465143" w:rsidRPr="00561B9E" w:rsidRDefault="00465143" w:rsidP="00465143">
      <w:pPr>
        <w:tabs>
          <w:tab w:val="left" w:pos="1620"/>
        </w:tabs>
        <w:spacing w:line="240" w:lineRule="auto"/>
        <w:ind w:right="908"/>
        <w:rPr>
          <w:rFonts w:eastAsia="Batang" w:cs="Arial"/>
          <w:b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tabs>
          <w:tab w:val="left" w:pos="1620"/>
          <w:tab w:val="left" w:pos="846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9D6813">
        <w:rPr>
          <w:vertAlign w:val="superscript"/>
        </w:rPr>
        <w:t>®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is a first-in-class and highly active IgG1 monoclonal antibody targeting the epidermal growth factor receptor (EGFR). As a monoclonal antibody, the mode of action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is distinct from standard non-selective chemotherapy treatments in that it specifically targets and binds to the EGFR. This binding inhibits the activation of the receptor and the subsequent signal-transduction pathway, which results in reducing both the invasion of normal tissues by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cells and the spread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tumors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to new sites. It is also believed to inhibit the ability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cells to repair the damage caused by chemotherapy and radiotherapy and to inhibit the formation of new blood vessels inside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tumors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, which appears to lead to an overall suppression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growth.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cr/>
      </w:r>
    </w:p>
    <w:p w:rsidR="00465143" w:rsidRPr="00561B9E" w:rsidRDefault="00465143" w:rsidP="00465143">
      <w:pPr>
        <w:tabs>
          <w:tab w:val="left" w:pos="1620"/>
          <w:tab w:val="left" w:pos="846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The most commonly reported side effect with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is an acne-like skin rash that seems to be correlated with a good response to therapy. In approximately 5% of patients, hypersensitivity reactions may occur during treatment with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; about half of these reactions are severe.</w:t>
      </w:r>
    </w:p>
    <w:p w:rsidR="00465143" w:rsidRPr="00561B9E" w:rsidRDefault="00465143" w:rsidP="00465143">
      <w:pPr>
        <w:tabs>
          <w:tab w:val="left" w:pos="1620"/>
          <w:tab w:val="left" w:pos="846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1435D6">
      <w:pPr>
        <w:tabs>
          <w:tab w:val="left" w:pos="1620"/>
          <w:tab w:val="left" w:pos="846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has already obtained market authorization in 8</w:t>
      </w:r>
      <w:r w:rsidR="00EC70D3">
        <w:rPr>
          <w:rFonts w:eastAsia="Batang" w:cs="Arial"/>
          <w:bCs/>
          <w:color w:val="000000"/>
          <w:sz w:val="18"/>
          <w:szCs w:val="18"/>
          <w:lang w:val="en-GB" w:eastAsia="ko-KR"/>
        </w:rPr>
        <w:t>7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countries. It has been approved for the treatment of colorectal cancer in 8</w:t>
      </w:r>
      <w:r w:rsidR="001435D6">
        <w:rPr>
          <w:rFonts w:eastAsia="Batang" w:cs="Arial"/>
          <w:bCs/>
          <w:color w:val="000000"/>
          <w:sz w:val="18"/>
          <w:szCs w:val="18"/>
          <w:lang w:val="en-GB" w:eastAsia="ko-KR"/>
        </w:rPr>
        <w:t>7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countries and for the treatment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squamous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cell carcinoma of the head and neck (SCCHN) in </w:t>
      </w:r>
      <w:r w:rsidR="001435D6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84 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countries:</w:t>
      </w:r>
    </w:p>
    <w:p w:rsidR="00465143" w:rsidRPr="00561B9E" w:rsidRDefault="00465143" w:rsidP="00465143">
      <w:pPr>
        <w:tabs>
          <w:tab w:val="left" w:pos="1620"/>
        </w:tabs>
        <w:spacing w:line="240" w:lineRule="auto"/>
        <w:ind w:right="908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numPr>
          <w:ilvl w:val="0"/>
          <w:numId w:val="2"/>
        </w:num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December 2003 (</w:t>
      </w:r>
      <w:smartTag w:uri="urn:schemas-microsoft-com:office:smarttags" w:element="country-region">
        <w:r w:rsidRPr="00561B9E">
          <w:rPr>
            <w:rFonts w:eastAsia="Batang" w:cs="Arial"/>
            <w:bCs/>
            <w:color w:val="000000"/>
            <w:sz w:val="18"/>
            <w:szCs w:val="18"/>
            <w:lang w:val="en-GB" w:eastAsia="ko-KR"/>
          </w:rPr>
          <w:t>Switzerland</w:t>
        </w:r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), February 2004 (</w:t>
      </w:r>
      <w:smartTag w:uri="urn:schemas-microsoft-com:office:smarttags" w:element="place">
        <w:smartTag w:uri="urn:schemas-microsoft-com:office:smarttags" w:element="country-region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USA</w:t>
          </w:r>
        </w:smartTag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), June 2004 (EU) and followed by other countries: for use in combination with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 patients with EGFR-expressing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mCRC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(metastatic colorectal cancer) who have failed prior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therapy. In addition,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is also approved for single-agent use in further countries.</w:t>
      </w:r>
    </w:p>
    <w:p w:rsidR="00465143" w:rsidRPr="00561B9E" w:rsidRDefault="00465143" w:rsidP="00465143">
      <w:pPr>
        <w:numPr>
          <w:ilvl w:val="0"/>
          <w:numId w:val="2"/>
        </w:num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>
        <w:rPr>
          <w:rFonts w:eastAsia="Batang" w:cs="Arial"/>
          <w:bCs/>
          <w:color w:val="000000"/>
          <w:sz w:val="18"/>
          <w:szCs w:val="18"/>
          <w:lang w:val="en-GB" w:eastAsia="ko-KR"/>
        </w:rPr>
        <w:t>March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2006 (EU) and followed by other countries: for use in combination with radiotherapy for the treatment of locally advanced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squamous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cell carcinoma of the head and neck (SCCHN). In further countries,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is also approved as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monotherapy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 patients with recurrent and/or metastatic SCCHN who failed prior chemotherapy.</w:t>
      </w:r>
    </w:p>
    <w:p w:rsidR="00465143" w:rsidRPr="00561B9E" w:rsidRDefault="00465143" w:rsidP="00465143">
      <w:pPr>
        <w:numPr>
          <w:ilvl w:val="0"/>
          <w:numId w:val="2"/>
        </w:num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July 2008 (EU): license was updated for the treatment of patients with epidermal growth factor receptor (EGFR) expressing, KRAS wild-type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mCRC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 combination with chemotherapy and as a single agent in patients who have failed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oxaliplatin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-and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-based therapy and who are intolerant to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.</w:t>
      </w:r>
    </w:p>
    <w:p w:rsidR="00465143" w:rsidRPr="00561B9E" w:rsidRDefault="00465143" w:rsidP="00465143">
      <w:pPr>
        <w:numPr>
          <w:ilvl w:val="0"/>
          <w:numId w:val="2"/>
        </w:num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July 2008 (</w:t>
      </w:r>
      <w:smartTag w:uri="urn:schemas-microsoft-com:office:smarttags" w:element="place">
        <w:smartTag w:uri="urn:schemas-microsoft-com:office:smarttags" w:element="country-region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Japan</w:t>
          </w:r>
        </w:smartTag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): for use in combination with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 patients with EGFR-expressing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mCRC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who have failed prior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irinotecan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therapy</w:t>
      </w:r>
    </w:p>
    <w:p w:rsidR="00465143" w:rsidRPr="00561B9E" w:rsidRDefault="00465143" w:rsidP="00465143">
      <w:pPr>
        <w:numPr>
          <w:ilvl w:val="0"/>
          <w:numId w:val="2"/>
        </w:num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In November 2008 (EU): license was updated for the use in combination with platinum-based chemotherapy in patients with recurrent and/or metastatic SCCHN</w:t>
      </w:r>
    </w:p>
    <w:p w:rsidR="00465143" w:rsidRPr="00561B9E" w:rsidRDefault="00465143" w:rsidP="00465143">
      <w:pPr>
        <w:numPr>
          <w:ilvl w:val="0"/>
          <w:numId w:val="2"/>
        </w:numPr>
        <w:tabs>
          <w:tab w:val="clear" w:pos="170"/>
        </w:tabs>
        <w:spacing w:line="240" w:lineRule="auto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March 2010 (</w:t>
      </w:r>
      <w:smartTag w:uri="urn:schemas-microsoft-com:office:smarttags" w:element="place">
        <w:smartTag w:uri="urn:schemas-microsoft-com:office:smarttags" w:element="country-region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Japan</w:t>
          </w:r>
        </w:smartTag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): label extended to use in combination with chemotherapy in the 1st-line treatment for patients with epidermal growth factor receptor (EGFR)-expressing, curatively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unresectable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(inoperable), advanced or recurrent colorectal cancer (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mCRC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) carrying the KRAS wild-type gene.</w:t>
      </w:r>
    </w:p>
    <w:p w:rsidR="00465143" w:rsidRPr="00561B9E" w:rsidRDefault="00465143" w:rsidP="00465143">
      <w:pPr>
        <w:tabs>
          <w:tab w:val="left" w:pos="1620"/>
        </w:tabs>
        <w:spacing w:line="240" w:lineRule="auto"/>
        <w:ind w:right="908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tabs>
          <w:tab w:val="left" w:pos="1620"/>
        </w:tabs>
        <w:spacing w:line="240" w:lineRule="auto"/>
        <w:ind w:right="908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Merck licensed the right to market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outside the </w:t>
      </w:r>
      <w:smartTag w:uri="urn:schemas-microsoft-com:office:smarttags" w:element="country-region">
        <w:r w:rsidRPr="00561B9E">
          <w:rPr>
            <w:rFonts w:eastAsia="Batang" w:cs="Arial"/>
            <w:bCs/>
            <w:color w:val="000000"/>
            <w:sz w:val="18"/>
            <w:szCs w:val="18"/>
            <w:lang w:val="en-GB" w:eastAsia="ko-KR"/>
          </w:rPr>
          <w:t>US</w:t>
        </w:r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Canada</w:t>
          </w:r>
        </w:smartTag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from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ImClone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LLC, a wholly-owned subsidiary of Eli Lilly and Company, in 1998. In Japan,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ImClone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, Bristol-Myers Squibb Company and Merck jointly develop and commercialize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. Merck has an ongoing commitment to the advancement of oncology treatment and is currently investigating novel therapies in highly targeted areas, such as the use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Erbitux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 colorectal cancer,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squamous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cell carcinoma of the head and neck and non-small cell lung cancer. Merck has also acquired the rights for the cancer treatment UFT</w:t>
      </w:r>
      <w:r>
        <w:t>®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(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tegafur-uracil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) – an oral chemotherapy administered with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folinic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acid (FA) for the first-line treatment of metastatic colorectal cancer.</w:t>
      </w: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Merck is also investigating among other potential cancer treatments the use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Stimuvax</w:t>
      </w:r>
      <w:proofErr w:type="spellEnd"/>
      <w:r>
        <w:t>®</w:t>
      </w: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(BLP25 Liposome Vaccine) in the treatment of non-small cell lung cancer. The vaccine was granted fast-track status in September 2004 by the FDA. Merck obtained the exclusive worldwide licensing rights from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Oncothyreon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Inc., </w:t>
      </w:r>
      <w:smartTag w:uri="urn:schemas-microsoft-com:office:smarttags" w:element="place">
        <w:smartTag w:uri="urn:schemas-microsoft-com:office:smarttags" w:element="City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Seattle</w:t>
          </w:r>
        </w:smartTag>
        <w:r w:rsidRPr="00561B9E">
          <w:rPr>
            <w:rFonts w:eastAsia="Batang" w:cs="Arial"/>
            <w:bCs/>
            <w:color w:val="000000"/>
            <w:sz w:val="18"/>
            <w:szCs w:val="18"/>
            <w:lang w:val="en-GB" w:eastAsia="ko-KR"/>
          </w:rPr>
          <w:t xml:space="preserve">, </w:t>
        </w:r>
        <w:smartTag w:uri="urn:schemas-microsoft-com:office:smarttags" w:element="State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Washington</w:t>
          </w:r>
        </w:smartTag>
        <w:r w:rsidRPr="00561B9E">
          <w:rPr>
            <w:rFonts w:eastAsia="Batang" w:cs="Arial"/>
            <w:bCs/>
            <w:color w:val="000000"/>
            <w:sz w:val="18"/>
            <w:szCs w:val="18"/>
            <w:lang w:val="en-GB" w:eastAsia="ko-KR"/>
          </w:rPr>
          <w:t xml:space="preserve">, </w:t>
        </w:r>
        <w:smartTag w:uri="urn:schemas-microsoft-com:office:smarttags" w:element="country-region">
          <w:r w:rsidRPr="00561B9E">
            <w:rPr>
              <w:rFonts w:eastAsia="Batang" w:cs="Arial"/>
              <w:bCs/>
              <w:color w:val="000000"/>
              <w:sz w:val="18"/>
              <w:szCs w:val="18"/>
              <w:lang w:val="en-GB" w:eastAsia="ko-KR"/>
            </w:rPr>
            <w:t>USA</w:t>
          </w:r>
        </w:smartTag>
      </w:smartTag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.</w:t>
      </w: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In addition, Merck is developing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cilengitide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, which is the first in a new class of investigational anti-cancer therapies called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integrin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inhibitors to reach Phase III development; it is currently being investigated for the treatment of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glioblastoma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, SCCHN and NSCLC.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Integrin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inhibitors are thought to work by targeting the </w:t>
      </w:r>
      <w:proofErr w:type="spellStart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>tumor</w:t>
      </w:r>
      <w:proofErr w:type="spellEnd"/>
      <w:r w:rsidRPr="00561B9E">
        <w:rPr>
          <w:rFonts w:eastAsia="Batang" w:cs="Arial"/>
          <w:bCs/>
          <w:color w:val="000000"/>
          <w:sz w:val="18"/>
          <w:szCs w:val="18"/>
          <w:lang w:val="en-GB" w:eastAsia="ko-KR"/>
        </w:rPr>
        <w:t xml:space="preserve"> and its vasculature.</w:t>
      </w:r>
    </w:p>
    <w:p w:rsidR="00465143" w:rsidRPr="00561B9E" w:rsidRDefault="00465143" w:rsidP="00465143">
      <w:pPr>
        <w:tabs>
          <w:tab w:val="left" w:pos="1620"/>
        </w:tabs>
        <w:spacing w:line="240" w:lineRule="auto"/>
        <w:ind w:right="45"/>
        <w:jc w:val="both"/>
        <w:rPr>
          <w:rFonts w:eastAsia="Batang" w:cs="Arial"/>
          <w:bCs/>
          <w:color w:val="000000"/>
          <w:sz w:val="18"/>
          <w:szCs w:val="18"/>
          <w:lang w:val="en-GB" w:eastAsia="ko-KR"/>
        </w:rPr>
      </w:pPr>
    </w:p>
    <w:p w:rsidR="00A3074B" w:rsidRDefault="00A3074B" w:rsidP="00465143">
      <w:pPr>
        <w:spacing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465143" w:rsidRDefault="00465143" w:rsidP="00465143">
      <w:pPr>
        <w:spacing w:line="240" w:lineRule="auto"/>
        <w:jc w:val="both"/>
        <w:rPr>
          <w:b/>
          <w:color w:val="000000"/>
          <w:sz w:val="18"/>
        </w:rPr>
      </w:pPr>
      <w:r w:rsidRPr="0077385F">
        <w:rPr>
          <w:b/>
          <w:color w:val="000000"/>
          <w:sz w:val="18"/>
        </w:rPr>
        <w:t xml:space="preserve">About Merck </w:t>
      </w:r>
      <w:proofErr w:type="spellStart"/>
      <w:r w:rsidRPr="0077385F">
        <w:rPr>
          <w:b/>
          <w:color w:val="000000"/>
          <w:sz w:val="18"/>
        </w:rPr>
        <w:t>Serono</w:t>
      </w:r>
      <w:proofErr w:type="spellEnd"/>
    </w:p>
    <w:p w:rsidR="00465143" w:rsidRPr="0077385F" w:rsidRDefault="00465143" w:rsidP="00465143">
      <w:pPr>
        <w:spacing w:line="240" w:lineRule="auto"/>
        <w:jc w:val="both"/>
        <w:rPr>
          <w:b/>
          <w:color w:val="000000"/>
          <w:sz w:val="18"/>
        </w:rPr>
      </w:pPr>
    </w:p>
    <w:p w:rsidR="00465143" w:rsidRPr="00B45CB3" w:rsidRDefault="00465143" w:rsidP="00465143">
      <w:pPr>
        <w:pStyle w:val="BodyTextIndent"/>
        <w:spacing w:line="240" w:lineRule="auto"/>
        <w:ind w:left="0"/>
        <w:rPr>
          <w:rFonts w:ascii="Arial" w:hAnsi="Arial"/>
          <w:sz w:val="18"/>
        </w:rPr>
      </w:pPr>
      <w:r w:rsidRPr="00B45CB3">
        <w:rPr>
          <w:rFonts w:ascii="Arial" w:hAnsi="Arial"/>
          <w:sz w:val="18"/>
        </w:rPr>
        <w:t xml:space="preserve">Merck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 xml:space="preserve"> is the biopharmaceutical division of Merck </w:t>
      </w:r>
      <w:proofErr w:type="spellStart"/>
      <w:r w:rsidRPr="00B45CB3">
        <w:rPr>
          <w:rFonts w:ascii="Arial" w:hAnsi="Arial"/>
          <w:sz w:val="18"/>
        </w:rPr>
        <w:t>KGaA</w:t>
      </w:r>
      <w:proofErr w:type="spellEnd"/>
      <w:r w:rsidRPr="00B45CB3">
        <w:rPr>
          <w:rFonts w:ascii="Arial" w:hAnsi="Arial"/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45CB3">
            <w:rPr>
              <w:rFonts w:ascii="Arial" w:hAnsi="Arial"/>
              <w:sz w:val="18"/>
            </w:rPr>
            <w:t>Darmstadt</w:t>
          </w:r>
        </w:smartTag>
        <w:r w:rsidRPr="00B45CB3">
          <w:rPr>
            <w:rFonts w:ascii="Arial" w:hAnsi="Arial"/>
            <w:sz w:val="18"/>
          </w:rPr>
          <w:t xml:space="preserve">, </w:t>
        </w:r>
        <w:smartTag w:uri="urn:schemas-microsoft-com:office:smarttags" w:element="country-region">
          <w:r w:rsidRPr="00B45CB3">
            <w:rPr>
              <w:rFonts w:ascii="Arial" w:hAnsi="Arial"/>
              <w:sz w:val="18"/>
            </w:rPr>
            <w:t>Germany</w:t>
          </w:r>
        </w:smartTag>
      </w:smartTag>
      <w:r w:rsidRPr="00B45CB3">
        <w:rPr>
          <w:rFonts w:ascii="Arial" w:hAnsi="Arial"/>
          <w:sz w:val="18"/>
        </w:rPr>
        <w:t xml:space="preserve">, </w:t>
      </w:r>
      <w:proofErr w:type="gramStart"/>
      <w:r w:rsidRPr="00B45CB3">
        <w:rPr>
          <w:rFonts w:ascii="Arial" w:hAnsi="Arial"/>
          <w:sz w:val="18"/>
        </w:rPr>
        <w:t>a</w:t>
      </w:r>
      <w:proofErr w:type="gramEnd"/>
      <w:r w:rsidRPr="00B45CB3">
        <w:rPr>
          <w:rFonts w:ascii="Arial" w:hAnsi="Arial"/>
          <w:sz w:val="18"/>
        </w:rPr>
        <w:t xml:space="preserve"> global pharmaceutical and chemical company. Headquartered in </w:t>
      </w:r>
      <w:smartTag w:uri="urn:schemas-microsoft-com:office:smarttags" w:element="place">
        <w:smartTag w:uri="urn:schemas-microsoft-com:office:smarttags" w:element="City">
          <w:r w:rsidRPr="00B45CB3">
            <w:rPr>
              <w:rFonts w:ascii="Arial" w:hAnsi="Arial"/>
              <w:sz w:val="18"/>
            </w:rPr>
            <w:t>Geneva</w:t>
          </w:r>
        </w:smartTag>
        <w:r w:rsidRPr="00B45CB3">
          <w:rPr>
            <w:rFonts w:ascii="Arial" w:hAnsi="Arial"/>
            <w:sz w:val="18"/>
          </w:rPr>
          <w:t xml:space="preserve">, </w:t>
        </w:r>
        <w:smartTag w:uri="urn:schemas-microsoft-com:office:smarttags" w:element="country-region">
          <w:r w:rsidRPr="00B45CB3">
            <w:rPr>
              <w:rFonts w:ascii="Arial" w:hAnsi="Arial"/>
              <w:sz w:val="18"/>
            </w:rPr>
            <w:t>Switzerland</w:t>
          </w:r>
        </w:smartTag>
      </w:smartTag>
      <w:r w:rsidRPr="00B45CB3">
        <w:rPr>
          <w:rFonts w:ascii="Arial" w:hAnsi="Arial"/>
          <w:sz w:val="18"/>
        </w:rPr>
        <w:t xml:space="preserve">, Merck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 xml:space="preserve"> discovers, develops, manufactures and markets prescription medicines of both chemical and biological origin in specialist indications. In the </w:t>
      </w:r>
      <w:smartTag w:uri="urn:schemas-microsoft-com:office:smarttags" w:element="country-region">
        <w:r w:rsidRPr="00B45CB3">
          <w:rPr>
            <w:rFonts w:ascii="Arial" w:hAnsi="Arial"/>
            <w:sz w:val="18"/>
          </w:rPr>
          <w:t>United States</w:t>
        </w:r>
      </w:smartTag>
      <w:r w:rsidRPr="00B45CB3">
        <w:rPr>
          <w:rFonts w:ascii="Arial" w:hAnsi="Arial"/>
          <w:sz w:val="18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B45CB3">
            <w:rPr>
              <w:rFonts w:ascii="Arial" w:hAnsi="Arial"/>
              <w:sz w:val="18"/>
            </w:rPr>
            <w:t>Canada</w:t>
          </w:r>
        </w:smartTag>
      </w:smartTag>
      <w:r w:rsidRPr="00B45CB3">
        <w:rPr>
          <w:rFonts w:ascii="Arial" w:hAnsi="Arial"/>
          <w:sz w:val="18"/>
        </w:rPr>
        <w:t xml:space="preserve">, EMD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 xml:space="preserve"> operates as a separately incorporated affiliate of Merck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>.</w:t>
      </w:r>
    </w:p>
    <w:p w:rsidR="00465143" w:rsidRPr="00B45CB3" w:rsidRDefault="00465143" w:rsidP="00465143">
      <w:pPr>
        <w:pStyle w:val="BodyTextIndent"/>
        <w:spacing w:line="240" w:lineRule="auto"/>
        <w:ind w:left="0"/>
        <w:rPr>
          <w:rFonts w:ascii="Arial" w:hAnsi="Arial"/>
          <w:sz w:val="18"/>
        </w:rPr>
      </w:pPr>
    </w:p>
    <w:p w:rsidR="00465143" w:rsidRPr="00B45CB3" w:rsidRDefault="00465143" w:rsidP="00465143">
      <w:pPr>
        <w:pStyle w:val="BodyTextIndent"/>
        <w:spacing w:line="240" w:lineRule="auto"/>
        <w:ind w:left="0"/>
        <w:rPr>
          <w:rFonts w:ascii="Arial" w:hAnsi="Arial"/>
          <w:sz w:val="18"/>
        </w:rPr>
      </w:pPr>
      <w:r w:rsidRPr="00B45CB3">
        <w:rPr>
          <w:rFonts w:ascii="Arial" w:hAnsi="Arial"/>
          <w:sz w:val="18"/>
        </w:rPr>
        <w:t xml:space="preserve">Merck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 xml:space="preserve"> has leading brands serving patients with cancer (</w:t>
      </w:r>
      <w:proofErr w:type="spellStart"/>
      <w:r w:rsidRPr="00B45CB3">
        <w:rPr>
          <w:rFonts w:ascii="Arial" w:hAnsi="Arial"/>
          <w:sz w:val="18"/>
        </w:rPr>
        <w:t>Erbitux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cetuximab</w:t>
      </w:r>
      <w:proofErr w:type="spellEnd"/>
      <w:r w:rsidRPr="00B45CB3">
        <w:rPr>
          <w:rFonts w:ascii="Arial" w:hAnsi="Arial"/>
          <w:sz w:val="18"/>
        </w:rPr>
        <w:t>), multiple sclerosis (</w:t>
      </w:r>
      <w:proofErr w:type="spellStart"/>
      <w:r w:rsidRPr="00B45CB3">
        <w:rPr>
          <w:rFonts w:ascii="Arial" w:hAnsi="Arial"/>
          <w:sz w:val="18"/>
        </w:rPr>
        <w:t>Rebif</w:t>
      </w:r>
      <w:proofErr w:type="spellEnd"/>
      <w:r w:rsidRPr="00B45CB3">
        <w:rPr>
          <w:rFonts w:ascii="Arial" w:hAnsi="Arial"/>
          <w:sz w:val="18"/>
        </w:rPr>
        <w:t>®, interferon beta-1a), infertility (</w:t>
      </w:r>
      <w:proofErr w:type="spellStart"/>
      <w:r w:rsidRPr="00B45CB3">
        <w:rPr>
          <w:rFonts w:ascii="Arial" w:hAnsi="Arial"/>
          <w:sz w:val="18"/>
        </w:rPr>
        <w:t>Gonal</w:t>
      </w:r>
      <w:proofErr w:type="spellEnd"/>
      <w:r w:rsidRPr="00B45CB3">
        <w:rPr>
          <w:rFonts w:ascii="Arial" w:hAnsi="Arial"/>
          <w:sz w:val="18"/>
        </w:rPr>
        <w:t xml:space="preserve">-f®, </w:t>
      </w:r>
      <w:proofErr w:type="spellStart"/>
      <w:r w:rsidRPr="00B45CB3">
        <w:rPr>
          <w:rFonts w:ascii="Arial" w:hAnsi="Arial"/>
          <w:sz w:val="18"/>
        </w:rPr>
        <w:t>follitropin</w:t>
      </w:r>
      <w:proofErr w:type="spellEnd"/>
      <w:r w:rsidRPr="00B45CB3">
        <w:rPr>
          <w:rFonts w:ascii="Arial" w:hAnsi="Arial"/>
          <w:sz w:val="18"/>
        </w:rPr>
        <w:t xml:space="preserve"> </w:t>
      </w:r>
      <w:proofErr w:type="spellStart"/>
      <w:r w:rsidRPr="00B45CB3">
        <w:rPr>
          <w:rFonts w:ascii="Arial" w:hAnsi="Arial"/>
          <w:sz w:val="18"/>
        </w:rPr>
        <w:t>alfa</w:t>
      </w:r>
      <w:proofErr w:type="spellEnd"/>
      <w:r w:rsidRPr="00B45CB3">
        <w:rPr>
          <w:rFonts w:ascii="Arial" w:hAnsi="Arial"/>
          <w:sz w:val="18"/>
        </w:rPr>
        <w:t>), endocrine and metabolic disorders (</w:t>
      </w:r>
      <w:proofErr w:type="spellStart"/>
      <w:r w:rsidRPr="00B45CB3">
        <w:rPr>
          <w:rFonts w:ascii="Arial" w:hAnsi="Arial"/>
          <w:sz w:val="18"/>
        </w:rPr>
        <w:t>Saizen</w:t>
      </w:r>
      <w:proofErr w:type="spellEnd"/>
      <w:r w:rsidRPr="00B45CB3">
        <w:rPr>
          <w:rFonts w:ascii="Arial" w:hAnsi="Arial"/>
          <w:sz w:val="18"/>
        </w:rPr>
        <w:t xml:space="preserve">® and </w:t>
      </w:r>
      <w:proofErr w:type="spellStart"/>
      <w:r w:rsidRPr="00B45CB3">
        <w:rPr>
          <w:rFonts w:ascii="Arial" w:hAnsi="Arial"/>
          <w:sz w:val="18"/>
        </w:rPr>
        <w:t>Serostim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somatropin</w:t>
      </w:r>
      <w:proofErr w:type="spellEnd"/>
      <w:r w:rsidRPr="00B45CB3">
        <w:rPr>
          <w:rFonts w:ascii="Arial" w:hAnsi="Arial"/>
          <w:sz w:val="18"/>
        </w:rPr>
        <w:t>), (</w:t>
      </w:r>
      <w:proofErr w:type="spellStart"/>
      <w:r w:rsidRPr="00B45CB3">
        <w:rPr>
          <w:rFonts w:ascii="Arial" w:hAnsi="Arial"/>
          <w:sz w:val="18"/>
        </w:rPr>
        <w:t>Kuvan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sapropterin</w:t>
      </w:r>
      <w:proofErr w:type="spellEnd"/>
      <w:r w:rsidRPr="00B45CB3">
        <w:rPr>
          <w:rFonts w:ascii="Arial" w:hAnsi="Arial"/>
          <w:sz w:val="18"/>
        </w:rPr>
        <w:t xml:space="preserve"> </w:t>
      </w:r>
      <w:proofErr w:type="spellStart"/>
      <w:r w:rsidRPr="00B45CB3">
        <w:rPr>
          <w:rFonts w:ascii="Arial" w:hAnsi="Arial"/>
          <w:sz w:val="18"/>
        </w:rPr>
        <w:t>dihydrochloride</w:t>
      </w:r>
      <w:proofErr w:type="spellEnd"/>
      <w:r w:rsidRPr="00B45CB3">
        <w:rPr>
          <w:rFonts w:ascii="Arial" w:hAnsi="Arial"/>
          <w:sz w:val="18"/>
        </w:rPr>
        <w:t>), (</w:t>
      </w:r>
      <w:proofErr w:type="spellStart"/>
      <w:r w:rsidRPr="00B45CB3">
        <w:rPr>
          <w:rFonts w:ascii="Arial" w:hAnsi="Arial"/>
          <w:sz w:val="18"/>
        </w:rPr>
        <w:t>Egrifta</w:t>
      </w:r>
      <w:proofErr w:type="spellEnd"/>
      <w:r w:rsidRPr="00B45CB3">
        <w:rPr>
          <w:rFonts w:ascii="Arial" w:hAnsi="Arial"/>
          <w:sz w:val="18"/>
        </w:rPr>
        <w:t xml:space="preserve">™, </w:t>
      </w:r>
      <w:proofErr w:type="spellStart"/>
      <w:r w:rsidRPr="00B45CB3">
        <w:rPr>
          <w:rFonts w:ascii="Arial" w:hAnsi="Arial"/>
          <w:sz w:val="18"/>
        </w:rPr>
        <w:t>tesamorelin</w:t>
      </w:r>
      <w:proofErr w:type="spellEnd"/>
      <w:r w:rsidRPr="00B45CB3">
        <w:rPr>
          <w:rFonts w:ascii="Arial" w:hAnsi="Arial"/>
          <w:sz w:val="18"/>
        </w:rPr>
        <w:t xml:space="preserve">), as well as </w:t>
      </w:r>
      <w:proofErr w:type="spellStart"/>
      <w:r w:rsidRPr="00B45CB3">
        <w:rPr>
          <w:rFonts w:ascii="Arial" w:hAnsi="Arial"/>
          <w:sz w:val="18"/>
        </w:rPr>
        <w:t>cardiometabolic</w:t>
      </w:r>
      <w:proofErr w:type="spellEnd"/>
      <w:r w:rsidRPr="00B45CB3">
        <w:rPr>
          <w:rFonts w:ascii="Arial" w:hAnsi="Arial"/>
          <w:sz w:val="18"/>
        </w:rPr>
        <w:t xml:space="preserve"> diseases (</w:t>
      </w:r>
      <w:proofErr w:type="spellStart"/>
      <w:r w:rsidRPr="00B45CB3">
        <w:rPr>
          <w:rFonts w:ascii="Arial" w:hAnsi="Arial"/>
          <w:sz w:val="18"/>
        </w:rPr>
        <w:t>Glucophage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metformin</w:t>
      </w:r>
      <w:proofErr w:type="spellEnd"/>
      <w:r w:rsidRPr="00B45CB3">
        <w:rPr>
          <w:rFonts w:ascii="Arial" w:hAnsi="Arial"/>
          <w:sz w:val="18"/>
        </w:rPr>
        <w:t>), (</w:t>
      </w:r>
      <w:proofErr w:type="spellStart"/>
      <w:r w:rsidRPr="00B45CB3">
        <w:rPr>
          <w:rFonts w:ascii="Arial" w:hAnsi="Arial"/>
          <w:sz w:val="18"/>
        </w:rPr>
        <w:t>Concor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bisoprolol</w:t>
      </w:r>
      <w:proofErr w:type="spellEnd"/>
      <w:r w:rsidRPr="00B45CB3">
        <w:rPr>
          <w:rFonts w:ascii="Arial" w:hAnsi="Arial"/>
          <w:sz w:val="18"/>
        </w:rPr>
        <w:t>), (</w:t>
      </w:r>
      <w:proofErr w:type="spellStart"/>
      <w:r w:rsidRPr="00B45CB3">
        <w:rPr>
          <w:rFonts w:ascii="Arial" w:hAnsi="Arial"/>
          <w:sz w:val="18"/>
        </w:rPr>
        <w:t>Euthyrox</w:t>
      </w:r>
      <w:proofErr w:type="spellEnd"/>
      <w:r w:rsidRPr="00B45CB3">
        <w:rPr>
          <w:rFonts w:ascii="Arial" w:hAnsi="Arial"/>
          <w:sz w:val="18"/>
        </w:rPr>
        <w:t xml:space="preserve">®, </w:t>
      </w:r>
      <w:proofErr w:type="spellStart"/>
      <w:r w:rsidRPr="00B45CB3">
        <w:rPr>
          <w:rFonts w:ascii="Arial" w:hAnsi="Arial"/>
          <w:sz w:val="18"/>
        </w:rPr>
        <w:t>levothyroxine</w:t>
      </w:r>
      <w:proofErr w:type="spellEnd"/>
      <w:r w:rsidRPr="00B45CB3">
        <w:rPr>
          <w:rFonts w:ascii="Arial" w:hAnsi="Arial"/>
          <w:sz w:val="18"/>
        </w:rPr>
        <w:t>). Not all products are available in all markets.</w:t>
      </w:r>
    </w:p>
    <w:p w:rsidR="00465143" w:rsidRPr="00B45CB3" w:rsidRDefault="00465143" w:rsidP="00465143">
      <w:pPr>
        <w:pStyle w:val="BodyTextIndent"/>
        <w:spacing w:line="240" w:lineRule="auto"/>
        <w:rPr>
          <w:rFonts w:ascii="Arial" w:hAnsi="Arial"/>
          <w:sz w:val="18"/>
        </w:rPr>
      </w:pPr>
    </w:p>
    <w:p w:rsidR="00465143" w:rsidRDefault="00465143" w:rsidP="00465143">
      <w:pPr>
        <w:pStyle w:val="BodyTextIndent"/>
        <w:spacing w:line="240" w:lineRule="auto"/>
        <w:ind w:left="0"/>
        <w:rPr>
          <w:rFonts w:ascii="Arial" w:hAnsi="Arial" w:cs="Arial"/>
          <w:sz w:val="18"/>
          <w:szCs w:val="16"/>
        </w:rPr>
      </w:pPr>
      <w:r w:rsidRPr="00B45CB3">
        <w:rPr>
          <w:rFonts w:ascii="Arial" w:hAnsi="Arial"/>
          <w:sz w:val="18"/>
        </w:rPr>
        <w:t xml:space="preserve">With an annual R&amp;D expenditure of over € 1bn, Merck </w:t>
      </w:r>
      <w:proofErr w:type="spellStart"/>
      <w:r w:rsidRPr="00B45CB3">
        <w:rPr>
          <w:rFonts w:ascii="Arial" w:hAnsi="Arial"/>
          <w:sz w:val="18"/>
        </w:rPr>
        <w:t>Serono</w:t>
      </w:r>
      <w:proofErr w:type="spellEnd"/>
      <w:r w:rsidRPr="00B45CB3">
        <w:rPr>
          <w:rFonts w:ascii="Arial" w:hAnsi="Arial"/>
          <w:sz w:val="18"/>
        </w:rPr>
        <w:t xml:space="preserve"> is committed to growing its business in specialist-focused therapeutic areas including neurodegenerative diseases, oncology, fertility and endocrinology, as well as new areas potentially arising out of research and development in rheumatology.</w:t>
      </w:r>
    </w:p>
    <w:p w:rsidR="00465143" w:rsidRDefault="00465143" w:rsidP="00465143">
      <w:pPr>
        <w:pStyle w:val="BodyTextIndent"/>
        <w:spacing w:line="240" w:lineRule="auto"/>
        <w:ind w:left="0"/>
        <w:rPr>
          <w:rFonts w:ascii="Arial" w:hAnsi="Arial" w:cs="Arial"/>
          <w:sz w:val="18"/>
          <w:szCs w:val="16"/>
        </w:rPr>
      </w:pPr>
    </w:p>
    <w:p w:rsidR="00465143" w:rsidRDefault="00465143" w:rsidP="00465143">
      <w:pPr>
        <w:spacing w:line="240" w:lineRule="auto"/>
        <w:outlineLvl w:val="0"/>
        <w:rPr>
          <w:b/>
          <w:bCs/>
          <w:sz w:val="18"/>
        </w:rPr>
      </w:pPr>
      <w:r>
        <w:rPr>
          <w:b/>
          <w:bCs/>
          <w:sz w:val="18"/>
        </w:rPr>
        <w:t>About Merck</w:t>
      </w:r>
    </w:p>
    <w:p w:rsidR="00465143" w:rsidRDefault="00465143" w:rsidP="00465143">
      <w:pPr>
        <w:spacing w:line="240" w:lineRule="auto"/>
        <w:rPr>
          <w:sz w:val="18"/>
        </w:rPr>
      </w:pPr>
    </w:p>
    <w:p w:rsidR="00465143" w:rsidRDefault="00465143" w:rsidP="00465143">
      <w:pPr>
        <w:spacing w:line="240" w:lineRule="auto"/>
        <w:jc w:val="both"/>
        <w:rPr>
          <w:sz w:val="18"/>
          <w:szCs w:val="18"/>
        </w:rPr>
      </w:pPr>
      <w:r w:rsidRPr="00B45CB3">
        <w:rPr>
          <w:sz w:val="18"/>
          <w:szCs w:val="18"/>
        </w:rPr>
        <w:t xml:space="preserve">Merck is a global pharmaceutical and chemical company with total revenues of € 9.3 billion in 2010, a history that began in 1668, and a future shaped by more than 40,000 employees in 67 countries. Its success is characterized by innovations from entrepreneurial employees. Merck's operating activities come under the umbrella of Merck </w:t>
      </w:r>
      <w:proofErr w:type="spellStart"/>
      <w:r w:rsidRPr="00B45CB3">
        <w:rPr>
          <w:sz w:val="18"/>
          <w:szCs w:val="18"/>
        </w:rPr>
        <w:t>KGaA</w:t>
      </w:r>
      <w:proofErr w:type="spellEnd"/>
      <w:r w:rsidRPr="00B45CB3">
        <w:rPr>
          <w:sz w:val="18"/>
          <w:szCs w:val="18"/>
        </w:rPr>
        <w:t xml:space="preserve">, in which the Merck family holds an approximately 70% interest and free shareholders own the remaining approximately 30%. In 1917 the </w:t>
      </w:r>
      <w:smartTag w:uri="urn:schemas-microsoft-com:office:smarttags" w:element="country-region">
        <w:smartTag w:uri="urn:schemas-microsoft-com:office:smarttags" w:element="place">
          <w:r w:rsidRPr="00B45CB3">
            <w:rPr>
              <w:sz w:val="18"/>
              <w:szCs w:val="18"/>
            </w:rPr>
            <w:t>U.S.</w:t>
          </w:r>
        </w:smartTag>
      </w:smartTag>
      <w:r w:rsidRPr="00B45CB3">
        <w:rPr>
          <w:sz w:val="18"/>
          <w:szCs w:val="18"/>
        </w:rPr>
        <w:t xml:space="preserve"> subsidiary Merck &amp; Co. was expropriated and has been an independent company ever since.</w:t>
      </w:r>
    </w:p>
    <w:p w:rsidR="00465143" w:rsidRDefault="00465143" w:rsidP="00465143">
      <w:pPr>
        <w:spacing w:line="240" w:lineRule="auto"/>
        <w:jc w:val="both"/>
        <w:rPr>
          <w:b/>
          <w:bCs/>
          <w:sz w:val="18"/>
        </w:rPr>
      </w:pPr>
    </w:p>
    <w:p w:rsidR="00465143" w:rsidRDefault="00465143" w:rsidP="00AF1822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>
        <w:rPr>
          <w:rFonts w:cs="Arial"/>
          <w:color w:val="000000"/>
          <w:sz w:val="18"/>
          <w:szCs w:val="16"/>
        </w:rPr>
        <w:t xml:space="preserve">For more information, please visit </w:t>
      </w:r>
      <w:hyperlink r:id="rId12" w:history="1">
        <w:r w:rsidRPr="00F004CF">
          <w:rPr>
            <w:rStyle w:val="Hyperlink"/>
            <w:rFonts w:cs="Arial"/>
            <w:sz w:val="18"/>
            <w:szCs w:val="16"/>
          </w:rPr>
          <w:t>www.merckserono.com</w:t>
        </w:r>
      </w:hyperlink>
      <w:r>
        <w:rPr>
          <w:rFonts w:cs="Arial"/>
          <w:color w:val="000000"/>
          <w:sz w:val="18"/>
          <w:szCs w:val="16"/>
        </w:rPr>
        <w:t xml:space="preserve"> or </w:t>
      </w:r>
      <w:hyperlink r:id="rId13" w:history="1">
        <w:r w:rsidRPr="00F004CF">
          <w:rPr>
            <w:rStyle w:val="Hyperlink"/>
            <w:rFonts w:cs="Arial"/>
            <w:sz w:val="18"/>
            <w:szCs w:val="16"/>
          </w:rPr>
          <w:t>www.merck.de</w:t>
        </w:r>
      </w:hyperlink>
    </w:p>
    <w:sectPr w:rsidR="00465143" w:rsidSect="0099163A">
      <w:endnotePr>
        <w:numFmt w:val="decimal"/>
      </w:endnotePr>
      <w:type w:val="continuous"/>
      <w:pgSz w:w="11907" w:h="16840" w:code="9"/>
      <w:pgMar w:top="3661" w:right="2155" w:bottom="1418" w:left="1247" w:header="2410" w:footer="761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F1" w:rsidRDefault="001674F1">
      <w:r>
        <w:separator/>
      </w:r>
    </w:p>
  </w:endnote>
  <w:endnote w:type="continuationSeparator" w:id="0">
    <w:p w:rsidR="001674F1" w:rsidRDefault="001674F1">
      <w:r>
        <w:continuationSeparator/>
      </w:r>
    </w:p>
  </w:endnote>
  <w:endnote w:id="1">
    <w:p w:rsidR="001674F1" w:rsidRPr="006D314D" w:rsidRDefault="001674F1" w:rsidP="00C9314D">
      <w:pPr>
        <w:pStyle w:val="EndnoteText"/>
        <w:autoSpaceDE/>
        <w:autoSpaceDN/>
        <w:adjustRightInd/>
        <w:rPr>
          <w:rFonts w:ascii="Calibri" w:hAnsi="Calibri" w:cs="Times New Roman"/>
          <w:sz w:val="18"/>
          <w:szCs w:val="18"/>
        </w:rPr>
      </w:pPr>
      <w:r w:rsidRPr="006D314D">
        <w:rPr>
          <w:rStyle w:val="EndnoteReference"/>
          <w:sz w:val="18"/>
          <w:szCs w:val="18"/>
          <w:vertAlign w:val="baseline"/>
        </w:rPr>
        <w:endnoteRef/>
      </w:r>
      <w:r w:rsidRPr="006D314D">
        <w:rPr>
          <w:sz w:val="18"/>
          <w:szCs w:val="18"/>
        </w:rPr>
        <w:t xml:space="preserve"> O’Byrne K, et al. </w:t>
      </w:r>
      <w:smartTag w:uri="urn:schemas-microsoft-com:office:smarttags" w:element="place">
        <w:smartTag w:uri="urn:schemas-microsoft-com:office:smarttags" w:element="City">
          <w:r w:rsidRPr="006D314D">
            <w:rPr>
              <w:sz w:val="18"/>
              <w:szCs w:val="18"/>
            </w:rPr>
            <w:t>Chicago</w:t>
          </w:r>
        </w:smartTag>
      </w:smartTag>
      <w:r w:rsidRPr="006D314D">
        <w:rPr>
          <w:sz w:val="18"/>
          <w:szCs w:val="18"/>
        </w:rPr>
        <w:t xml:space="preserve"> Multidisciplinary Symposium in Thoracic Oncology 2010. Abstract No. LBOA1.</w:t>
      </w:r>
    </w:p>
  </w:endnote>
  <w:endnote w:id="2">
    <w:p w:rsidR="001674F1" w:rsidRPr="006D314D" w:rsidRDefault="001674F1" w:rsidP="00634ED3">
      <w:pPr>
        <w:pStyle w:val="EndnoteText"/>
        <w:autoSpaceDE/>
        <w:autoSpaceDN/>
        <w:adjustRightInd/>
        <w:rPr>
          <w:rFonts w:ascii="Calibri" w:hAnsi="Calibri" w:cs="Times New Roman"/>
          <w:sz w:val="18"/>
          <w:szCs w:val="18"/>
        </w:rPr>
      </w:pPr>
      <w:r w:rsidRPr="006D314D">
        <w:rPr>
          <w:sz w:val="18"/>
          <w:szCs w:val="18"/>
        </w:rPr>
        <w:endnoteRef/>
      </w:r>
      <w:r w:rsidRPr="006D314D">
        <w:rPr>
          <w:sz w:val="18"/>
          <w:szCs w:val="18"/>
        </w:rPr>
        <w:t xml:space="preserve"> </w:t>
      </w:r>
      <w:proofErr w:type="gramStart"/>
      <w:r w:rsidRPr="006D314D">
        <w:rPr>
          <w:sz w:val="18"/>
          <w:szCs w:val="18"/>
        </w:rPr>
        <w:t>European Lung Foundation.</w:t>
      </w:r>
      <w:proofErr w:type="gramEnd"/>
      <w:r w:rsidRPr="006D314D">
        <w:rPr>
          <w:sz w:val="18"/>
          <w:szCs w:val="18"/>
        </w:rPr>
        <w:t xml:space="preserve"> </w:t>
      </w:r>
      <w:hyperlink r:id="rId1" w:history="1">
        <w:r w:rsidRPr="006D314D">
          <w:rPr>
            <w:rStyle w:val="Hyperlink"/>
            <w:sz w:val="18"/>
            <w:szCs w:val="18"/>
          </w:rPr>
          <w:t>www.european-lung-foundation.org/index.php?id=65</w:t>
        </w:r>
      </w:hyperlink>
      <w:r w:rsidRPr="006D314D">
        <w:rPr>
          <w:sz w:val="18"/>
          <w:szCs w:val="18"/>
        </w:rPr>
        <w:t>.</w:t>
      </w:r>
    </w:p>
  </w:endnote>
  <w:endnote w:id="3">
    <w:p w:rsidR="001674F1" w:rsidRPr="006D314D" w:rsidRDefault="001674F1" w:rsidP="00634ED3">
      <w:pPr>
        <w:pStyle w:val="EndnoteText"/>
        <w:autoSpaceDE/>
        <w:autoSpaceDN/>
        <w:adjustRightInd/>
        <w:rPr>
          <w:rFonts w:ascii="Calibri" w:hAnsi="Calibri" w:cs="Times New Roman"/>
          <w:sz w:val="18"/>
          <w:szCs w:val="18"/>
        </w:rPr>
      </w:pPr>
      <w:r w:rsidRPr="006D314D">
        <w:rPr>
          <w:sz w:val="18"/>
          <w:szCs w:val="18"/>
        </w:rPr>
        <w:endnoteRef/>
      </w:r>
      <w:r w:rsidRPr="006D314D">
        <w:rPr>
          <w:sz w:val="18"/>
          <w:szCs w:val="18"/>
        </w:rPr>
        <w:t xml:space="preserve"> </w:t>
      </w:r>
      <w:proofErr w:type="gramStart"/>
      <w:r w:rsidRPr="006D314D">
        <w:rPr>
          <w:sz w:val="18"/>
          <w:szCs w:val="18"/>
        </w:rPr>
        <w:t>European Lung Foundation.</w:t>
      </w:r>
      <w:proofErr w:type="gramEnd"/>
      <w:r w:rsidRPr="006D314D">
        <w:rPr>
          <w:sz w:val="18"/>
          <w:szCs w:val="18"/>
        </w:rPr>
        <w:t xml:space="preserve"> </w:t>
      </w:r>
      <w:hyperlink r:id="rId2" w:history="1">
        <w:r w:rsidRPr="006D314D">
          <w:rPr>
            <w:rStyle w:val="Hyperlink"/>
            <w:sz w:val="18"/>
            <w:szCs w:val="18"/>
          </w:rPr>
          <w:t>www.european-lung-foundation.org/index.php?id=65</w:t>
        </w:r>
      </w:hyperlink>
      <w:r w:rsidRPr="006D314D">
        <w:rPr>
          <w:sz w:val="18"/>
          <w:szCs w:val="18"/>
        </w:rPr>
        <w:t>.</w:t>
      </w:r>
    </w:p>
  </w:endnote>
  <w:endnote w:id="4">
    <w:p w:rsidR="001674F1" w:rsidRPr="006D314D" w:rsidRDefault="001674F1" w:rsidP="00A3074B">
      <w:pPr>
        <w:pStyle w:val="EndnoteText"/>
        <w:autoSpaceDE/>
        <w:autoSpaceDN/>
        <w:adjustRightInd/>
        <w:rPr>
          <w:rFonts w:ascii="Calibri" w:hAnsi="Calibri" w:cs="Times New Roman"/>
          <w:sz w:val="18"/>
          <w:szCs w:val="18"/>
        </w:rPr>
      </w:pPr>
      <w:r w:rsidRPr="006D314D">
        <w:rPr>
          <w:sz w:val="18"/>
          <w:szCs w:val="18"/>
        </w:rPr>
        <w:endnoteRef/>
      </w:r>
      <w:r w:rsidRPr="006D314D">
        <w:rPr>
          <w:sz w:val="18"/>
          <w:szCs w:val="18"/>
        </w:rPr>
        <w:t xml:space="preserve"> </w:t>
      </w:r>
      <w:proofErr w:type="gramStart"/>
      <w:r w:rsidRPr="006D314D">
        <w:rPr>
          <w:sz w:val="18"/>
          <w:szCs w:val="18"/>
        </w:rPr>
        <w:t>European Lung Foundation.</w:t>
      </w:r>
      <w:proofErr w:type="gramEnd"/>
      <w:r w:rsidRPr="006D314D">
        <w:rPr>
          <w:sz w:val="18"/>
          <w:szCs w:val="18"/>
        </w:rPr>
        <w:t xml:space="preserve"> </w:t>
      </w:r>
      <w:hyperlink r:id="rId3" w:history="1">
        <w:r w:rsidRPr="006D314D">
          <w:rPr>
            <w:rStyle w:val="Hyperlink"/>
            <w:sz w:val="18"/>
            <w:szCs w:val="18"/>
          </w:rPr>
          <w:t>www.european-lung-foundation.org/index.php?id=65</w:t>
        </w:r>
      </w:hyperlink>
      <w:r w:rsidRPr="006D314D">
        <w:rPr>
          <w:sz w:val="18"/>
          <w:szCs w:val="18"/>
        </w:rPr>
        <w:t>.</w:t>
      </w:r>
    </w:p>
  </w:endnote>
  <w:endnote w:id="5">
    <w:p w:rsidR="001674F1" w:rsidRPr="006D314D" w:rsidRDefault="001674F1" w:rsidP="00A3074B">
      <w:pPr>
        <w:pStyle w:val="EndnoteText"/>
        <w:autoSpaceDE/>
        <w:autoSpaceDN/>
        <w:adjustRightInd/>
        <w:rPr>
          <w:rFonts w:ascii="Calibri" w:hAnsi="Calibri" w:cs="Times New Roman"/>
          <w:sz w:val="18"/>
          <w:szCs w:val="18"/>
        </w:rPr>
      </w:pPr>
      <w:r w:rsidRPr="006D314D">
        <w:rPr>
          <w:sz w:val="18"/>
          <w:szCs w:val="18"/>
        </w:rPr>
        <w:endnoteRef/>
      </w:r>
      <w:r w:rsidRPr="006D314D">
        <w:rPr>
          <w:sz w:val="18"/>
          <w:szCs w:val="18"/>
        </w:rPr>
        <w:t xml:space="preserve"> </w:t>
      </w:r>
      <w:proofErr w:type="gramStart"/>
      <w:r w:rsidRPr="006D314D">
        <w:rPr>
          <w:sz w:val="18"/>
          <w:szCs w:val="18"/>
        </w:rPr>
        <w:t>European Lung Foundation.</w:t>
      </w:r>
      <w:proofErr w:type="gramEnd"/>
      <w:r w:rsidRPr="006D314D">
        <w:rPr>
          <w:sz w:val="18"/>
          <w:szCs w:val="18"/>
        </w:rPr>
        <w:t xml:space="preserve"> </w:t>
      </w:r>
      <w:hyperlink r:id="rId4" w:history="1">
        <w:r w:rsidRPr="006D314D">
          <w:rPr>
            <w:rStyle w:val="Hyperlink"/>
            <w:sz w:val="18"/>
            <w:szCs w:val="18"/>
          </w:rPr>
          <w:t>www.european-lung-foundation.org/index.php?id=65</w:t>
        </w:r>
      </w:hyperlink>
      <w:r w:rsidRPr="006D314D">
        <w:rPr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Roti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1" w:rsidRDefault="001674F1" w:rsidP="00E27378">
    <w:pPr>
      <w:pStyle w:val="Seitenangabe"/>
      <w:ind w:right="0"/>
      <w:jc w:val="right"/>
    </w:pPr>
    <w:r>
      <w:t xml:space="preserve">Page </w:t>
    </w:r>
    <w:fldSimple w:instr=" PAGE ">
      <w:r w:rsidR="001658C8">
        <w:rPr>
          <w:noProof/>
        </w:rPr>
        <w:t>1</w:t>
      </w:r>
    </w:fldSimple>
    <w:r>
      <w:t xml:space="preserve"> of </w:t>
    </w:r>
    <w:fldSimple w:instr=" NUMPAGES ">
      <w:r w:rsidR="001658C8">
        <w:rPr>
          <w:noProof/>
        </w:rPr>
        <w:t>3</w:t>
      </w:r>
    </w:fldSimple>
  </w:p>
  <w:p w:rsidR="001674F1" w:rsidRDefault="001674F1" w:rsidP="00E27378">
    <w:pPr>
      <w:pStyle w:val="Footer"/>
      <w:spacing w:after="60"/>
      <w:rPr>
        <w:sz w:val="24"/>
      </w:rPr>
    </w:pPr>
    <w:r>
      <w:rPr>
        <w:sz w:val="24"/>
      </w:rPr>
      <w:t xml:space="preserve">Merck </w:t>
    </w:r>
    <w:proofErr w:type="spellStart"/>
    <w:r>
      <w:rPr>
        <w:sz w:val="24"/>
      </w:rPr>
      <w:t>KGaA</w:t>
    </w:r>
    <w:proofErr w:type="spellEnd"/>
  </w:p>
  <w:p w:rsidR="001674F1" w:rsidRDefault="001674F1" w:rsidP="00E27378">
    <w:pPr>
      <w:pStyle w:val="Footer"/>
      <w:tabs>
        <w:tab w:val="clear" w:pos="2835"/>
        <w:tab w:val="clear" w:pos="5670"/>
        <w:tab w:val="left" w:pos="2694"/>
        <w:tab w:val="left" w:pos="6379"/>
      </w:tabs>
    </w:pPr>
    <w:r>
      <w:t xml:space="preserve">Frankfurter </w:t>
    </w:r>
    <w:proofErr w:type="spellStart"/>
    <w:r>
      <w:t>Strasse</w:t>
    </w:r>
    <w:proofErr w:type="spellEnd"/>
    <w:r>
      <w:t xml:space="preserve"> 250</w:t>
    </w:r>
    <w:r>
      <w:tab/>
    </w:r>
    <w:r>
      <w:tab/>
      <w:t>Global Business Unit Oncology</w:t>
    </w:r>
  </w:p>
  <w:p w:rsidR="001674F1" w:rsidRDefault="001674F1" w:rsidP="00E27378">
    <w:pPr>
      <w:pStyle w:val="Footer"/>
      <w:tabs>
        <w:tab w:val="clear" w:pos="2835"/>
        <w:tab w:val="clear" w:pos="5670"/>
        <w:tab w:val="left" w:pos="2694"/>
        <w:tab w:val="left" w:pos="6379"/>
      </w:tabs>
      <w:rPr>
        <w:lang w:val="de-DE"/>
      </w:rPr>
    </w:pPr>
    <w:r>
      <w:rPr>
        <w:lang w:val="de-DE"/>
      </w:rPr>
      <w:t>64293 Darmstadt</w:t>
    </w:r>
    <w:r>
      <w:rPr>
        <w:lang w:val="de-DE"/>
      </w:rPr>
      <w:tab/>
    </w:r>
    <w:r>
      <w:rPr>
        <w:lang w:val="de-DE"/>
      </w:rPr>
      <w:tab/>
    </w:r>
  </w:p>
  <w:p w:rsidR="001674F1" w:rsidRDefault="001674F1" w:rsidP="00E27378">
    <w:pPr>
      <w:pStyle w:val="Footer"/>
      <w:tabs>
        <w:tab w:val="clear" w:pos="2835"/>
        <w:tab w:val="clear" w:pos="5670"/>
        <w:tab w:val="left" w:pos="2694"/>
        <w:tab w:val="left" w:pos="6379"/>
      </w:tabs>
      <w:rPr>
        <w:lang w:val="de-DE"/>
      </w:rPr>
    </w:pPr>
    <w:r>
      <w:rPr>
        <w:lang w:val="de-DE"/>
      </w:rPr>
      <w:t>Hotline +49 (0) 6151 72-5000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Tel. +49 (0) 6151 72-2274</w:t>
    </w:r>
  </w:p>
  <w:p w:rsidR="001674F1" w:rsidRDefault="001674F1" w:rsidP="00E27378">
    <w:pPr>
      <w:pStyle w:val="Footer"/>
      <w:rPr>
        <w:lang w:val="de-DE"/>
      </w:rPr>
    </w:pPr>
    <w:hyperlink r:id="rId1" w:history="1">
      <w:r>
        <w:rPr>
          <w:rStyle w:val="Hyperlink"/>
          <w:lang w:val="de-DE"/>
        </w:rPr>
        <w:t>www.merck.de</w:t>
      </w:r>
    </w:hyperlink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raphaela.farrenkopf@merck.de</w:t>
    </w:r>
  </w:p>
  <w:p w:rsidR="001674F1" w:rsidRDefault="001674F1" w:rsidP="00E27378">
    <w:pPr>
      <w:pStyle w:val="Footer"/>
      <w:spacing w:after="60"/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1" w:rsidRDefault="001674F1">
    <w:pPr>
      <w:pStyle w:val="Seitenangabe"/>
      <w:ind w:right="0"/>
      <w:jc w:val="right"/>
    </w:pPr>
    <w:r>
      <w:t xml:space="preserve">Page </w:t>
    </w:r>
    <w:fldSimple w:instr=" PAGE ">
      <w:r w:rsidR="001658C8">
        <w:rPr>
          <w:noProof/>
        </w:rPr>
        <w:t>2</w:t>
      </w:r>
    </w:fldSimple>
    <w:r>
      <w:t xml:space="preserve"> of </w:t>
    </w:r>
    <w:fldSimple w:instr=" NUMPAGES ">
      <w:r w:rsidR="001658C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F1" w:rsidRDefault="001674F1">
      <w:r>
        <w:separator/>
      </w:r>
    </w:p>
  </w:footnote>
  <w:footnote w:type="continuationSeparator" w:id="0">
    <w:p w:rsidR="001674F1" w:rsidRDefault="0016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1" w:rsidRDefault="001674F1">
    <w:pPr>
      <w:pStyle w:val="Header"/>
      <w:tabs>
        <w:tab w:val="clear" w:pos="9072"/>
        <w:tab w:val="right" w:pos="8505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6041390</wp:posOffset>
          </wp:positionH>
          <wp:positionV relativeFrom="page">
            <wp:posOffset>431800</wp:posOffset>
          </wp:positionV>
          <wp:extent cx="1090930" cy="767715"/>
          <wp:effectExtent l="19050" t="0" r="0" b="0"/>
          <wp:wrapNone/>
          <wp:docPr id="2" name="Picture 16" descr="Merck_Master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rck_Master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821055</wp:posOffset>
          </wp:positionH>
          <wp:positionV relativeFrom="page">
            <wp:posOffset>687705</wp:posOffset>
          </wp:positionV>
          <wp:extent cx="1814195" cy="453390"/>
          <wp:effectExtent l="19050" t="0" r="0" b="0"/>
          <wp:wrapNone/>
          <wp:docPr id="1" name="Picture 15" descr="MS_Master Large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S_Master Large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1" w:rsidRDefault="001674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1" w:rsidRDefault="001674F1">
    <w:pPr>
      <w:pStyle w:val="Standardfettb"/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973455</wp:posOffset>
          </wp:positionH>
          <wp:positionV relativeFrom="page">
            <wp:posOffset>840105</wp:posOffset>
          </wp:positionV>
          <wp:extent cx="1814195" cy="453390"/>
          <wp:effectExtent l="19050" t="0" r="0" b="0"/>
          <wp:wrapNone/>
          <wp:docPr id="3" name="Picture 15" descr="MS_Master Large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S_Master Large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6193790</wp:posOffset>
          </wp:positionH>
          <wp:positionV relativeFrom="page">
            <wp:posOffset>584200</wp:posOffset>
          </wp:positionV>
          <wp:extent cx="1090930" cy="767715"/>
          <wp:effectExtent l="19050" t="0" r="0" b="0"/>
          <wp:wrapNone/>
          <wp:docPr id="4" name="Picture 16" descr="Merck_Master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rck_Masterlogo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News Release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2F1"/>
    <w:multiLevelType w:val="hybridMultilevel"/>
    <w:tmpl w:val="2138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3948"/>
    <w:multiLevelType w:val="hybridMultilevel"/>
    <w:tmpl w:val="34CC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749A7"/>
    <w:multiLevelType w:val="hybridMultilevel"/>
    <w:tmpl w:val="FC7EF264"/>
    <w:lvl w:ilvl="0" w:tplc="0986D8C2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514746FF"/>
    <w:multiLevelType w:val="hybridMultilevel"/>
    <w:tmpl w:val="C92AFDE2"/>
    <w:lvl w:ilvl="0" w:tplc="83888206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E27378"/>
    <w:rsid w:val="000011ED"/>
    <w:rsid w:val="0000152B"/>
    <w:rsid w:val="00001AD1"/>
    <w:rsid w:val="00002B48"/>
    <w:rsid w:val="00003BAF"/>
    <w:rsid w:val="00004EB5"/>
    <w:rsid w:val="0000506E"/>
    <w:rsid w:val="00005AFF"/>
    <w:rsid w:val="00010695"/>
    <w:rsid w:val="00010DFE"/>
    <w:rsid w:val="00010E2C"/>
    <w:rsid w:val="00010F4E"/>
    <w:rsid w:val="00020086"/>
    <w:rsid w:val="0002032C"/>
    <w:rsid w:val="00021F37"/>
    <w:rsid w:val="00022D70"/>
    <w:rsid w:val="00022D7F"/>
    <w:rsid w:val="000249E3"/>
    <w:rsid w:val="0002589C"/>
    <w:rsid w:val="00027F0F"/>
    <w:rsid w:val="00027F61"/>
    <w:rsid w:val="000333B7"/>
    <w:rsid w:val="0003559A"/>
    <w:rsid w:val="00040154"/>
    <w:rsid w:val="00040924"/>
    <w:rsid w:val="000437A4"/>
    <w:rsid w:val="00043FD5"/>
    <w:rsid w:val="000460DB"/>
    <w:rsid w:val="00046409"/>
    <w:rsid w:val="000471A4"/>
    <w:rsid w:val="00047A8D"/>
    <w:rsid w:val="00051ABF"/>
    <w:rsid w:val="0005325F"/>
    <w:rsid w:val="000544B0"/>
    <w:rsid w:val="00054A23"/>
    <w:rsid w:val="0005506F"/>
    <w:rsid w:val="000555DC"/>
    <w:rsid w:val="00057561"/>
    <w:rsid w:val="000610AC"/>
    <w:rsid w:val="00066954"/>
    <w:rsid w:val="00067154"/>
    <w:rsid w:val="00070504"/>
    <w:rsid w:val="00074BD1"/>
    <w:rsid w:val="000752C9"/>
    <w:rsid w:val="00075EC0"/>
    <w:rsid w:val="000763AF"/>
    <w:rsid w:val="0008083F"/>
    <w:rsid w:val="00080FF5"/>
    <w:rsid w:val="00081445"/>
    <w:rsid w:val="00081882"/>
    <w:rsid w:val="00081F2A"/>
    <w:rsid w:val="000827B6"/>
    <w:rsid w:val="00083B2D"/>
    <w:rsid w:val="000842BA"/>
    <w:rsid w:val="000862B3"/>
    <w:rsid w:val="00086B92"/>
    <w:rsid w:val="0009271A"/>
    <w:rsid w:val="000938B8"/>
    <w:rsid w:val="00094A2D"/>
    <w:rsid w:val="0009570B"/>
    <w:rsid w:val="00095C8E"/>
    <w:rsid w:val="000A09FC"/>
    <w:rsid w:val="000A1982"/>
    <w:rsid w:val="000A3467"/>
    <w:rsid w:val="000A5BD5"/>
    <w:rsid w:val="000A7961"/>
    <w:rsid w:val="000B1619"/>
    <w:rsid w:val="000B3330"/>
    <w:rsid w:val="000B33E5"/>
    <w:rsid w:val="000B40FC"/>
    <w:rsid w:val="000B6FB8"/>
    <w:rsid w:val="000B73ED"/>
    <w:rsid w:val="000C169A"/>
    <w:rsid w:val="000D0189"/>
    <w:rsid w:val="000D0324"/>
    <w:rsid w:val="000D0606"/>
    <w:rsid w:val="000D54C1"/>
    <w:rsid w:val="000E09C3"/>
    <w:rsid w:val="000E0AD0"/>
    <w:rsid w:val="000E29E6"/>
    <w:rsid w:val="000E362B"/>
    <w:rsid w:val="000E60BF"/>
    <w:rsid w:val="000E6542"/>
    <w:rsid w:val="000E7C02"/>
    <w:rsid w:val="000F324F"/>
    <w:rsid w:val="000F3A41"/>
    <w:rsid w:val="000F4C9D"/>
    <w:rsid w:val="000F4D8D"/>
    <w:rsid w:val="000F7650"/>
    <w:rsid w:val="000F7E96"/>
    <w:rsid w:val="001023E8"/>
    <w:rsid w:val="00103390"/>
    <w:rsid w:val="001046C1"/>
    <w:rsid w:val="00110533"/>
    <w:rsid w:val="001108D3"/>
    <w:rsid w:val="00111B5D"/>
    <w:rsid w:val="001131BF"/>
    <w:rsid w:val="001169E0"/>
    <w:rsid w:val="00116C40"/>
    <w:rsid w:val="001229A3"/>
    <w:rsid w:val="0012335E"/>
    <w:rsid w:val="00123460"/>
    <w:rsid w:val="00123730"/>
    <w:rsid w:val="00123F29"/>
    <w:rsid w:val="0012446A"/>
    <w:rsid w:val="0012534C"/>
    <w:rsid w:val="0012601E"/>
    <w:rsid w:val="00126A2D"/>
    <w:rsid w:val="001273A4"/>
    <w:rsid w:val="00130345"/>
    <w:rsid w:val="001317F2"/>
    <w:rsid w:val="00131E8B"/>
    <w:rsid w:val="00136DD8"/>
    <w:rsid w:val="00137BB0"/>
    <w:rsid w:val="00141102"/>
    <w:rsid w:val="001432B4"/>
    <w:rsid w:val="001435D6"/>
    <w:rsid w:val="001438B9"/>
    <w:rsid w:val="00144C37"/>
    <w:rsid w:val="00145BC8"/>
    <w:rsid w:val="001514C9"/>
    <w:rsid w:val="0015165C"/>
    <w:rsid w:val="00152852"/>
    <w:rsid w:val="001529D8"/>
    <w:rsid w:val="00152F08"/>
    <w:rsid w:val="00157DE9"/>
    <w:rsid w:val="001604DC"/>
    <w:rsid w:val="001615B0"/>
    <w:rsid w:val="00161734"/>
    <w:rsid w:val="00163823"/>
    <w:rsid w:val="001658C8"/>
    <w:rsid w:val="001674F1"/>
    <w:rsid w:val="00170ADD"/>
    <w:rsid w:val="0017300F"/>
    <w:rsid w:val="001772BF"/>
    <w:rsid w:val="0018139A"/>
    <w:rsid w:val="00182CF1"/>
    <w:rsid w:val="001833E3"/>
    <w:rsid w:val="00183AA9"/>
    <w:rsid w:val="001858A4"/>
    <w:rsid w:val="0018618C"/>
    <w:rsid w:val="00186CBE"/>
    <w:rsid w:val="00187CE7"/>
    <w:rsid w:val="00190A3D"/>
    <w:rsid w:val="00192C18"/>
    <w:rsid w:val="00192E2D"/>
    <w:rsid w:val="00193170"/>
    <w:rsid w:val="00193884"/>
    <w:rsid w:val="0019455B"/>
    <w:rsid w:val="001949B1"/>
    <w:rsid w:val="00194E12"/>
    <w:rsid w:val="00196637"/>
    <w:rsid w:val="00197545"/>
    <w:rsid w:val="001A33DA"/>
    <w:rsid w:val="001A3BDF"/>
    <w:rsid w:val="001A3FA2"/>
    <w:rsid w:val="001A4754"/>
    <w:rsid w:val="001A64FC"/>
    <w:rsid w:val="001A6E17"/>
    <w:rsid w:val="001B2241"/>
    <w:rsid w:val="001B23C2"/>
    <w:rsid w:val="001B7815"/>
    <w:rsid w:val="001C0DA3"/>
    <w:rsid w:val="001C22FC"/>
    <w:rsid w:val="001C4296"/>
    <w:rsid w:val="001C7E21"/>
    <w:rsid w:val="001D1AE0"/>
    <w:rsid w:val="001D41FE"/>
    <w:rsid w:val="001D47D1"/>
    <w:rsid w:val="001E041F"/>
    <w:rsid w:val="001E3FB2"/>
    <w:rsid w:val="001E7350"/>
    <w:rsid w:val="001F0149"/>
    <w:rsid w:val="001F158C"/>
    <w:rsid w:val="001F52CD"/>
    <w:rsid w:val="001F58F7"/>
    <w:rsid w:val="001F6202"/>
    <w:rsid w:val="001F7002"/>
    <w:rsid w:val="001F71DF"/>
    <w:rsid w:val="0020166D"/>
    <w:rsid w:val="00201E07"/>
    <w:rsid w:val="00203791"/>
    <w:rsid w:val="00203D47"/>
    <w:rsid w:val="002044DE"/>
    <w:rsid w:val="00204D9C"/>
    <w:rsid w:val="00207430"/>
    <w:rsid w:val="002074AB"/>
    <w:rsid w:val="00211849"/>
    <w:rsid w:val="00211D71"/>
    <w:rsid w:val="00213697"/>
    <w:rsid w:val="002150A2"/>
    <w:rsid w:val="00216643"/>
    <w:rsid w:val="002222E6"/>
    <w:rsid w:val="00224FC0"/>
    <w:rsid w:val="00225668"/>
    <w:rsid w:val="00230F87"/>
    <w:rsid w:val="00232F8A"/>
    <w:rsid w:val="00232FA8"/>
    <w:rsid w:val="0024206E"/>
    <w:rsid w:val="00243A52"/>
    <w:rsid w:val="00243C77"/>
    <w:rsid w:val="0024678D"/>
    <w:rsid w:val="00246A0A"/>
    <w:rsid w:val="00246B13"/>
    <w:rsid w:val="0024799F"/>
    <w:rsid w:val="0025008F"/>
    <w:rsid w:val="00251CA6"/>
    <w:rsid w:val="00252965"/>
    <w:rsid w:val="00253652"/>
    <w:rsid w:val="002537A0"/>
    <w:rsid w:val="00253D86"/>
    <w:rsid w:val="0026091C"/>
    <w:rsid w:val="00260D0C"/>
    <w:rsid w:val="00260DAE"/>
    <w:rsid w:val="00261827"/>
    <w:rsid w:val="00266D06"/>
    <w:rsid w:val="00266F19"/>
    <w:rsid w:val="0026711B"/>
    <w:rsid w:val="002672BA"/>
    <w:rsid w:val="00267FA2"/>
    <w:rsid w:val="0027696E"/>
    <w:rsid w:val="002775A2"/>
    <w:rsid w:val="002811B5"/>
    <w:rsid w:val="002812CA"/>
    <w:rsid w:val="002814A5"/>
    <w:rsid w:val="00282FA9"/>
    <w:rsid w:val="00283092"/>
    <w:rsid w:val="00283576"/>
    <w:rsid w:val="00284000"/>
    <w:rsid w:val="0028557B"/>
    <w:rsid w:val="0028797B"/>
    <w:rsid w:val="00291E6A"/>
    <w:rsid w:val="002936D8"/>
    <w:rsid w:val="0029423E"/>
    <w:rsid w:val="0029649F"/>
    <w:rsid w:val="00297EF8"/>
    <w:rsid w:val="002A262B"/>
    <w:rsid w:val="002A3A64"/>
    <w:rsid w:val="002A4180"/>
    <w:rsid w:val="002A51C5"/>
    <w:rsid w:val="002A78BA"/>
    <w:rsid w:val="002A797D"/>
    <w:rsid w:val="002A7B84"/>
    <w:rsid w:val="002B21A7"/>
    <w:rsid w:val="002B25B7"/>
    <w:rsid w:val="002B5065"/>
    <w:rsid w:val="002C166B"/>
    <w:rsid w:val="002C2C01"/>
    <w:rsid w:val="002C5978"/>
    <w:rsid w:val="002C63E0"/>
    <w:rsid w:val="002C6B2C"/>
    <w:rsid w:val="002C74AD"/>
    <w:rsid w:val="002C7D9F"/>
    <w:rsid w:val="002D2EB1"/>
    <w:rsid w:val="002D304A"/>
    <w:rsid w:val="002D30F7"/>
    <w:rsid w:val="002D77DF"/>
    <w:rsid w:val="002E0523"/>
    <w:rsid w:val="002E0DC5"/>
    <w:rsid w:val="002E24A3"/>
    <w:rsid w:val="002E3B33"/>
    <w:rsid w:val="002E6747"/>
    <w:rsid w:val="002E6AF3"/>
    <w:rsid w:val="002E7519"/>
    <w:rsid w:val="002F1D22"/>
    <w:rsid w:val="002F45EF"/>
    <w:rsid w:val="002F54E1"/>
    <w:rsid w:val="002F7EC6"/>
    <w:rsid w:val="003000F4"/>
    <w:rsid w:val="003009E0"/>
    <w:rsid w:val="003012DF"/>
    <w:rsid w:val="0030359D"/>
    <w:rsid w:val="00303763"/>
    <w:rsid w:val="00305FE1"/>
    <w:rsid w:val="003060B1"/>
    <w:rsid w:val="003073A8"/>
    <w:rsid w:val="003125E9"/>
    <w:rsid w:val="00313DCD"/>
    <w:rsid w:val="00314FDA"/>
    <w:rsid w:val="00315748"/>
    <w:rsid w:val="003202A4"/>
    <w:rsid w:val="00320649"/>
    <w:rsid w:val="00320818"/>
    <w:rsid w:val="003278B7"/>
    <w:rsid w:val="003320D0"/>
    <w:rsid w:val="003331F9"/>
    <w:rsid w:val="003341D8"/>
    <w:rsid w:val="00334538"/>
    <w:rsid w:val="0033514F"/>
    <w:rsid w:val="00335D3F"/>
    <w:rsid w:val="0033610D"/>
    <w:rsid w:val="0033661F"/>
    <w:rsid w:val="003403A2"/>
    <w:rsid w:val="00340430"/>
    <w:rsid w:val="00341BDD"/>
    <w:rsid w:val="003425FC"/>
    <w:rsid w:val="00343206"/>
    <w:rsid w:val="0034590F"/>
    <w:rsid w:val="00346BEB"/>
    <w:rsid w:val="003478CA"/>
    <w:rsid w:val="00355F36"/>
    <w:rsid w:val="00357DAB"/>
    <w:rsid w:val="00360AA6"/>
    <w:rsid w:val="0036157C"/>
    <w:rsid w:val="0036336B"/>
    <w:rsid w:val="00363C42"/>
    <w:rsid w:val="003716B2"/>
    <w:rsid w:val="003736E3"/>
    <w:rsid w:val="00373B12"/>
    <w:rsid w:val="00373B91"/>
    <w:rsid w:val="0037446D"/>
    <w:rsid w:val="00374B7D"/>
    <w:rsid w:val="00374EC3"/>
    <w:rsid w:val="00377270"/>
    <w:rsid w:val="0038099F"/>
    <w:rsid w:val="00381074"/>
    <w:rsid w:val="00382397"/>
    <w:rsid w:val="00383BA8"/>
    <w:rsid w:val="00384DC8"/>
    <w:rsid w:val="00387C15"/>
    <w:rsid w:val="0039015F"/>
    <w:rsid w:val="00393086"/>
    <w:rsid w:val="00393FAF"/>
    <w:rsid w:val="003948F6"/>
    <w:rsid w:val="00395CEF"/>
    <w:rsid w:val="003971FE"/>
    <w:rsid w:val="003A33D2"/>
    <w:rsid w:val="003A3C48"/>
    <w:rsid w:val="003A41AD"/>
    <w:rsid w:val="003A6A22"/>
    <w:rsid w:val="003B0DE0"/>
    <w:rsid w:val="003B55DA"/>
    <w:rsid w:val="003B61CC"/>
    <w:rsid w:val="003B79BB"/>
    <w:rsid w:val="003C0A36"/>
    <w:rsid w:val="003C0A92"/>
    <w:rsid w:val="003C0F39"/>
    <w:rsid w:val="003C3141"/>
    <w:rsid w:val="003C316F"/>
    <w:rsid w:val="003C5F61"/>
    <w:rsid w:val="003C7DE8"/>
    <w:rsid w:val="003D2859"/>
    <w:rsid w:val="003D5353"/>
    <w:rsid w:val="003D6193"/>
    <w:rsid w:val="003D6F4D"/>
    <w:rsid w:val="003E0DF6"/>
    <w:rsid w:val="003E1E2C"/>
    <w:rsid w:val="003E3114"/>
    <w:rsid w:val="003E6C64"/>
    <w:rsid w:val="003F03BB"/>
    <w:rsid w:val="003F075E"/>
    <w:rsid w:val="003F1B14"/>
    <w:rsid w:val="003F3213"/>
    <w:rsid w:val="003F34B3"/>
    <w:rsid w:val="003F62D9"/>
    <w:rsid w:val="003F6E04"/>
    <w:rsid w:val="00400BB7"/>
    <w:rsid w:val="00401832"/>
    <w:rsid w:val="00402D54"/>
    <w:rsid w:val="00402FD3"/>
    <w:rsid w:val="00404B6F"/>
    <w:rsid w:val="004050FD"/>
    <w:rsid w:val="00405CFB"/>
    <w:rsid w:val="004061BF"/>
    <w:rsid w:val="00410234"/>
    <w:rsid w:val="00410856"/>
    <w:rsid w:val="00414E5B"/>
    <w:rsid w:val="00417050"/>
    <w:rsid w:val="00417C3D"/>
    <w:rsid w:val="00417C86"/>
    <w:rsid w:val="0042011C"/>
    <w:rsid w:val="00421C3D"/>
    <w:rsid w:val="00422593"/>
    <w:rsid w:val="0042372E"/>
    <w:rsid w:val="00425C9C"/>
    <w:rsid w:val="00426470"/>
    <w:rsid w:val="0042673A"/>
    <w:rsid w:val="00434182"/>
    <w:rsid w:val="0043434C"/>
    <w:rsid w:val="00434A37"/>
    <w:rsid w:val="004379A5"/>
    <w:rsid w:val="00440BBB"/>
    <w:rsid w:val="00443671"/>
    <w:rsid w:val="0044399C"/>
    <w:rsid w:val="0044484E"/>
    <w:rsid w:val="00446162"/>
    <w:rsid w:val="00446B43"/>
    <w:rsid w:val="00450824"/>
    <w:rsid w:val="00452D5A"/>
    <w:rsid w:val="00457601"/>
    <w:rsid w:val="00461A0B"/>
    <w:rsid w:val="00461AA2"/>
    <w:rsid w:val="00463140"/>
    <w:rsid w:val="00464452"/>
    <w:rsid w:val="00465143"/>
    <w:rsid w:val="004658B3"/>
    <w:rsid w:val="004660AB"/>
    <w:rsid w:val="004662B3"/>
    <w:rsid w:val="004668B5"/>
    <w:rsid w:val="00466FF0"/>
    <w:rsid w:val="00471377"/>
    <w:rsid w:val="00472EC2"/>
    <w:rsid w:val="0047770A"/>
    <w:rsid w:val="00477958"/>
    <w:rsid w:val="00480A26"/>
    <w:rsid w:val="00480B42"/>
    <w:rsid w:val="00480FAF"/>
    <w:rsid w:val="00481949"/>
    <w:rsid w:val="00483FEF"/>
    <w:rsid w:val="00484636"/>
    <w:rsid w:val="004857FF"/>
    <w:rsid w:val="00487619"/>
    <w:rsid w:val="00494E35"/>
    <w:rsid w:val="00494E82"/>
    <w:rsid w:val="004A1494"/>
    <w:rsid w:val="004A18C0"/>
    <w:rsid w:val="004A1E8F"/>
    <w:rsid w:val="004A2B5B"/>
    <w:rsid w:val="004A2BA8"/>
    <w:rsid w:val="004A38CC"/>
    <w:rsid w:val="004A4037"/>
    <w:rsid w:val="004A620A"/>
    <w:rsid w:val="004A7B1E"/>
    <w:rsid w:val="004B0844"/>
    <w:rsid w:val="004B1E34"/>
    <w:rsid w:val="004B44DE"/>
    <w:rsid w:val="004B4C11"/>
    <w:rsid w:val="004B5BA6"/>
    <w:rsid w:val="004B7BFA"/>
    <w:rsid w:val="004C00B1"/>
    <w:rsid w:val="004C0439"/>
    <w:rsid w:val="004C06C4"/>
    <w:rsid w:val="004C10D1"/>
    <w:rsid w:val="004C26B6"/>
    <w:rsid w:val="004C3568"/>
    <w:rsid w:val="004C3BC5"/>
    <w:rsid w:val="004C464B"/>
    <w:rsid w:val="004C469F"/>
    <w:rsid w:val="004C4C31"/>
    <w:rsid w:val="004C5A2B"/>
    <w:rsid w:val="004C5AF5"/>
    <w:rsid w:val="004C63D1"/>
    <w:rsid w:val="004C6BB4"/>
    <w:rsid w:val="004D13F1"/>
    <w:rsid w:val="004D3217"/>
    <w:rsid w:val="004D4CF2"/>
    <w:rsid w:val="004D6303"/>
    <w:rsid w:val="004D7271"/>
    <w:rsid w:val="004E1A00"/>
    <w:rsid w:val="004F120E"/>
    <w:rsid w:val="004F4686"/>
    <w:rsid w:val="00500243"/>
    <w:rsid w:val="00501D1B"/>
    <w:rsid w:val="00502403"/>
    <w:rsid w:val="00502F2D"/>
    <w:rsid w:val="005030F4"/>
    <w:rsid w:val="0050473C"/>
    <w:rsid w:val="00504AB1"/>
    <w:rsid w:val="0050618C"/>
    <w:rsid w:val="00506561"/>
    <w:rsid w:val="0051002E"/>
    <w:rsid w:val="00511C5C"/>
    <w:rsid w:val="00512474"/>
    <w:rsid w:val="005127CC"/>
    <w:rsid w:val="005129B3"/>
    <w:rsid w:val="00514A9B"/>
    <w:rsid w:val="00516B59"/>
    <w:rsid w:val="00516CA3"/>
    <w:rsid w:val="0051755E"/>
    <w:rsid w:val="005200FD"/>
    <w:rsid w:val="00524C1F"/>
    <w:rsid w:val="00531072"/>
    <w:rsid w:val="005324C7"/>
    <w:rsid w:val="00532EA2"/>
    <w:rsid w:val="00534A3D"/>
    <w:rsid w:val="00534A5D"/>
    <w:rsid w:val="005350C0"/>
    <w:rsid w:val="00535CFC"/>
    <w:rsid w:val="00536634"/>
    <w:rsid w:val="00541107"/>
    <w:rsid w:val="005423D1"/>
    <w:rsid w:val="005476AF"/>
    <w:rsid w:val="00550ED5"/>
    <w:rsid w:val="00550FCC"/>
    <w:rsid w:val="00556C80"/>
    <w:rsid w:val="00557086"/>
    <w:rsid w:val="0056150D"/>
    <w:rsid w:val="005616D7"/>
    <w:rsid w:val="00561B9E"/>
    <w:rsid w:val="00561FA0"/>
    <w:rsid w:val="00562FD7"/>
    <w:rsid w:val="00564B57"/>
    <w:rsid w:val="00564DA2"/>
    <w:rsid w:val="00566454"/>
    <w:rsid w:val="0056751D"/>
    <w:rsid w:val="00567C64"/>
    <w:rsid w:val="00570069"/>
    <w:rsid w:val="00571AA2"/>
    <w:rsid w:val="0057607A"/>
    <w:rsid w:val="005775F6"/>
    <w:rsid w:val="00580193"/>
    <w:rsid w:val="0058035D"/>
    <w:rsid w:val="00580CF0"/>
    <w:rsid w:val="00580D10"/>
    <w:rsid w:val="00582315"/>
    <w:rsid w:val="0058249A"/>
    <w:rsid w:val="00582D35"/>
    <w:rsid w:val="00583527"/>
    <w:rsid w:val="0058555B"/>
    <w:rsid w:val="00585E82"/>
    <w:rsid w:val="00594A70"/>
    <w:rsid w:val="00597445"/>
    <w:rsid w:val="005A3EA2"/>
    <w:rsid w:val="005A5E54"/>
    <w:rsid w:val="005A6797"/>
    <w:rsid w:val="005B1ECD"/>
    <w:rsid w:val="005B2055"/>
    <w:rsid w:val="005B4621"/>
    <w:rsid w:val="005B4A77"/>
    <w:rsid w:val="005B794A"/>
    <w:rsid w:val="005B7B3E"/>
    <w:rsid w:val="005C05B9"/>
    <w:rsid w:val="005C2207"/>
    <w:rsid w:val="005C7A49"/>
    <w:rsid w:val="005D1022"/>
    <w:rsid w:val="005D31D9"/>
    <w:rsid w:val="005D439C"/>
    <w:rsid w:val="005D518F"/>
    <w:rsid w:val="005D5DED"/>
    <w:rsid w:val="005E0543"/>
    <w:rsid w:val="005E2363"/>
    <w:rsid w:val="005E2CFB"/>
    <w:rsid w:val="005E6757"/>
    <w:rsid w:val="005F12EB"/>
    <w:rsid w:val="005F294F"/>
    <w:rsid w:val="005F2D5C"/>
    <w:rsid w:val="005F38F6"/>
    <w:rsid w:val="005F4445"/>
    <w:rsid w:val="005F488A"/>
    <w:rsid w:val="006014AF"/>
    <w:rsid w:val="00602CA2"/>
    <w:rsid w:val="00605441"/>
    <w:rsid w:val="00606374"/>
    <w:rsid w:val="00607DA1"/>
    <w:rsid w:val="006100DF"/>
    <w:rsid w:val="0061020B"/>
    <w:rsid w:val="00611E99"/>
    <w:rsid w:val="00613B79"/>
    <w:rsid w:val="00614AB1"/>
    <w:rsid w:val="0061588E"/>
    <w:rsid w:val="00617CA0"/>
    <w:rsid w:val="00617EC1"/>
    <w:rsid w:val="00621BCA"/>
    <w:rsid w:val="00622968"/>
    <w:rsid w:val="006251D0"/>
    <w:rsid w:val="006256E9"/>
    <w:rsid w:val="00634ED3"/>
    <w:rsid w:val="00635774"/>
    <w:rsid w:val="00636AA5"/>
    <w:rsid w:val="00640571"/>
    <w:rsid w:val="00642221"/>
    <w:rsid w:val="006448C1"/>
    <w:rsid w:val="006557D2"/>
    <w:rsid w:val="00656FB9"/>
    <w:rsid w:val="00657028"/>
    <w:rsid w:val="00661075"/>
    <w:rsid w:val="006639C7"/>
    <w:rsid w:val="00664271"/>
    <w:rsid w:val="006642A8"/>
    <w:rsid w:val="00667897"/>
    <w:rsid w:val="00671BCE"/>
    <w:rsid w:val="00672278"/>
    <w:rsid w:val="00672331"/>
    <w:rsid w:val="006733CB"/>
    <w:rsid w:val="00680E8C"/>
    <w:rsid w:val="00680FC1"/>
    <w:rsid w:val="006833EC"/>
    <w:rsid w:val="0068445D"/>
    <w:rsid w:val="00685B09"/>
    <w:rsid w:val="006871D1"/>
    <w:rsid w:val="00690B52"/>
    <w:rsid w:val="0069122F"/>
    <w:rsid w:val="006923DB"/>
    <w:rsid w:val="00692880"/>
    <w:rsid w:val="006965C0"/>
    <w:rsid w:val="00697EEA"/>
    <w:rsid w:val="006A2043"/>
    <w:rsid w:val="006A4A60"/>
    <w:rsid w:val="006A5F79"/>
    <w:rsid w:val="006A6926"/>
    <w:rsid w:val="006A6A01"/>
    <w:rsid w:val="006A7389"/>
    <w:rsid w:val="006B06BC"/>
    <w:rsid w:val="006B1E3F"/>
    <w:rsid w:val="006B38E8"/>
    <w:rsid w:val="006B4499"/>
    <w:rsid w:val="006B5452"/>
    <w:rsid w:val="006B5AFB"/>
    <w:rsid w:val="006C13E6"/>
    <w:rsid w:val="006C14C1"/>
    <w:rsid w:val="006C1A11"/>
    <w:rsid w:val="006C1B88"/>
    <w:rsid w:val="006C245D"/>
    <w:rsid w:val="006C4634"/>
    <w:rsid w:val="006C47F9"/>
    <w:rsid w:val="006C7B6B"/>
    <w:rsid w:val="006D0035"/>
    <w:rsid w:val="006D0971"/>
    <w:rsid w:val="006D1899"/>
    <w:rsid w:val="006D2938"/>
    <w:rsid w:val="006D314D"/>
    <w:rsid w:val="006D33AD"/>
    <w:rsid w:val="006D33BB"/>
    <w:rsid w:val="006D3A04"/>
    <w:rsid w:val="006D4BE9"/>
    <w:rsid w:val="006E0E43"/>
    <w:rsid w:val="006E40A9"/>
    <w:rsid w:val="006E4801"/>
    <w:rsid w:val="006E67C6"/>
    <w:rsid w:val="006E789E"/>
    <w:rsid w:val="006F0817"/>
    <w:rsid w:val="006F1A59"/>
    <w:rsid w:val="006F5985"/>
    <w:rsid w:val="00700CF6"/>
    <w:rsid w:val="007015AF"/>
    <w:rsid w:val="00702016"/>
    <w:rsid w:val="0070329B"/>
    <w:rsid w:val="00703579"/>
    <w:rsid w:val="007052FF"/>
    <w:rsid w:val="00705F5F"/>
    <w:rsid w:val="00707FD1"/>
    <w:rsid w:val="00714C98"/>
    <w:rsid w:val="007156A3"/>
    <w:rsid w:val="0071599F"/>
    <w:rsid w:val="00717CEC"/>
    <w:rsid w:val="0072054A"/>
    <w:rsid w:val="007205BC"/>
    <w:rsid w:val="007206B8"/>
    <w:rsid w:val="00721A7D"/>
    <w:rsid w:val="007235BF"/>
    <w:rsid w:val="007310BC"/>
    <w:rsid w:val="00731379"/>
    <w:rsid w:val="007317FD"/>
    <w:rsid w:val="0073276F"/>
    <w:rsid w:val="00734618"/>
    <w:rsid w:val="00734758"/>
    <w:rsid w:val="0073483B"/>
    <w:rsid w:val="00736367"/>
    <w:rsid w:val="00737133"/>
    <w:rsid w:val="00742943"/>
    <w:rsid w:val="00745A32"/>
    <w:rsid w:val="00745B91"/>
    <w:rsid w:val="00745D88"/>
    <w:rsid w:val="00746672"/>
    <w:rsid w:val="007519EC"/>
    <w:rsid w:val="00751BF8"/>
    <w:rsid w:val="00751E42"/>
    <w:rsid w:val="007536A6"/>
    <w:rsid w:val="00753886"/>
    <w:rsid w:val="00755B71"/>
    <w:rsid w:val="00760600"/>
    <w:rsid w:val="00760D62"/>
    <w:rsid w:val="007646FA"/>
    <w:rsid w:val="007657E1"/>
    <w:rsid w:val="00765C5F"/>
    <w:rsid w:val="007671AF"/>
    <w:rsid w:val="007678A7"/>
    <w:rsid w:val="00767DA6"/>
    <w:rsid w:val="0077524C"/>
    <w:rsid w:val="00775547"/>
    <w:rsid w:val="00775919"/>
    <w:rsid w:val="00776711"/>
    <w:rsid w:val="00777F00"/>
    <w:rsid w:val="00780350"/>
    <w:rsid w:val="0078047F"/>
    <w:rsid w:val="007816C6"/>
    <w:rsid w:val="00781AC0"/>
    <w:rsid w:val="00783796"/>
    <w:rsid w:val="00785EF1"/>
    <w:rsid w:val="00793CB2"/>
    <w:rsid w:val="00794F6D"/>
    <w:rsid w:val="00795683"/>
    <w:rsid w:val="00795839"/>
    <w:rsid w:val="00797996"/>
    <w:rsid w:val="007A0656"/>
    <w:rsid w:val="007A252E"/>
    <w:rsid w:val="007A28F1"/>
    <w:rsid w:val="007A36A1"/>
    <w:rsid w:val="007A47C7"/>
    <w:rsid w:val="007A6C16"/>
    <w:rsid w:val="007A7086"/>
    <w:rsid w:val="007A74AE"/>
    <w:rsid w:val="007B226B"/>
    <w:rsid w:val="007B2A96"/>
    <w:rsid w:val="007B6581"/>
    <w:rsid w:val="007C35F4"/>
    <w:rsid w:val="007C49D9"/>
    <w:rsid w:val="007C7135"/>
    <w:rsid w:val="007C78B2"/>
    <w:rsid w:val="007D09A4"/>
    <w:rsid w:val="007D2B6E"/>
    <w:rsid w:val="007D42EF"/>
    <w:rsid w:val="007D4A8A"/>
    <w:rsid w:val="007D4E87"/>
    <w:rsid w:val="007E0B00"/>
    <w:rsid w:val="007E3688"/>
    <w:rsid w:val="007E53C1"/>
    <w:rsid w:val="007F2460"/>
    <w:rsid w:val="007F310C"/>
    <w:rsid w:val="007F556C"/>
    <w:rsid w:val="007F5B67"/>
    <w:rsid w:val="007F6CFF"/>
    <w:rsid w:val="007F70E9"/>
    <w:rsid w:val="007F7385"/>
    <w:rsid w:val="00800893"/>
    <w:rsid w:val="00801086"/>
    <w:rsid w:val="00801ADA"/>
    <w:rsid w:val="00801D51"/>
    <w:rsid w:val="00810066"/>
    <w:rsid w:val="008119EC"/>
    <w:rsid w:val="00811A7E"/>
    <w:rsid w:val="00812537"/>
    <w:rsid w:val="00824145"/>
    <w:rsid w:val="00825452"/>
    <w:rsid w:val="00830A90"/>
    <w:rsid w:val="00830C3E"/>
    <w:rsid w:val="008310ED"/>
    <w:rsid w:val="008312BF"/>
    <w:rsid w:val="00831AE7"/>
    <w:rsid w:val="00834C8D"/>
    <w:rsid w:val="00836814"/>
    <w:rsid w:val="00836A4A"/>
    <w:rsid w:val="008459BF"/>
    <w:rsid w:val="00845BE2"/>
    <w:rsid w:val="00847212"/>
    <w:rsid w:val="008532A7"/>
    <w:rsid w:val="008535C3"/>
    <w:rsid w:val="008575E8"/>
    <w:rsid w:val="00860DB6"/>
    <w:rsid w:val="0086124D"/>
    <w:rsid w:val="00862A24"/>
    <w:rsid w:val="00863D26"/>
    <w:rsid w:val="00865018"/>
    <w:rsid w:val="00872B58"/>
    <w:rsid w:val="00873382"/>
    <w:rsid w:val="008735A7"/>
    <w:rsid w:val="0087451E"/>
    <w:rsid w:val="00876C13"/>
    <w:rsid w:val="00881EBB"/>
    <w:rsid w:val="008821C7"/>
    <w:rsid w:val="008829CA"/>
    <w:rsid w:val="00882C07"/>
    <w:rsid w:val="00882EFF"/>
    <w:rsid w:val="008850C0"/>
    <w:rsid w:val="0088638A"/>
    <w:rsid w:val="00886649"/>
    <w:rsid w:val="00887376"/>
    <w:rsid w:val="00890B5E"/>
    <w:rsid w:val="00892862"/>
    <w:rsid w:val="0089568C"/>
    <w:rsid w:val="008A0990"/>
    <w:rsid w:val="008A17D1"/>
    <w:rsid w:val="008A25CC"/>
    <w:rsid w:val="008A3296"/>
    <w:rsid w:val="008A3DD0"/>
    <w:rsid w:val="008A423C"/>
    <w:rsid w:val="008A53ED"/>
    <w:rsid w:val="008B0EC2"/>
    <w:rsid w:val="008B3CE3"/>
    <w:rsid w:val="008B5151"/>
    <w:rsid w:val="008B6096"/>
    <w:rsid w:val="008B68A2"/>
    <w:rsid w:val="008C0465"/>
    <w:rsid w:val="008C0A11"/>
    <w:rsid w:val="008C21EE"/>
    <w:rsid w:val="008C2665"/>
    <w:rsid w:val="008C481C"/>
    <w:rsid w:val="008C5079"/>
    <w:rsid w:val="008C5520"/>
    <w:rsid w:val="008C55B7"/>
    <w:rsid w:val="008C580A"/>
    <w:rsid w:val="008C73B2"/>
    <w:rsid w:val="008C7C6C"/>
    <w:rsid w:val="008D3334"/>
    <w:rsid w:val="008D3B98"/>
    <w:rsid w:val="008D40A8"/>
    <w:rsid w:val="008D6885"/>
    <w:rsid w:val="008D6CA5"/>
    <w:rsid w:val="008E0958"/>
    <w:rsid w:val="008E11BC"/>
    <w:rsid w:val="008E1B12"/>
    <w:rsid w:val="008E29C2"/>
    <w:rsid w:val="008E3F50"/>
    <w:rsid w:val="008E483E"/>
    <w:rsid w:val="008E4E9C"/>
    <w:rsid w:val="008E5B19"/>
    <w:rsid w:val="008E652B"/>
    <w:rsid w:val="008E7AC9"/>
    <w:rsid w:val="008F1A7C"/>
    <w:rsid w:val="008F1B64"/>
    <w:rsid w:val="008F200B"/>
    <w:rsid w:val="008F2DFB"/>
    <w:rsid w:val="008F36BA"/>
    <w:rsid w:val="008F3A46"/>
    <w:rsid w:val="008F5B03"/>
    <w:rsid w:val="008F5ED0"/>
    <w:rsid w:val="008F764E"/>
    <w:rsid w:val="0090079A"/>
    <w:rsid w:val="00900F27"/>
    <w:rsid w:val="0090170C"/>
    <w:rsid w:val="00903B3F"/>
    <w:rsid w:val="00903C0C"/>
    <w:rsid w:val="00906080"/>
    <w:rsid w:val="0091020F"/>
    <w:rsid w:val="0091048B"/>
    <w:rsid w:val="00917068"/>
    <w:rsid w:val="00917AB2"/>
    <w:rsid w:val="00917BD9"/>
    <w:rsid w:val="00922A82"/>
    <w:rsid w:val="009235F9"/>
    <w:rsid w:val="00924B0C"/>
    <w:rsid w:val="009273EC"/>
    <w:rsid w:val="00940A9C"/>
    <w:rsid w:val="00941C4B"/>
    <w:rsid w:val="00942F9F"/>
    <w:rsid w:val="009430FC"/>
    <w:rsid w:val="00950932"/>
    <w:rsid w:val="009518BC"/>
    <w:rsid w:val="009537E9"/>
    <w:rsid w:val="00960DDA"/>
    <w:rsid w:val="009618D2"/>
    <w:rsid w:val="00961946"/>
    <w:rsid w:val="00963D6D"/>
    <w:rsid w:val="009648DA"/>
    <w:rsid w:val="009679F9"/>
    <w:rsid w:val="00971D57"/>
    <w:rsid w:val="009734DE"/>
    <w:rsid w:val="00973964"/>
    <w:rsid w:val="0097563E"/>
    <w:rsid w:val="0097572B"/>
    <w:rsid w:val="0097678E"/>
    <w:rsid w:val="00977640"/>
    <w:rsid w:val="00977DAD"/>
    <w:rsid w:val="00980948"/>
    <w:rsid w:val="009813CE"/>
    <w:rsid w:val="00981721"/>
    <w:rsid w:val="00982301"/>
    <w:rsid w:val="009854DF"/>
    <w:rsid w:val="00985634"/>
    <w:rsid w:val="00986387"/>
    <w:rsid w:val="00986455"/>
    <w:rsid w:val="0099163A"/>
    <w:rsid w:val="00994020"/>
    <w:rsid w:val="00994BF3"/>
    <w:rsid w:val="00995316"/>
    <w:rsid w:val="0099542E"/>
    <w:rsid w:val="00997327"/>
    <w:rsid w:val="009A03B1"/>
    <w:rsid w:val="009A1B96"/>
    <w:rsid w:val="009A50E1"/>
    <w:rsid w:val="009A67C5"/>
    <w:rsid w:val="009B24D5"/>
    <w:rsid w:val="009B294B"/>
    <w:rsid w:val="009B5DF9"/>
    <w:rsid w:val="009B6B87"/>
    <w:rsid w:val="009C20FD"/>
    <w:rsid w:val="009C3C07"/>
    <w:rsid w:val="009C4759"/>
    <w:rsid w:val="009C52FC"/>
    <w:rsid w:val="009D0FE0"/>
    <w:rsid w:val="009D11BA"/>
    <w:rsid w:val="009D529A"/>
    <w:rsid w:val="009D5B5D"/>
    <w:rsid w:val="009D61BF"/>
    <w:rsid w:val="009D65D4"/>
    <w:rsid w:val="009D6813"/>
    <w:rsid w:val="009D75AF"/>
    <w:rsid w:val="009E00CB"/>
    <w:rsid w:val="009E0320"/>
    <w:rsid w:val="009E342D"/>
    <w:rsid w:val="009E3E9C"/>
    <w:rsid w:val="009E49B3"/>
    <w:rsid w:val="009E4F8A"/>
    <w:rsid w:val="009E6108"/>
    <w:rsid w:val="009E6416"/>
    <w:rsid w:val="009E689C"/>
    <w:rsid w:val="009F2F6B"/>
    <w:rsid w:val="009F38D9"/>
    <w:rsid w:val="009F481E"/>
    <w:rsid w:val="00A0192B"/>
    <w:rsid w:val="00A05070"/>
    <w:rsid w:val="00A05E7D"/>
    <w:rsid w:val="00A10BEB"/>
    <w:rsid w:val="00A12B96"/>
    <w:rsid w:val="00A13644"/>
    <w:rsid w:val="00A16896"/>
    <w:rsid w:val="00A20637"/>
    <w:rsid w:val="00A2488E"/>
    <w:rsid w:val="00A26E37"/>
    <w:rsid w:val="00A3074B"/>
    <w:rsid w:val="00A309BA"/>
    <w:rsid w:val="00A3798A"/>
    <w:rsid w:val="00A37B3A"/>
    <w:rsid w:val="00A37E12"/>
    <w:rsid w:val="00A4061E"/>
    <w:rsid w:val="00A412D8"/>
    <w:rsid w:val="00A419E8"/>
    <w:rsid w:val="00A41ABA"/>
    <w:rsid w:val="00A429C1"/>
    <w:rsid w:val="00A453DD"/>
    <w:rsid w:val="00A456FD"/>
    <w:rsid w:val="00A50205"/>
    <w:rsid w:val="00A5034A"/>
    <w:rsid w:val="00A515CE"/>
    <w:rsid w:val="00A5350D"/>
    <w:rsid w:val="00A54129"/>
    <w:rsid w:val="00A55541"/>
    <w:rsid w:val="00A565AB"/>
    <w:rsid w:val="00A566EC"/>
    <w:rsid w:val="00A57086"/>
    <w:rsid w:val="00A573F5"/>
    <w:rsid w:val="00A60431"/>
    <w:rsid w:val="00A64C69"/>
    <w:rsid w:val="00A64EB4"/>
    <w:rsid w:val="00A67BCF"/>
    <w:rsid w:val="00A7186E"/>
    <w:rsid w:val="00A71AD2"/>
    <w:rsid w:val="00A721BD"/>
    <w:rsid w:val="00A72A5D"/>
    <w:rsid w:val="00A7489B"/>
    <w:rsid w:val="00A749E9"/>
    <w:rsid w:val="00A768AF"/>
    <w:rsid w:val="00A841AD"/>
    <w:rsid w:val="00A856B5"/>
    <w:rsid w:val="00A8578F"/>
    <w:rsid w:val="00A864BD"/>
    <w:rsid w:val="00A97E48"/>
    <w:rsid w:val="00AA21D1"/>
    <w:rsid w:val="00AA36D0"/>
    <w:rsid w:val="00AA5608"/>
    <w:rsid w:val="00AA5F01"/>
    <w:rsid w:val="00AA7FA3"/>
    <w:rsid w:val="00AB13DF"/>
    <w:rsid w:val="00AB3885"/>
    <w:rsid w:val="00AB498C"/>
    <w:rsid w:val="00AB64A1"/>
    <w:rsid w:val="00AB6C61"/>
    <w:rsid w:val="00AB78FE"/>
    <w:rsid w:val="00AC16DC"/>
    <w:rsid w:val="00AC3AB4"/>
    <w:rsid w:val="00AC4120"/>
    <w:rsid w:val="00AC7C52"/>
    <w:rsid w:val="00AD0AD6"/>
    <w:rsid w:val="00AD17EE"/>
    <w:rsid w:val="00AD256A"/>
    <w:rsid w:val="00AD2718"/>
    <w:rsid w:val="00AD65B1"/>
    <w:rsid w:val="00AF1822"/>
    <w:rsid w:val="00AF41C1"/>
    <w:rsid w:val="00AF44DE"/>
    <w:rsid w:val="00AF4B44"/>
    <w:rsid w:val="00B00331"/>
    <w:rsid w:val="00B0252B"/>
    <w:rsid w:val="00B02A33"/>
    <w:rsid w:val="00B033EF"/>
    <w:rsid w:val="00B06FB3"/>
    <w:rsid w:val="00B10258"/>
    <w:rsid w:val="00B10D72"/>
    <w:rsid w:val="00B13560"/>
    <w:rsid w:val="00B1471C"/>
    <w:rsid w:val="00B15A05"/>
    <w:rsid w:val="00B15C57"/>
    <w:rsid w:val="00B15EDA"/>
    <w:rsid w:val="00B17BB7"/>
    <w:rsid w:val="00B204A9"/>
    <w:rsid w:val="00B2085B"/>
    <w:rsid w:val="00B20919"/>
    <w:rsid w:val="00B2373B"/>
    <w:rsid w:val="00B2411D"/>
    <w:rsid w:val="00B246D2"/>
    <w:rsid w:val="00B26152"/>
    <w:rsid w:val="00B31D55"/>
    <w:rsid w:val="00B32362"/>
    <w:rsid w:val="00B33653"/>
    <w:rsid w:val="00B33C62"/>
    <w:rsid w:val="00B33FC1"/>
    <w:rsid w:val="00B3473A"/>
    <w:rsid w:val="00B36B5D"/>
    <w:rsid w:val="00B376ED"/>
    <w:rsid w:val="00B4108C"/>
    <w:rsid w:val="00B42BE0"/>
    <w:rsid w:val="00B436FE"/>
    <w:rsid w:val="00B45CA6"/>
    <w:rsid w:val="00B45CB3"/>
    <w:rsid w:val="00B45E95"/>
    <w:rsid w:val="00B4643D"/>
    <w:rsid w:val="00B4739F"/>
    <w:rsid w:val="00B502F6"/>
    <w:rsid w:val="00B523CD"/>
    <w:rsid w:val="00B53E0E"/>
    <w:rsid w:val="00B53FD4"/>
    <w:rsid w:val="00B56221"/>
    <w:rsid w:val="00B57B0B"/>
    <w:rsid w:val="00B621E0"/>
    <w:rsid w:val="00B630DC"/>
    <w:rsid w:val="00B642D3"/>
    <w:rsid w:val="00B64912"/>
    <w:rsid w:val="00B65301"/>
    <w:rsid w:val="00B658FC"/>
    <w:rsid w:val="00B70AAE"/>
    <w:rsid w:val="00B71A0A"/>
    <w:rsid w:val="00B74DD6"/>
    <w:rsid w:val="00B75161"/>
    <w:rsid w:val="00B803CE"/>
    <w:rsid w:val="00B8052E"/>
    <w:rsid w:val="00B8152C"/>
    <w:rsid w:val="00B823F2"/>
    <w:rsid w:val="00B82875"/>
    <w:rsid w:val="00B8327A"/>
    <w:rsid w:val="00B832BC"/>
    <w:rsid w:val="00B84C7D"/>
    <w:rsid w:val="00B85B6C"/>
    <w:rsid w:val="00B86B3A"/>
    <w:rsid w:val="00B86E1C"/>
    <w:rsid w:val="00B87A21"/>
    <w:rsid w:val="00B90B08"/>
    <w:rsid w:val="00B93D49"/>
    <w:rsid w:val="00B9438A"/>
    <w:rsid w:val="00B96193"/>
    <w:rsid w:val="00B9692D"/>
    <w:rsid w:val="00BA212D"/>
    <w:rsid w:val="00BA24D4"/>
    <w:rsid w:val="00BA3596"/>
    <w:rsid w:val="00BA4293"/>
    <w:rsid w:val="00BA44F8"/>
    <w:rsid w:val="00BA4B12"/>
    <w:rsid w:val="00BA5253"/>
    <w:rsid w:val="00BA6995"/>
    <w:rsid w:val="00BB0A8E"/>
    <w:rsid w:val="00BB11FF"/>
    <w:rsid w:val="00BB1DBB"/>
    <w:rsid w:val="00BB3E71"/>
    <w:rsid w:val="00BB66AF"/>
    <w:rsid w:val="00BB7D96"/>
    <w:rsid w:val="00BC455D"/>
    <w:rsid w:val="00BC5440"/>
    <w:rsid w:val="00BC704E"/>
    <w:rsid w:val="00BC7FED"/>
    <w:rsid w:val="00BD2114"/>
    <w:rsid w:val="00BD33E6"/>
    <w:rsid w:val="00BD4D6A"/>
    <w:rsid w:val="00BE024F"/>
    <w:rsid w:val="00BE3D14"/>
    <w:rsid w:val="00BE58B5"/>
    <w:rsid w:val="00BE6116"/>
    <w:rsid w:val="00BE626D"/>
    <w:rsid w:val="00BF0192"/>
    <w:rsid w:val="00BF1DE6"/>
    <w:rsid w:val="00BF2DEE"/>
    <w:rsid w:val="00BF48E2"/>
    <w:rsid w:val="00BF6051"/>
    <w:rsid w:val="00BF6750"/>
    <w:rsid w:val="00C00193"/>
    <w:rsid w:val="00C0409D"/>
    <w:rsid w:val="00C06D94"/>
    <w:rsid w:val="00C072D7"/>
    <w:rsid w:val="00C10A0A"/>
    <w:rsid w:val="00C13444"/>
    <w:rsid w:val="00C13908"/>
    <w:rsid w:val="00C1416A"/>
    <w:rsid w:val="00C1797B"/>
    <w:rsid w:val="00C224CA"/>
    <w:rsid w:val="00C230CD"/>
    <w:rsid w:val="00C24650"/>
    <w:rsid w:val="00C253D2"/>
    <w:rsid w:val="00C25F6E"/>
    <w:rsid w:val="00C26690"/>
    <w:rsid w:val="00C26C4B"/>
    <w:rsid w:val="00C2734B"/>
    <w:rsid w:val="00C27B45"/>
    <w:rsid w:val="00C27C0F"/>
    <w:rsid w:val="00C309CD"/>
    <w:rsid w:val="00C32946"/>
    <w:rsid w:val="00C33A53"/>
    <w:rsid w:val="00C34E08"/>
    <w:rsid w:val="00C360A1"/>
    <w:rsid w:val="00C36876"/>
    <w:rsid w:val="00C36F6C"/>
    <w:rsid w:val="00C44DEB"/>
    <w:rsid w:val="00C47C3D"/>
    <w:rsid w:val="00C531CA"/>
    <w:rsid w:val="00C5542A"/>
    <w:rsid w:val="00C56852"/>
    <w:rsid w:val="00C603CB"/>
    <w:rsid w:val="00C611C8"/>
    <w:rsid w:val="00C61422"/>
    <w:rsid w:val="00C64A50"/>
    <w:rsid w:val="00C67371"/>
    <w:rsid w:val="00C67DAC"/>
    <w:rsid w:val="00C71DFC"/>
    <w:rsid w:val="00C726B1"/>
    <w:rsid w:val="00C72C63"/>
    <w:rsid w:val="00C72F21"/>
    <w:rsid w:val="00C7651B"/>
    <w:rsid w:val="00C76BC2"/>
    <w:rsid w:val="00C81A98"/>
    <w:rsid w:val="00C83753"/>
    <w:rsid w:val="00C84645"/>
    <w:rsid w:val="00C87742"/>
    <w:rsid w:val="00C925D3"/>
    <w:rsid w:val="00C9314D"/>
    <w:rsid w:val="00C93A88"/>
    <w:rsid w:val="00C93D5D"/>
    <w:rsid w:val="00C95E4A"/>
    <w:rsid w:val="00C97885"/>
    <w:rsid w:val="00CA0DA7"/>
    <w:rsid w:val="00CA1A25"/>
    <w:rsid w:val="00CA2B0F"/>
    <w:rsid w:val="00CA3A05"/>
    <w:rsid w:val="00CA5343"/>
    <w:rsid w:val="00CA6CF4"/>
    <w:rsid w:val="00CB0F8D"/>
    <w:rsid w:val="00CB15C0"/>
    <w:rsid w:val="00CB1DB9"/>
    <w:rsid w:val="00CB1F35"/>
    <w:rsid w:val="00CB5DAE"/>
    <w:rsid w:val="00CB7911"/>
    <w:rsid w:val="00CC29EC"/>
    <w:rsid w:val="00CC3F51"/>
    <w:rsid w:val="00CC4909"/>
    <w:rsid w:val="00CC4B36"/>
    <w:rsid w:val="00CC5D59"/>
    <w:rsid w:val="00CC6E4A"/>
    <w:rsid w:val="00CD1AAE"/>
    <w:rsid w:val="00CD3F3B"/>
    <w:rsid w:val="00CD40C6"/>
    <w:rsid w:val="00CD6740"/>
    <w:rsid w:val="00CD6E13"/>
    <w:rsid w:val="00CD7D70"/>
    <w:rsid w:val="00CE7AEE"/>
    <w:rsid w:val="00CF0300"/>
    <w:rsid w:val="00CF15F0"/>
    <w:rsid w:val="00CF1E49"/>
    <w:rsid w:val="00CF1E96"/>
    <w:rsid w:val="00CF48D7"/>
    <w:rsid w:val="00D00A3A"/>
    <w:rsid w:val="00D025CA"/>
    <w:rsid w:val="00D025EA"/>
    <w:rsid w:val="00D05ADF"/>
    <w:rsid w:val="00D06322"/>
    <w:rsid w:val="00D07693"/>
    <w:rsid w:val="00D1012C"/>
    <w:rsid w:val="00D1373E"/>
    <w:rsid w:val="00D20EF4"/>
    <w:rsid w:val="00D22C13"/>
    <w:rsid w:val="00D22D63"/>
    <w:rsid w:val="00D25344"/>
    <w:rsid w:val="00D26201"/>
    <w:rsid w:val="00D274D5"/>
    <w:rsid w:val="00D3165F"/>
    <w:rsid w:val="00D31F58"/>
    <w:rsid w:val="00D323A8"/>
    <w:rsid w:val="00D35E9B"/>
    <w:rsid w:val="00D4104B"/>
    <w:rsid w:val="00D4392A"/>
    <w:rsid w:val="00D445FA"/>
    <w:rsid w:val="00D50EDC"/>
    <w:rsid w:val="00D55FBE"/>
    <w:rsid w:val="00D5609C"/>
    <w:rsid w:val="00D5791F"/>
    <w:rsid w:val="00D611A3"/>
    <w:rsid w:val="00D633B0"/>
    <w:rsid w:val="00D6529E"/>
    <w:rsid w:val="00D704EC"/>
    <w:rsid w:val="00D72A01"/>
    <w:rsid w:val="00D72E95"/>
    <w:rsid w:val="00D753AC"/>
    <w:rsid w:val="00D75860"/>
    <w:rsid w:val="00D763EB"/>
    <w:rsid w:val="00D813DD"/>
    <w:rsid w:val="00D81790"/>
    <w:rsid w:val="00D819C6"/>
    <w:rsid w:val="00D823D9"/>
    <w:rsid w:val="00D83599"/>
    <w:rsid w:val="00D8409F"/>
    <w:rsid w:val="00D84300"/>
    <w:rsid w:val="00D84969"/>
    <w:rsid w:val="00D84C0B"/>
    <w:rsid w:val="00D84CFA"/>
    <w:rsid w:val="00D861AE"/>
    <w:rsid w:val="00D864B3"/>
    <w:rsid w:val="00D90614"/>
    <w:rsid w:val="00D911AA"/>
    <w:rsid w:val="00DA14BF"/>
    <w:rsid w:val="00DA1662"/>
    <w:rsid w:val="00DA3AA0"/>
    <w:rsid w:val="00DA407E"/>
    <w:rsid w:val="00DA71C4"/>
    <w:rsid w:val="00DB14E6"/>
    <w:rsid w:val="00DB1BF0"/>
    <w:rsid w:val="00DB4247"/>
    <w:rsid w:val="00DB70F4"/>
    <w:rsid w:val="00DB7BB6"/>
    <w:rsid w:val="00DC0C35"/>
    <w:rsid w:val="00DC223B"/>
    <w:rsid w:val="00DC4831"/>
    <w:rsid w:val="00DC6FC9"/>
    <w:rsid w:val="00DC7949"/>
    <w:rsid w:val="00DD2141"/>
    <w:rsid w:val="00DD2B47"/>
    <w:rsid w:val="00DD720D"/>
    <w:rsid w:val="00DE2218"/>
    <w:rsid w:val="00DE628B"/>
    <w:rsid w:val="00DE6B08"/>
    <w:rsid w:val="00DE76C5"/>
    <w:rsid w:val="00DE799C"/>
    <w:rsid w:val="00DF0CA3"/>
    <w:rsid w:val="00DF5CE8"/>
    <w:rsid w:val="00E0075E"/>
    <w:rsid w:val="00E00D16"/>
    <w:rsid w:val="00E02147"/>
    <w:rsid w:val="00E026BA"/>
    <w:rsid w:val="00E02CF2"/>
    <w:rsid w:val="00E0540B"/>
    <w:rsid w:val="00E07746"/>
    <w:rsid w:val="00E10529"/>
    <w:rsid w:val="00E24551"/>
    <w:rsid w:val="00E24AB1"/>
    <w:rsid w:val="00E25E81"/>
    <w:rsid w:val="00E263CE"/>
    <w:rsid w:val="00E27378"/>
    <w:rsid w:val="00E3004E"/>
    <w:rsid w:val="00E330B8"/>
    <w:rsid w:val="00E35E9D"/>
    <w:rsid w:val="00E37905"/>
    <w:rsid w:val="00E37F27"/>
    <w:rsid w:val="00E403F2"/>
    <w:rsid w:val="00E409AD"/>
    <w:rsid w:val="00E43332"/>
    <w:rsid w:val="00E45D23"/>
    <w:rsid w:val="00E467F7"/>
    <w:rsid w:val="00E502BF"/>
    <w:rsid w:val="00E50C40"/>
    <w:rsid w:val="00E527BD"/>
    <w:rsid w:val="00E534F8"/>
    <w:rsid w:val="00E540D8"/>
    <w:rsid w:val="00E54777"/>
    <w:rsid w:val="00E54B20"/>
    <w:rsid w:val="00E6072F"/>
    <w:rsid w:val="00E61CBE"/>
    <w:rsid w:val="00E65279"/>
    <w:rsid w:val="00E67284"/>
    <w:rsid w:val="00E67AD4"/>
    <w:rsid w:val="00E706CB"/>
    <w:rsid w:val="00E713F9"/>
    <w:rsid w:val="00E7279B"/>
    <w:rsid w:val="00E73ACD"/>
    <w:rsid w:val="00E7604A"/>
    <w:rsid w:val="00E801EB"/>
    <w:rsid w:val="00E84CFB"/>
    <w:rsid w:val="00E85E66"/>
    <w:rsid w:val="00E872DD"/>
    <w:rsid w:val="00E8794B"/>
    <w:rsid w:val="00E90E54"/>
    <w:rsid w:val="00E93B3C"/>
    <w:rsid w:val="00E94902"/>
    <w:rsid w:val="00E951D8"/>
    <w:rsid w:val="00E96692"/>
    <w:rsid w:val="00E96925"/>
    <w:rsid w:val="00EA2586"/>
    <w:rsid w:val="00EA2C4E"/>
    <w:rsid w:val="00EA4396"/>
    <w:rsid w:val="00EA45E4"/>
    <w:rsid w:val="00EA4639"/>
    <w:rsid w:val="00EA73A4"/>
    <w:rsid w:val="00EA75C9"/>
    <w:rsid w:val="00EB0627"/>
    <w:rsid w:val="00EB58FD"/>
    <w:rsid w:val="00EB625B"/>
    <w:rsid w:val="00EB78B3"/>
    <w:rsid w:val="00EC0154"/>
    <w:rsid w:val="00EC0627"/>
    <w:rsid w:val="00EC0BF9"/>
    <w:rsid w:val="00EC41E3"/>
    <w:rsid w:val="00EC4B6C"/>
    <w:rsid w:val="00EC4BCA"/>
    <w:rsid w:val="00EC54F5"/>
    <w:rsid w:val="00EC70D3"/>
    <w:rsid w:val="00ED1D5A"/>
    <w:rsid w:val="00ED3D97"/>
    <w:rsid w:val="00ED4133"/>
    <w:rsid w:val="00ED67C4"/>
    <w:rsid w:val="00EE1FB7"/>
    <w:rsid w:val="00EE5717"/>
    <w:rsid w:val="00EE7ABB"/>
    <w:rsid w:val="00EF08CB"/>
    <w:rsid w:val="00EF5009"/>
    <w:rsid w:val="00EF647E"/>
    <w:rsid w:val="00F00C6E"/>
    <w:rsid w:val="00F010E7"/>
    <w:rsid w:val="00F01CCA"/>
    <w:rsid w:val="00F02122"/>
    <w:rsid w:val="00F03445"/>
    <w:rsid w:val="00F065FF"/>
    <w:rsid w:val="00F06BE9"/>
    <w:rsid w:val="00F07B0A"/>
    <w:rsid w:val="00F12504"/>
    <w:rsid w:val="00F1386A"/>
    <w:rsid w:val="00F14CD7"/>
    <w:rsid w:val="00F14F93"/>
    <w:rsid w:val="00F15CD9"/>
    <w:rsid w:val="00F20DB3"/>
    <w:rsid w:val="00F22157"/>
    <w:rsid w:val="00F22F28"/>
    <w:rsid w:val="00F277F7"/>
    <w:rsid w:val="00F31CF1"/>
    <w:rsid w:val="00F324F2"/>
    <w:rsid w:val="00F3351D"/>
    <w:rsid w:val="00F35134"/>
    <w:rsid w:val="00F3560E"/>
    <w:rsid w:val="00F36F09"/>
    <w:rsid w:val="00F370B7"/>
    <w:rsid w:val="00F37A91"/>
    <w:rsid w:val="00F40288"/>
    <w:rsid w:val="00F406B6"/>
    <w:rsid w:val="00F40E5A"/>
    <w:rsid w:val="00F4144D"/>
    <w:rsid w:val="00F44B53"/>
    <w:rsid w:val="00F503FE"/>
    <w:rsid w:val="00F509FD"/>
    <w:rsid w:val="00F5149B"/>
    <w:rsid w:val="00F5186D"/>
    <w:rsid w:val="00F54658"/>
    <w:rsid w:val="00F56158"/>
    <w:rsid w:val="00F60D0C"/>
    <w:rsid w:val="00F61C20"/>
    <w:rsid w:val="00F63FDD"/>
    <w:rsid w:val="00F64481"/>
    <w:rsid w:val="00F64AEF"/>
    <w:rsid w:val="00F65D9E"/>
    <w:rsid w:val="00F6625D"/>
    <w:rsid w:val="00F6626E"/>
    <w:rsid w:val="00F66E0B"/>
    <w:rsid w:val="00F7025A"/>
    <w:rsid w:val="00F7480A"/>
    <w:rsid w:val="00F74D17"/>
    <w:rsid w:val="00F75143"/>
    <w:rsid w:val="00F755CF"/>
    <w:rsid w:val="00F77614"/>
    <w:rsid w:val="00F819C9"/>
    <w:rsid w:val="00F858C1"/>
    <w:rsid w:val="00F86DBB"/>
    <w:rsid w:val="00F87E02"/>
    <w:rsid w:val="00F940C2"/>
    <w:rsid w:val="00F974C9"/>
    <w:rsid w:val="00F97E17"/>
    <w:rsid w:val="00FA0A9A"/>
    <w:rsid w:val="00FA157B"/>
    <w:rsid w:val="00FA5BDD"/>
    <w:rsid w:val="00FB0C4E"/>
    <w:rsid w:val="00FB1283"/>
    <w:rsid w:val="00FB1E34"/>
    <w:rsid w:val="00FB3D49"/>
    <w:rsid w:val="00FB4CD2"/>
    <w:rsid w:val="00FB55EB"/>
    <w:rsid w:val="00FB5CD9"/>
    <w:rsid w:val="00FB771A"/>
    <w:rsid w:val="00FD098B"/>
    <w:rsid w:val="00FD260F"/>
    <w:rsid w:val="00FD2F8C"/>
    <w:rsid w:val="00FD3AC5"/>
    <w:rsid w:val="00FD4C41"/>
    <w:rsid w:val="00FD6265"/>
    <w:rsid w:val="00FD6A0C"/>
    <w:rsid w:val="00FD6E01"/>
    <w:rsid w:val="00FD70A1"/>
    <w:rsid w:val="00FE1850"/>
    <w:rsid w:val="00FE186F"/>
    <w:rsid w:val="00FE287F"/>
    <w:rsid w:val="00FE57E6"/>
    <w:rsid w:val="00FE6E7C"/>
    <w:rsid w:val="00FF0884"/>
    <w:rsid w:val="00FF41AE"/>
    <w:rsid w:val="00FF593D"/>
    <w:rsid w:val="00FF65C2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378"/>
    <w:pPr>
      <w:tabs>
        <w:tab w:val="left" w:pos="170"/>
      </w:tabs>
      <w:spacing w:line="360" w:lineRule="exact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378"/>
    <w:pPr>
      <w:tabs>
        <w:tab w:val="center" w:pos="4536"/>
        <w:tab w:val="right" w:pos="9072"/>
      </w:tabs>
    </w:pPr>
    <w:rPr>
      <w:sz w:val="20"/>
    </w:rPr>
  </w:style>
  <w:style w:type="paragraph" w:styleId="Footer">
    <w:name w:val="footer"/>
    <w:basedOn w:val="Normal"/>
    <w:rsid w:val="00E27378"/>
    <w:pPr>
      <w:tabs>
        <w:tab w:val="left" w:pos="2835"/>
        <w:tab w:val="left" w:pos="5670"/>
      </w:tabs>
      <w:spacing w:line="230" w:lineRule="exact"/>
      <w:ind w:right="-284"/>
    </w:pPr>
    <w:rPr>
      <w:rFonts w:ascii="Times New Roman" w:hAnsi="Times New Roman"/>
      <w:sz w:val="18"/>
    </w:rPr>
  </w:style>
  <w:style w:type="paragraph" w:customStyle="1" w:styleId="Standardfett">
    <w:name w:val="Standard_fett"/>
    <w:basedOn w:val="Normal"/>
    <w:rsid w:val="00E27378"/>
    <w:pPr>
      <w:keepNext/>
    </w:pPr>
    <w:rPr>
      <w:b/>
    </w:rPr>
  </w:style>
  <w:style w:type="paragraph" w:customStyle="1" w:styleId="Standardfettb">
    <w:name w:val="Standard_fett_Üb"/>
    <w:basedOn w:val="Standardfett"/>
    <w:rsid w:val="00E27378"/>
    <w:rPr>
      <w:sz w:val="28"/>
    </w:rPr>
  </w:style>
  <w:style w:type="paragraph" w:customStyle="1" w:styleId="A-partner">
    <w:name w:val="A-partner"/>
    <w:basedOn w:val="Standardfettb"/>
    <w:rsid w:val="00E27378"/>
    <w:pPr>
      <w:spacing w:line="240" w:lineRule="auto"/>
      <w:ind w:left="71"/>
    </w:pPr>
    <w:rPr>
      <w:rFonts w:ascii="Times New Roman" w:hAnsi="Times New Roman"/>
      <w:b w:val="0"/>
      <w:bCs/>
      <w:sz w:val="14"/>
    </w:rPr>
  </w:style>
  <w:style w:type="paragraph" w:customStyle="1" w:styleId="Standard-A-partner">
    <w:name w:val="Standard-A-partner"/>
    <w:basedOn w:val="Normal"/>
    <w:rsid w:val="00E27378"/>
    <w:pPr>
      <w:spacing w:line="280" w:lineRule="exact"/>
    </w:pPr>
  </w:style>
  <w:style w:type="paragraph" w:customStyle="1" w:styleId="StandardfettPr">
    <w:name w:val="Standard_fett_Pr"/>
    <w:basedOn w:val="Standardfettb"/>
    <w:rsid w:val="00E27378"/>
    <w:rPr>
      <w:sz w:val="36"/>
    </w:rPr>
  </w:style>
  <w:style w:type="paragraph" w:customStyle="1" w:styleId="Seitenangabe">
    <w:name w:val="Seitenangabe"/>
    <w:basedOn w:val="Footer"/>
    <w:rsid w:val="00E27378"/>
    <w:pPr>
      <w:tabs>
        <w:tab w:val="left" w:pos="7655"/>
      </w:tabs>
      <w:spacing w:after="40"/>
    </w:pPr>
    <w:rPr>
      <w:rFonts w:ascii="Arial" w:hAnsi="Arial" w:cs="Arial"/>
      <w:sz w:val="14"/>
    </w:rPr>
  </w:style>
  <w:style w:type="character" w:styleId="Hyperlink">
    <w:name w:val="Hyperlink"/>
    <w:basedOn w:val="DefaultParagraphFont"/>
    <w:rsid w:val="00E273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1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B9E"/>
    <w:rPr>
      <w:rFonts w:ascii="Tahoma" w:hAnsi="Tahoma" w:cs="Tahoma"/>
      <w:sz w:val="16"/>
      <w:szCs w:val="16"/>
      <w:lang w:val="en-US" w:eastAsia="en-US"/>
    </w:rPr>
  </w:style>
  <w:style w:type="paragraph" w:customStyle="1" w:styleId="Pa0">
    <w:name w:val="Pa0"/>
    <w:basedOn w:val="Normal"/>
    <w:next w:val="Normal"/>
    <w:rsid w:val="00CD3F3B"/>
    <w:pPr>
      <w:tabs>
        <w:tab w:val="clear" w:pos="170"/>
      </w:tabs>
      <w:autoSpaceDE w:val="0"/>
      <w:autoSpaceDN w:val="0"/>
      <w:adjustRightInd w:val="0"/>
      <w:spacing w:line="201" w:lineRule="atLeast"/>
    </w:pPr>
    <w:rPr>
      <w:rFonts w:ascii="RotisSerif" w:hAnsi="RotisSerif"/>
      <w:sz w:val="24"/>
      <w:szCs w:val="24"/>
    </w:rPr>
  </w:style>
  <w:style w:type="paragraph" w:styleId="BodyTextIndent">
    <w:name w:val="Body Text Indent"/>
    <w:basedOn w:val="Normal"/>
    <w:link w:val="BodyTextIndentChar"/>
    <w:rsid w:val="000011ED"/>
    <w:pPr>
      <w:tabs>
        <w:tab w:val="clear" w:pos="170"/>
      </w:tabs>
      <w:autoSpaceDE w:val="0"/>
      <w:autoSpaceDN w:val="0"/>
      <w:adjustRightInd w:val="0"/>
      <w:spacing w:line="240" w:lineRule="atLeast"/>
      <w:ind w:left="360"/>
      <w:jc w:val="both"/>
    </w:pPr>
    <w:rPr>
      <w:rFonts w:ascii="Helv" w:hAnsi="Helv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011ED"/>
    <w:rPr>
      <w:rFonts w:ascii="Helv" w:hAnsi="Helv"/>
      <w:color w:val="000000"/>
      <w:lang w:val="en-US" w:eastAsia="en-US"/>
    </w:rPr>
  </w:style>
  <w:style w:type="character" w:styleId="CommentReference">
    <w:name w:val="annotation reference"/>
    <w:basedOn w:val="DefaultParagraphFont"/>
    <w:rsid w:val="009A03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3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3B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0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03B1"/>
    <w:rPr>
      <w:b/>
      <w:bCs/>
    </w:rPr>
  </w:style>
  <w:style w:type="paragraph" w:styleId="ListParagraph">
    <w:name w:val="List Paragraph"/>
    <w:basedOn w:val="Normal"/>
    <w:qFormat/>
    <w:rsid w:val="004F120E"/>
    <w:pPr>
      <w:ind w:left="720"/>
      <w:contextualSpacing/>
    </w:pPr>
    <w:rPr>
      <w:rFonts w:eastAsia="Calibri"/>
    </w:rPr>
  </w:style>
  <w:style w:type="paragraph" w:styleId="EndnoteText">
    <w:name w:val="endnote text"/>
    <w:basedOn w:val="Normal"/>
    <w:link w:val="EndnoteTextChar"/>
    <w:rsid w:val="004F120E"/>
    <w:pPr>
      <w:tabs>
        <w:tab w:val="clear" w:pos="170"/>
      </w:tabs>
      <w:autoSpaceDE w:val="0"/>
      <w:autoSpaceDN w:val="0"/>
      <w:adjustRightInd w:val="0"/>
      <w:spacing w:line="240" w:lineRule="auto"/>
    </w:pPr>
    <w:rPr>
      <w:rFonts w:cs="Arial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rsid w:val="004F120E"/>
    <w:rPr>
      <w:rFonts w:ascii="Arial" w:hAnsi="Arial" w:cs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4F120E"/>
    <w:rPr>
      <w:rFonts w:cs="Times New Roman"/>
      <w:vertAlign w:val="superscript"/>
    </w:rPr>
  </w:style>
  <w:style w:type="paragraph" w:customStyle="1" w:styleId="Bullet1">
    <w:name w:val="Bullet 1"/>
    <w:basedOn w:val="Normal"/>
    <w:rsid w:val="004F120E"/>
    <w:pPr>
      <w:numPr>
        <w:numId w:val="4"/>
      </w:numPr>
      <w:tabs>
        <w:tab w:val="clear" w:pos="170"/>
      </w:tabs>
      <w:spacing w:after="120" w:line="240" w:lineRule="auto"/>
      <w:jc w:val="both"/>
    </w:pPr>
    <w:rPr>
      <w:rFonts w:eastAsia="Calibri"/>
      <w:sz w:val="20"/>
      <w:szCs w:val="24"/>
    </w:rPr>
  </w:style>
  <w:style w:type="paragraph" w:customStyle="1" w:styleId="QAAnswerChar">
    <w:name w:val="Q&amp;A Answer Char"/>
    <w:basedOn w:val="Bullet1"/>
    <w:link w:val="QAAnswerCharChar"/>
    <w:rsid w:val="004F120E"/>
    <w:pPr>
      <w:spacing w:after="0"/>
    </w:pPr>
    <w:rPr>
      <w:rFonts w:cs="Arial"/>
      <w:sz w:val="22"/>
      <w:szCs w:val="22"/>
    </w:rPr>
  </w:style>
  <w:style w:type="character" w:customStyle="1" w:styleId="QAAnswerCharChar">
    <w:name w:val="Q&amp;A Answer Char Char"/>
    <w:basedOn w:val="DefaultParagraphFont"/>
    <w:link w:val="QAAnswerChar"/>
    <w:locked/>
    <w:rsid w:val="004F120E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253652"/>
  </w:style>
  <w:style w:type="character" w:customStyle="1" w:styleId="atn">
    <w:name w:val="atn"/>
    <w:basedOn w:val="DefaultParagraphFont"/>
    <w:rsid w:val="0063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rck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ercksero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ean-lung-foundation.org/index.php?id=65" TargetMode="External"/><Relationship Id="rId2" Type="http://schemas.openxmlformats.org/officeDocument/2006/relationships/hyperlink" Target="http://www.european-lung-foundation.org/index.php?id=65" TargetMode="External"/><Relationship Id="rId1" Type="http://schemas.openxmlformats.org/officeDocument/2006/relationships/hyperlink" Target="http://www.european-lung-foundation.org/index.php?id=65" TargetMode="External"/><Relationship Id="rId4" Type="http://schemas.openxmlformats.org/officeDocument/2006/relationships/hyperlink" Target="http://www.european-lung-foundation.org/index.php?id=6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1215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Your Contact</vt:lpstr>
      <vt:lpstr>Your Contact</vt:lpstr>
    </vt:vector>
  </TitlesOfParts>
  <Company>Merck KGaA, Darmstadt, Germany</Company>
  <LinksUpToDate>false</LinksUpToDate>
  <CharactersWithSpaces>8427</CharactersWithSpaces>
  <SharedDoc>false</SharedDoc>
  <HLinks>
    <vt:vector size="24" baseType="variant">
      <vt:variant>
        <vt:i4>1310749</vt:i4>
      </vt:variant>
      <vt:variant>
        <vt:i4>3</vt:i4>
      </vt:variant>
      <vt:variant>
        <vt:i4>0</vt:i4>
      </vt:variant>
      <vt:variant>
        <vt:i4>5</vt:i4>
      </vt:variant>
      <vt:variant>
        <vt:lpwstr>http://www.merck.de/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http://www.merckserono.com/</vt:lpwstr>
      </vt:variant>
      <vt:variant>
        <vt:lpwstr/>
      </vt:variant>
      <vt:variant>
        <vt:i4>1310749</vt:i4>
      </vt:variant>
      <vt:variant>
        <vt:i4>6</vt:i4>
      </vt:variant>
      <vt:variant>
        <vt:i4>0</vt:i4>
      </vt:variant>
      <vt:variant>
        <vt:i4>5</vt:i4>
      </vt:variant>
      <vt:variant>
        <vt:lpwstr>http://www.merck.de/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http://www.european-lung-foundation.org/index.php?id=65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Contact</dc:title>
  <dc:creator>nmason</dc:creator>
  <cp:lastModifiedBy>m123045</cp:lastModifiedBy>
  <cp:revision>5</cp:revision>
  <cp:lastPrinted>2011-03-23T15:22:00Z</cp:lastPrinted>
  <dcterms:created xsi:type="dcterms:W3CDTF">2011-03-31T08:55:00Z</dcterms:created>
  <dcterms:modified xsi:type="dcterms:W3CDTF">2011-03-31T10:13:00Z</dcterms:modified>
</cp:coreProperties>
</file>