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3" w:rsidRPr="0098069C" w:rsidRDefault="00F04533" w:rsidP="00946C77">
      <w:pPr>
        <w:spacing w:line="360" w:lineRule="auto"/>
        <w:rPr>
          <w:b/>
          <w:sz w:val="32"/>
          <w:szCs w:val="32"/>
        </w:rPr>
      </w:pP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 xml:space="preserve">Fendt-Caravan in der Saison 2021: </w:t>
      </w: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>50 Jahre Qualität aus Überzeugung. Qualität: unser Markenzeichen seit 1970</w:t>
      </w: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</w:t>
      </w:r>
      <w:r w:rsidR="006111C8">
        <w:t>as Fend</w:t>
      </w:r>
      <w:r w:rsidR="0071448C">
        <w:t xml:space="preserve">t-Caravan Qualitätsversprechen </w:t>
      </w:r>
      <w:r w:rsidR="006111C8">
        <w:t>beginnt bereits in der Konzeptionsphase</w:t>
      </w:r>
      <w:r w:rsidRPr="00946C77">
        <w:t xml:space="preserve"> sowie der Material- und Lieferantenauswahl. Bei uns im Haus</w:t>
      </w:r>
      <w:r w:rsidR="006111C8">
        <w:t xml:space="preserve"> </w:t>
      </w:r>
      <w:r w:rsidRPr="00946C77">
        <w:t>starten</w:t>
      </w:r>
      <w:r w:rsidR="00A3066F">
        <w:t xml:space="preserve"> wir nach der Entscheidung und Erstprüfung der ausgesuch</w:t>
      </w:r>
      <w:r w:rsidRPr="00946C77">
        <w:t>ten Materialien mit diversen internen und</w:t>
      </w:r>
      <w:r w:rsidR="006111C8">
        <w:t xml:space="preserve"> </w:t>
      </w:r>
      <w:r w:rsidRPr="00946C77">
        <w:t>externen Testreihen der jeweiligen Produkte. Zur Sicherung unserer Qualitätsstandards trägt</w:t>
      </w:r>
      <w:r w:rsidR="006111C8">
        <w:t xml:space="preserve"> </w:t>
      </w:r>
      <w:r w:rsidRPr="00946C77">
        <w:t xml:space="preserve">jeder </w:t>
      </w:r>
      <w:r w:rsidR="006111C8">
        <w:t xml:space="preserve">einzelne </w:t>
      </w:r>
      <w:r w:rsidRPr="00946C77">
        <w:t xml:space="preserve">Mitarbeiter durch seine persönliche Leistung </w:t>
      </w:r>
      <w:r w:rsidR="006111C8">
        <w:t xml:space="preserve">und </w:t>
      </w:r>
      <w:r w:rsidR="00A3066F">
        <w:t xml:space="preserve">sein </w:t>
      </w:r>
      <w:r w:rsidR="006111C8">
        <w:t xml:space="preserve">Urteilsvermögen </w:t>
      </w:r>
      <w:r w:rsidRPr="00946C77">
        <w:t>bei. Deshalb werden unsere Mitarbeiter kontinuierlich</w:t>
      </w:r>
      <w:r w:rsidR="006111C8">
        <w:t xml:space="preserve"> </w:t>
      </w:r>
      <w:r w:rsidRPr="00946C77">
        <w:t xml:space="preserve">geschult und weitergebildet. Nur so konnten wir </w:t>
      </w:r>
      <w:r w:rsidR="006111C8">
        <w:t xml:space="preserve">seit </w:t>
      </w:r>
      <w:r w:rsidRPr="00946C77">
        <w:t xml:space="preserve">mittlerweile 50 Jahre </w:t>
      </w:r>
      <w:r w:rsidR="006111C8">
        <w:t>immer mehr</w:t>
      </w:r>
      <w:r w:rsidRPr="00946C77">
        <w:t xml:space="preserve"> Kunden von unseren Produkten überzeugen.</w:t>
      </w:r>
    </w:p>
    <w:p w:rsidR="00C15BC1" w:rsidRDefault="00C15BC1" w:rsidP="00946C77">
      <w:pPr>
        <w:spacing w:line="360" w:lineRule="auto"/>
      </w:pPr>
    </w:p>
    <w:p w:rsidR="00C15BC1" w:rsidRDefault="00C15BC1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Im Folgenden eine Kurzbeschreibung der einzelnen Baureihen:</w:t>
      </w:r>
    </w:p>
    <w:p w:rsidR="00A32DC3" w:rsidRDefault="00946C77" w:rsidP="00946C77">
      <w:pPr>
        <w:spacing w:line="360" w:lineRule="auto"/>
      </w:pPr>
      <w:r w:rsidRPr="00C15BC1">
        <w:rPr>
          <w:b/>
        </w:rPr>
        <w:t>Opal</w:t>
      </w:r>
      <w:r w:rsidRPr="00946C77">
        <w:t xml:space="preserve"> – </w:t>
      </w:r>
      <w:r w:rsidR="006111C8">
        <w:t xml:space="preserve">6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D</w:t>
      </w:r>
      <w:r w:rsidR="00A32DC3" w:rsidRPr="00A32DC3">
        <w:t>er perfekte Begleiter für die besonderen Urlaubsmomente</w:t>
      </w:r>
    </w:p>
    <w:p w:rsidR="00C15BC1" w:rsidRDefault="00C15BC1" w:rsidP="00946C77">
      <w:pPr>
        <w:spacing w:line="360" w:lineRule="auto"/>
      </w:pPr>
    </w:p>
    <w:p w:rsidR="006111C8" w:rsidRDefault="006111C8" w:rsidP="00946C77">
      <w:pPr>
        <w:spacing w:line="360" w:lineRule="auto"/>
      </w:pPr>
    </w:p>
    <w:p w:rsidR="006111C8" w:rsidRPr="0098069C" w:rsidRDefault="006111C8" w:rsidP="00946C77">
      <w:pPr>
        <w:spacing w:line="360" w:lineRule="auto"/>
        <w:rPr>
          <w:b/>
          <w:sz w:val="32"/>
          <w:szCs w:val="32"/>
        </w:rPr>
      </w:pPr>
    </w:p>
    <w:p w:rsidR="000F4FF7" w:rsidRDefault="000F4FF7" w:rsidP="00946C77">
      <w:pPr>
        <w:spacing w:line="360" w:lineRule="auto"/>
        <w:rPr>
          <w:b/>
          <w:sz w:val="32"/>
          <w:szCs w:val="32"/>
        </w:rPr>
      </w:pPr>
    </w:p>
    <w:p w:rsidR="008C34BF" w:rsidRDefault="008C34BF" w:rsidP="00946C77">
      <w:pPr>
        <w:spacing w:line="360" w:lineRule="auto"/>
        <w:rPr>
          <w:b/>
          <w:sz w:val="32"/>
          <w:szCs w:val="32"/>
        </w:rPr>
      </w:pPr>
    </w:p>
    <w:p w:rsidR="008C34BF" w:rsidRDefault="008C34BF" w:rsidP="00946C77">
      <w:pPr>
        <w:spacing w:line="360" w:lineRule="auto"/>
        <w:rPr>
          <w:b/>
          <w:sz w:val="32"/>
          <w:szCs w:val="32"/>
        </w:rPr>
      </w:pPr>
    </w:p>
    <w:p w:rsidR="008C34BF" w:rsidRDefault="008C34BF" w:rsidP="00946C77">
      <w:pPr>
        <w:spacing w:line="360" w:lineRule="auto"/>
        <w:rPr>
          <w:b/>
          <w:sz w:val="32"/>
          <w:szCs w:val="32"/>
        </w:rPr>
      </w:pPr>
    </w:p>
    <w:p w:rsidR="008C34BF" w:rsidRDefault="008C34BF" w:rsidP="00946C77">
      <w:pPr>
        <w:spacing w:line="360" w:lineRule="auto"/>
        <w:rPr>
          <w:b/>
          <w:sz w:val="32"/>
          <w:szCs w:val="32"/>
        </w:rPr>
      </w:pPr>
    </w:p>
    <w:p w:rsidR="008C34BF" w:rsidRDefault="008C34BF" w:rsidP="00946C77">
      <w:pPr>
        <w:spacing w:line="360" w:lineRule="auto"/>
        <w:rPr>
          <w:b/>
          <w:sz w:val="32"/>
          <w:szCs w:val="32"/>
        </w:rPr>
      </w:pPr>
    </w:p>
    <w:p w:rsidR="008C34BF" w:rsidRDefault="008C34BF" w:rsidP="00946C77">
      <w:pPr>
        <w:spacing w:line="360" w:lineRule="auto"/>
        <w:rPr>
          <w:b/>
          <w:sz w:val="32"/>
          <w:szCs w:val="32"/>
        </w:rPr>
      </w:pPr>
    </w:p>
    <w:p w:rsidR="00CF64FE" w:rsidRPr="0098069C" w:rsidRDefault="00CF64FE" w:rsidP="00946C77">
      <w:pPr>
        <w:spacing w:line="360" w:lineRule="auto"/>
        <w:rPr>
          <w:b/>
          <w:sz w:val="32"/>
          <w:szCs w:val="32"/>
        </w:rPr>
      </w:pPr>
    </w:p>
    <w:p w:rsidR="00946C77" w:rsidRDefault="00946C77" w:rsidP="00946C77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>OPAL</w:t>
      </w:r>
    </w:p>
    <w:p w:rsidR="00E26F99" w:rsidRPr="00E26F99" w:rsidRDefault="00E26F99" w:rsidP="00946C77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 xml:space="preserve">6 </w:t>
      </w:r>
      <w:r w:rsidR="00CF64FE">
        <w:rPr>
          <w:b/>
          <w:sz w:val="32"/>
          <w:szCs w:val="32"/>
        </w:rPr>
        <w:t>Modelle</w:t>
      </w:r>
      <w:r w:rsidRPr="00E26F99">
        <w:rPr>
          <w:b/>
          <w:sz w:val="32"/>
          <w:szCs w:val="32"/>
        </w:rPr>
        <w:t xml:space="preserve"> - der perfekte Begleiter für die besonderen Urlaubsmomente</w:t>
      </w: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Der Opal überzeugt durch die ideale Kombin</w:t>
      </w:r>
      <w:r>
        <w:t xml:space="preserve">ation aus hochwertigen </w:t>
      </w:r>
      <w:r w:rsidRPr="00946C77">
        <w:t>Materialien und modernen Gestaltun</w:t>
      </w:r>
      <w:r>
        <w:t xml:space="preserve">gslösungen. Er ist der perfekte </w:t>
      </w:r>
      <w:r w:rsidRPr="00946C77">
        <w:t>Begleiter für die besonderen Urlaubsmomente.</w:t>
      </w:r>
    </w:p>
    <w:p w:rsidR="00946C77" w:rsidRPr="00946C77" w:rsidRDefault="00946C77" w:rsidP="00946C77">
      <w:pPr>
        <w:spacing w:line="360" w:lineRule="auto"/>
      </w:pPr>
      <w:r w:rsidRPr="00946C77">
        <w:t xml:space="preserve">Der Opal definiert mit seinen 6 </w:t>
      </w:r>
      <w:r w:rsidR="00CF64FE">
        <w:t>Modellen</w:t>
      </w:r>
      <w:r>
        <w:t xml:space="preserve"> die Oberklasse zeitgemäß, </w:t>
      </w:r>
      <w:r w:rsidRPr="00946C77">
        <w:t>hochwertig und stilvoll.</w:t>
      </w:r>
    </w:p>
    <w:p w:rsidR="00946C77" w:rsidRDefault="00946C77" w:rsidP="00946C77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r w:rsidRPr="00E26F99">
        <w:rPr>
          <w:b/>
        </w:rPr>
        <w:t>Opal-Besonderheiten: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Kocherspülkombination mi</w:t>
      </w:r>
      <w:r>
        <w:t xml:space="preserve">t Zündsicherung, Zündautomatik, </w:t>
      </w:r>
      <w:r w:rsidR="00CF64FE">
        <w:t>geteiltem Guß</w:t>
      </w:r>
      <w:r w:rsidRPr="00946C77">
        <w:t>eisen-Gitterrost und geteilter Glasabdeckung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 xml:space="preserve">Ein </w:t>
      </w:r>
      <w:r w:rsidR="00CF64FE">
        <w:t>Modell</w:t>
      </w:r>
      <w:r w:rsidRPr="00946C77">
        <w:t xml:space="preserve"> mit einer L-Küche (</w:t>
      </w:r>
      <w:r w:rsidR="002113EF">
        <w:t xml:space="preserve">Opal </w:t>
      </w:r>
      <w:r w:rsidRPr="00946C77">
        <w:t>560 SRF)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Ein</w:t>
      </w:r>
      <w:r w:rsidR="00597C8E">
        <w:t xml:space="preserve">e Kinderzimmer-Variante mit </w:t>
      </w:r>
      <w:r w:rsidR="00CF64FE">
        <w:t>Gara</w:t>
      </w:r>
      <w:r w:rsidR="000F1921">
        <w:t xml:space="preserve">gentüre </w:t>
      </w:r>
      <w:r w:rsidRPr="00946C77">
        <w:t>(</w:t>
      </w:r>
      <w:r w:rsidR="002113EF">
        <w:t xml:space="preserve">Opal </w:t>
      </w:r>
      <w:r w:rsidRPr="00946C77">
        <w:t>515 SKF)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Indirekte Beleuchtung oberhalb der Dachstaukästen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Lesespots (12 V)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proofErr w:type="spellStart"/>
      <w:r w:rsidRPr="00946C77">
        <w:t>Truma</w:t>
      </w:r>
      <w:proofErr w:type="spellEnd"/>
      <w:r w:rsidRPr="00946C77">
        <w:t xml:space="preserve"> Gasheizung Combi 4 (</w:t>
      </w:r>
      <w:r w:rsidR="002113EF">
        <w:t xml:space="preserve">Opal </w:t>
      </w:r>
      <w:r w:rsidRPr="00946C77">
        <w:t>465</w:t>
      </w:r>
      <w:r w:rsidR="00942B57">
        <w:t xml:space="preserve"> SFH</w:t>
      </w:r>
      <w:r w:rsidRPr="00946C77">
        <w:t xml:space="preserve">, </w:t>
      </w:r>
      <w:r w:rsidR="002113EF">
        <w:t xml:space="preserve">Opal </w:t>
      </w:r>
      <w:r>
        <w:t>515</w:t>
      </w:r>
      <w:r w:rsidR="00942B57">
        <w:t xml:space="preserve"> SG</w:t>
      </w:r>
      <w:r w:rsidR="003B606F">
        <w:t xml:space="preserve"> und </w:t>
      </w:r>
      <w:r w:rsidR="0071448C">
        <w:t xml:space="preserve">Opal </w:t>
      </w:r>
      <w:r w:rsidR="003B606F">
        <w:t>515 SKF</w:t>
      </w:r>
      <w:r>
        <w:t xml:space="preserve">) bzw. Combi 6 (ab </w:t>
      </w:r>
      <w:r w:rsidR="002113EF">
        <w:t xml:space="preserve">Opal </w:t>
      </w:r>
      <w:r>
        <w:t xml:space="preserve">550) </w:t>
      </w:r>
      <w:r w:rsidRPr="00946C77">
        <w:t xml:space="preserve">jeweils mit digitalem Bedienteil CP plus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mit </w:t>
      </w:r>
      <w:proofErr w:type="spellStart"/>
      <w:r>
        <w:t>Umluftverteilung</w:t>
      </w:r>
      <w:proofErr w:type="spellEnd"/>
      <w:r>
        <w:t xml:space="preserve"> </w:t>
      </w:r>
      <w:r w:rsidRPr="00946C77">
        <w:t>und int</w:t>
      </w:r>
      <w:r w:rsidR="00972900">
        <w:t>egriertem Warmwasserboiler (10 Liter</w:t>
      </w:r>
      <w:r w:rsidRPr="00946C77">
        <w:t xml:space="preserve"> Inhalt)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proofErr w:type="spellStart"/>
      <w:r w:rsidRPr="00946C77">
        <w:t>iNet</w:t>
      </w:r>
      <w:proofErr w:type="spellEnd"/>
      <w:r w:rsidRPr="00946C77">
        <w:t xml:space="preserve"> Box für die zusätzliche Möglich</w:t>
      </w:r>
      <w:r>
        <w:t xml:space="preserve">keit der Heizungssteuerung über </w:t>
      </w:r>
      <w:r w:rsidRPr="00946C77">
        <w:t xml:space="preserve">die </w:t>
      </w:r>
      <w:proofErr w:type="spellStart"/>
      <w:r w:rsidRPr="00946C77">
        <w:t>Truma</w:t>
      </w:r>
      <w:proofErr w:type="spellEnd"/>
      <w:r w:rsidRPr="00946C77">
        <w:t xml:space="preserve"> App (länderabhängig)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7-Zonen-Komfortschaum-Matratzen in Einzel- und französischen Betten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Fliegenschutztüre im Eingangsbereich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 xml:space="preserve">Elegantes Möbeldekor </w:t>
      </w:r>
      <w:r w:rsidR="0041080B">
        <w:t>„</w:t>
      </w:r>
      <w:r w:rsidRPr="00946C77">
        <w:t>Kastanie-</w:t>
      </w:r>
      <w:proofErr w:type="spellStart"/>
      <w:r w:rsidRPr="00946C77">
        <w:t>Cilento</w:t>
      </w:r>
      <w:proofErr w:type="spellEnd"/>
      <w:r w:rsidR="0041080B">
        <w:t>“</w:t>
      </w:r>
      <w:r w:rsidRPr="00946C77">
        <w:t xml:space="preserve">, </w:t>
      </w:r>
      <w:r>
        <w:t xml:space="preserve">wahlweise in den Stoffvarianten </w:t>
      </w:r>
      <w:r w:rsidR="000F1921">
        <w:t>„</w:t>
      </w:r>
      <w:r w:rsidRPr="00946C77">
        <w:t>Murcia</w:t>
      </w:r>
      <w:r w:rsidR="000F1921">
        <w:t>“</w:t>
      </w:r>
      <w:r w:rsidRPr="00946C77">
        <w:t xml:space="preserve"> und </w:t>
      </w:r>
      <w:r w:rsidR="000F1921">
        <w:t>„</w:t>
      </w:r>
      <w:proofErr w:type="spellStart"/>
      <w:r w:rsidRPr="00946C77">
        <w:t>Ponza</w:t>
      </w:r>
      <w:proofErr w:type="spellEnd"/>
      <w:r w:rsidR="000F1921">
        <w:t>“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0C2C7E" w:rsidRDefault="000C2C7E" w:rsidP="000C2C7E">
      <w:pPr>
        <w:spacing w:line="360" w:lineRule="auto"/>
      </w:pPr>
    </w:p>
    <w:p w:rsidR="000F4FF7" w:rsidRPr="0098069C" w:rsidRDefault="000F4FF7" w:rsidP="000C2C7E">
      <w:pPr>
        <w:spacing w:line="360" w:lineRule="auto"/>
        <w:rPr>
          <w:b/>
          <w:sz w:val="32"/>
          <w:szCs w:val="32"/>
        </w:rPr>
      </w:pPr>
    </w:p>
    <w:p w:rsidR="000C2C7E" w:rsidRDefault="000C2C7E" w:rsidP="000C2C7E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>OPAL</w:t>
      </w:r>
    </w:p>
    <w:p w:rsidR="000C2C7E" w:rsidRPr="00E26F99" w:rsidRDefault="000C2C7E" w:rsidP="000C2C7E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 xml:space="preserve">6 </w:t>
      </w:r>
      <w:r w:rsidR="00CF64FE">
        <w:rPr>
          <w:b/>
          <w:sz w:val="32"/>
          <w:szCs w:val="32"/>
        </w:rPr>
        <w:t>Modelle</w:t>
      </w:r>
      <w:r w:rsidRPr="00E26F99">
        <w:rPr>
          <w:b/>
          <w:sz w:val="32"/>
          <w:szCs w:val="32"/>
        </w:rPr>
        <w:t xml:space="preserve"> - der perfekte Begleiter für die besonderen Urlaubsmomente</w:t>
      </w:r>
    </w:p>
    <w:p w:rsidR="000C2C7E" w:rsidRDefault="000C2C7E" w:rsidP="000C2C7E">
      <w:pPr>
        <w:spacing w:line="360" w:lineRule="auto"/>
      </w:pPr>
    </w:p>
    <w:p w:rsidR="00946C77" w:rsidRPr="000C2C7E" w:rsidRDefault="00946C77" w:rsidP="00946C77">
      <w:pPr>
        <w:spacing w:line="360" w:lineRule="auto"/>
        <w:rPr>
          <w:b/>
        </w:rPr>
      </w:pPr>
      <w:r w:rsidRPr="000C2C7E">
        <w:rPr>
          <w:b/>
        </w:rPr>
        <w:t>Opal-Neuheiten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0C2C7E">
        <w:t>Neues</w:t>
      </w:r>
      <w:r w:rsidR="000C2C7E" w:rsidRPr="00946C77">
        <w:t xml:space="preserve"> Fendt-Caravan-Logo</w:t>
      </w:r>
      <w:r w:rsidR="000C2C7E">
        <w:t xml:space="preserve"> und neue Schrifttypographie</w:t>
      </w:r>
    </w:p>
    <w:p w:rsidR="00946C77" w:rsidRPr="00946C77" w:rsidRDefault="00946C77" w:rsidP="00946C77">
      <w:pPr>
        <w:spacing w:line="360" w:lineRule="auto"/>
      </w:pPr>
      <w:r w:rsidRPr="00946C77">
        <w:t>• Neues Bugfenster (modellabhängig)</w:t>
      </w:r>
    </w:p>
    <w:p w:rsidR="00946C77" w:rsidRPr="00946C77" w:rsidRDefault="00946C77" w:rsidP="00946C77">
      <w:pPr>
        <w:spacing w:line="360" w:lineRule="auto"/>
      </w:pPr>
      <w:r w:rsidRPr="00946C77">
        <w:t>• Neue</w:t>
      </w:r>
      <w:r w:rsidR="000F1921">
        <w:t>s</w:t>
      </w:r>
      <w:r w:rsidRPr="00946C77">
        <w:t xml:space="preserve"> Alufelgen</w:t>
      </w:r>
      <w:r w:rsidR="000F1921">
        <w:t>design</w:t>
      </w:r>
      <w:r w:rsidRPr="00946C77">
        <w:t xml:space="preserve"> in </w:t>
      </w:r>
      <w:r w:rsidR="003B606F">
        <w:t>„</w:t>
      </w:r>
      <w:r w:rsidRPr="00946C77">
        <w:t>Silber-Optik</w:t>
      </w:r>
      <w:r w:rsidR="003B606F">
        <w:t>“</w:t>
      </w:r>
    </w:p>
    <w:p w:rsidR="00946C77" w:rsidRDefault="00946C77" w:rsidP="00946C77">
      <w:pPr>
        <w:spacing w:line="360" w:lineRule="auto"/>
      </w:pPr>
    </w:p>
    <w:p w:rsidR="00946C77" w:rsidRPr="000C2C7E" w:rsidRDefault="00946C77" w:rsidP="00946C77">
      <w:pPr>
        <w:spacing w:line="360" w:lineRule="auto"/>
        <w:rPr>
          <w:b/>
        </w:rPr>
      </w:pPr>
      <w:r w:rsidRPr="000C2C7E">
        <w:rPr>
          <w:b/>
        </w:rPr>
        <w:t>Opal-Neuheiten im Innenbereich</w:t>
      </w:r>
    </w:p>
    <w:p w:rsidR="00946C77" w:rsidRPr="00946C77" w:rsidRDefault="00CF64FE" w:rsidP="000C2C7E">
      <w:pPr>
        <w:tabs>
          <w:tab w:val="left" w:pos="142"/>
        </w:tabs>
        <w:spacing w:line="360" w:lineRule="auto"/>
      </w:pPr>
      <w:r>
        <w:t>• Das neue Opal-Programm umfaß</w:t>
      </w:r>
      <w:r w:rsidR="00946C77" w:rsidRPr="00946C77">
        <w:t xml:space="preserve">t 6 </w:t>
      </w:r>
      <w:r>
        <w:t>Modelle</w:t>
      </w:r>
      <w:r w:rsidR="00946C77" w:rsidRPr="00946C77">
        <w:t xml:space="preserve">, davon </w:t>
      </w:r>
      <w:r>
        <w:t xml:space="preserve">ein Modell </w:t>
      </w:r>
      <w:r w:rsidR="00946C77">
        <w:t>mit einer L-Küche (</w:t>
      </w:r>
      <w:r w:rsidR="002113EF">
        <w:t xml:space="preserve">Opal </w:t>
      </w:r>
      <w:r w:rsidR="00946C77">
        <w:t xml:space="preserve">560 SRF), </w:t>
      </w:r>
      <w:r w:rsidR="003B606F">
        <w:t xml:space="preserve">ein Modell </w:t>
      </w:r>
      <w:r w:rsidR="00946C77" w:rsidRPr="00946C77">
        <w:t xml:space="preserve"> mit</w:t>
      </w:r>
      <w:r w:rsidR="003B606F">
        <w:t xml:space="preserve"> </w:t>
      </w:r>
      <w:r w:rsidR="003B606F">
        <w:tab/>
        <w:t xml:space="preserve"> </w:t>
      </w:r>
      <w:r w:rsidR="00946C77" w:rsidRPr="00946C77">
        <w:t xml:space="preserve">Etagenbett </w:t>
      </w:r>
      <w:r w:rsidR="000F1921">
        <w:t xml:space="preserve">und Garagentüre </w:t>
      </w:r>
      <w:r w:rsidR="00946C77" w:rsidRPr="00946C77">
        <w:t>(</w:t>
      </w:r>
      <w:r>
        <w:t>O</w:t>
      </w:r>
      <w:r w:rsidR="002113EF">
        <w:t xml:space="preserve">pal </w:t>
      </w:r>
      <w:r w:rsidR="00946C77" w:rsidRPr="00946C77">
        <w:t>515 SKF)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 xml:space="preserve">• Neuer Kühlschrank </w:t>
      </w:r>
      <w:r w:rsidR="003B606F">
        <w:t>„</w:t>
      </w:r>
      <w:r w:rsidRPr="00946C77">
        <w:t>Slim-Tower</w:t>
      </w:r>
      <w:r w:rsidR="003B606F">
        <w:t>, 133-Liter“</w:t>
      </w:r>
      <w:r w:rsidRPr="00946C77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0C2C7E">
      <w:pPr>
        <w:tabs>
          <w:tab w:val="left" w:pos="142"/>
        </w:tabs>
        <w:spacing w:line="360" w:lineRule="auto"/>
      </w:pPr>
      <w:r w:rsidRPr="00946C77">
        <w:t>• Die Stoffvarianten „Murcia“ und „</w:t>
      </w:r>
      <w:proofErr w:type="spellStart"/>
      <w:r w:rsidRPr="00946C77">
        <w:t>Ponza</w:t>
      </w:r>
      <w:proofErr w:type="spellEnd"/>
      <w:r w:rsidRPr="00946C77">
        <w:t>“ sind</w:t>
      </w:r>
      <w:r>
        <w:t xml:space="preserve"> auf den stilvollen Wohnraum im </w:t>
      </w:r>
      <w:r w:rsidR="000F1921">
        <w:t>eleganten Möbeldekor „Kastanie</w:t>
      </w:r>
      <w:r w:rsidR="00A309EF">
        <w:t>-</w:t>
      </w:r>
      <w:r w:rsidR="000F1921">
        <w:tab/>
        <w:t xml:space="preserve"> </w:t>
      </w:r>
      <w:proofErr w:type="spellStart"/>
      <w:r w:rsidR="000F1921">
        <w:t>Cilento</w:t>
      </w:r>
      <w:proofErr w:type="spellEnd"/>
      <w:r w:rsidR="000F1921">
        <w:t xml:space="preserve">“ </w:t>
      </w:r>
      <w:r w:rsidRPr="00946C77">
        <w:t>abgestimmt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CF64FE" w:rsidRDefault="00CF64FE" w:rsidP="00946C77">
      <w:pPr>
        <w:spacing w:line="360" w:lineRule="auto"/>
      </w:pPr>
    </w:p>
    <w:p w:rsidR="00946C77" w:rsidRPr="0098069C" w:rsidRDefault="00946C77" w:rsidP="00946C77">
      <w:pPr>
        <w:spacing w:line="360" w:lineRule="auto"/>
        <w:rPr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>Preise „Deutschland“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C0624A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Opal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E4426D" w:rsidTr="00C0624A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465 SFH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23.385,21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23.990,00</w:t>
            </w:r>
          </w:p>
        </w:tc>
      </w:tr>
      <w:tr w:rsidR="0000316C" w:rsidRPr="009E38AD" w:rsidTr="00C0624A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25.588,24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26.250,00</w:t>
            </w:r>
          </w:p>
        </w:tc>
      </w:tr>
      <w:tr w:rsidR="0000316C" w:rsidRPr="00E4426D" w:rsidTr="00C0624A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515 SKF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25.978,15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26.650,00</w:t>
            </w:r>
          </w:p>
        </w:tc>
      </w:tr>
      <w:tr w:rsidR="0000316C" w:rsidRPr="009E38AD" w:rsidTr="00C0624A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27.245,38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27.950,00</w:t>
            </w:r>
          </w:p>
        </w:tc>
      </w:tr>
      <w:tr w:rsidR="0000316C" w:rsidRPr="009E38AD" w:rsidTr="00C0624A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28.415,13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29.150,00</w:t>
            </w:r>
          </w:p>
        </w:tc>
      </w:tr>
      <w:tr w:rsidR="0000316C" w:rsidRPr="009E38AD" w:rsidTr="00C0624A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SRF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29.048,74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29.800,00</w:t>
            </w:r>
          </w:p>
        </w:tc>
      </w:tr>
    </w:tbl>
    <w:p w:rsidR="005C521D" w:rsidRDefault="005C521D" w:rsidP="005C521D">
      <w:pPr>
        <w:spacing w:line="60" w:lineRule="exact"/>
        <w:rPr>
          <w:rFonts w:ascii="Calibri" w:hAnsi="Calibri"/>
        </w:rPr>
      </w:pPr>
    </w:p>
    <w:p w:rsidR="005C521D" w:rsidRPr="008C34BF" w:rsidRDefault="005C521D" w:rsidP="005C521D">
      <w:pPr>
        <w:spacing w:line="360" w:lineRule="auto"/>
        <w:rPr>
          <w:rFonts w:ascii="Calibri" w:hAnsi="Calibri"/>
          <w:b/>
        </w:rPr>
      </w:pPr>
      <w:bookmarkStart w:id="0" w:name="_GoBack"/>
      <w:bookmarkEnd w:id="0"/>
    </w:p>
    <w:sectPr w:rsidR="005C521D" w:rsidRPr="008C34BF" w:rsidSect="00F04533">
      <w:head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C" w:rsidRDefault="0071448C" w:rsidP="004C4741">
      <w:pPr>
        <w:spacing w:after="0" w:line="240" w:lineRule="auto"/>
      </w:pPr>
      <w:r>
        <w:separator/>
      </w:r>
    </w:p>
  </w:endnote>
  <w:end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C" w:rsidRDefault="0071448C" w:rsidP="004C4741">
      <w:pPr>
        <w:spacing w:after="0" w:line="240" w:lineRule="auto"/>
      </w:pPr>
      <w:r>
        <w:separator/>
      </w:r>
    </w:p>
  </w:footnote>
  <w:foot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C" w:rsidRPr="004C4741" w:rsidRDefault="0071448C">
    <w:pPr>
      <w:pStyle w:val="Kopfzeile"/>
      <w:rPr>
        <w:b/>
      </w:rPr>
    </w:pPr>
    <w:r>
      <w:rPr>
        <w:b/>
      </w:rPr>
      <w:t>Fendt-Caravan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A5"/>
    <w:multiLevelType w:val="hybridMultilevel"/>
    <w:tmpl w:val="C3BA59AA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5A9E"/>
    <w:multiLevelType w:val="hybridMultilevel"/>
    <w:tmpl w:val="70EC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02A2"/>
    <w:multiLevelType w:val="hybridMultilevel"/>
    <w:tmpl w:val="5992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6698C"/>
    <w:multiLevelType w:val="hybridMultilevel"/>
    <w:tmpl w:val="D7627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6C1"/>
    <w:multiLevelType w:val="hybridMultilevel"/>
    <w:tmpl w:val="CF9C3856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A1B41"/>
    <w:multiLevelType w:val="hybridMultilevel"/>
    <w:tmpl w:val="A4DE7870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12D1"/>
    <w:multiLevelType w:val="hybridMultilevel"/>
    <w:tmpl w:val="34DA07A4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D77"/>
    <w:multiLevelType w:val="hybridMultilevel"/>
    <w:tmpl w:val="D54A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D1827"/>
    <w:multiLevelType w:val="hybridMultilevel"/>
    <w:tmpl w:val="E70EC224"/>
    <w:lvl w:ilvl="0" w:tplc="2C0C1200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975B8C"/>
    <w:multiLevelType w:val="hybridMultilevel"/>
    <w:tmpl w:val="CCECF06C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39EA"/>
    <w:multiLevelType w:val="hybridMultilevel"/>
    <w:tmpl w:val="1D72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B50"/>
    <w:multiLevelType w:val="hybridMultilevel"/>
    <w:tmpl w:val="FB101D68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0316C"/>
    <w:rsid w:val="000508CA"/>
    <w:rsid w:val="00055A09"/>
    <w:rsid w:val="00064639"/>
    <w:rsid w:val="000B3C1D"/>
    <w:rsid w:val="000B4CAD"/>
    <w:rsid w:val="000C2C7E"/>
    <w:rsid w:val="000E70C4"/>
    <w:rsid w:val="000F1921"/>
    <w:rsid w:val="000F4FF7"/>
    <w:rsid w:val="00132594"/>
    <w:rsid w:val="00142FBF"/>
    <w:rsid w:val="0016438E"/>
    <w:rsid w:val="00167657"/>
    <w:rsid w:val="00174ABD"/>
    <w:rsid w:val="001F0C12"/>
    <w:rsid w:val="00203B9E"/>
    <w:rsid w:val="00210FBE"/>
    <w:rsid w:val="00211031"/>
    <w:rsid w:val="002113EF"/>
    <w:rsid w:val="00261C9E"/>
    <w:rsid w:val="002850A2"/>
    <w:rsid w:val="002B2724"/>
    <w:rsid w:val="002D2D50"/>
    <w:rsid w:val="002D3413"/>
    <w:rsid w:val="002D6BF2"/>
    <w:rsid w:val="002F1D1B"/>
    <w:rsid w:val="00307EDE"/>
    <w:rsid w:val="00344423"/>
    <w:rsid w:val="00365CEA"/>
    <w:rsid w:val="003906D4"/>
    <w:rsid w:val="003A67DD"/>
    <w:rsid w:val="003B16E2"/>
    <w:rsid w:val="003B4A5E"/>
    <w:rsid w:val="003B606F"/>
    <w:rsid w:val="003C3CCA"/>
    <w:rsid w:val="003F55B0"/>
    <w:rsid w:val="00405535"/>
    <w:rsid w:val="0041080B"/>
    <w:rsid w:val="00433416"/>
    <w:rsid w:val="004549A4"/>
    <w:rsid w:val="0049328B"/>
    <w:rsid w:val="004C2F48"/>
    <w:rsid w:val="004C4741"/>
    <w:rsid w:val="00573D5A"/>
    <w:rsid w:val="00575912"/>
    <w:rsid w:val="005946D9"/>
    <w:rsid w:val="00597C8E"/>
    <w:rsid w:val="005B34F8"/>
    <w:rsid w:val="005B5E9A"/>
    <w:rsid w:val="005C521D"/>
    <w:rsid w:val="005D153A"/>
    <w:rsid w:val="005E6D6A"/>
    <w:rsid w:val="005F3688"/>
    <w:rsid w:val="005F53D6"/>
    <w:rsid w:val="006111C8"/>
    <w:rsid w:val="00676BB0"/>
    <w:rsid w:val="0071448C"/>
    <w:rsid w:val="00721CB3"/>
    <w:rsid w:val="00756D9C"/>
    <w:rsid w:val="007577C8"/>
    <w:rsid w:val="00763B95"/>
    <w:rsid w:val="00765C27"/>
    <w:rsid w:val="00776F13"/>
    <w:rsid w:val="007A6931"/>
    <w:rsid w:val="007B45FE"/>
    <w:rsid w:val="007C67CD"/>
    <w:rsid w:val="007F284B"/>
    <w:rsid w:val="00806331"/>
    <w:rsid w:val="00815F6A"/>
    <w:rsid w:val="0084006A"/>
    <w:rsid w:val="00844772"/>
    <w:rsid w:val="0086520E"/>
    <w:rsid w:val="008A4D41"/>
    <w:rsid w:val="008C34BF"/>
    <w:rsid w:val="008D125B"/>
    <w:rsid w:val="008F22F8"/>
    <w:rsid w:val="00942B57"/>
    <w:rsid w:val="00946C77"/>
    <w:rsid w:val="00962AE7"/>
    <w:rsid w:val="00972900"/>
    <w:rsid w:val="009760AC"/>
    <w:rsid w:val="0098069C"/>
    <w:rsid w:val="00995876"/>
    <w:rsid w:val="009B3C27"/>
    <w:rsid w:val="009B477F"/>
    <w:rsid w:val="009E38AD"/>
    <w:rsid w:val="009E4361"/>
    <w:rsid w:val="00A1725A"/>
    <w:rsid w:val="00A21A00"/>
    <w:rsid w:val="00A3066F"/>
    <w:rsid w:val="00A309EF"/>
    <w:rsid w:val="00A32DC3"/>
    <w:rsid w:val="00A41760"/>
    <w:rsid w:val="00A41B7C"/>
    <w:rsid w:val="00A85949"/>
    <w:rsid w:val="00AA71D1"/>
    <w:rsid w:val="00AB4E9B"/>
    <w:rsid w:val="00AC0BB1"/>
    <w:rsid w:val="00AD44AD"/>
    <w:rsid w:val="00B0698E"/>
    <w:rsid w:val="00B06D36"/>
    <w:rsid w:val="00B47CD8"/>
    <w:rsid w:val="00B7463E"/>
    <w:rsid w:val="00B9268E"/>
    <w:rsid w:val="00BF1085"/>
    <w:rsid w:val="00BF1867"/>
    <w:rsid w:val="00C111B0"/>
    <w:rsid w:val="00C15BC1"/>
    <w:rsid w:val="00C269B9"/>
    <w:rsid w:val="00C61D2A"/>
    <w:rsid w:val="00CA3ACE"/>
    <w:rsid w:val="00CB0064"/>
    <w:rsid w:val="00CC5A67"/>
    <w:rsid w:val="00CF64FE"/>
    <w:rsid w:val="00DB0B80"/>
    <w:rsid w:val="00DB17F5"/>
    <w:rsid w:val="00DE6A17"/>
    <w:rsid w:val="00DE7C70"/>
    <w:rsid w:val="00E26F99"/>
    <w:rsid w:val="00E4426D"/>
    <w:rsid w:val="00E87514"/>
    <w:rsid w:val="00E92512"/>
    <w:rsid w:val="00EA1AD5"/>
    <w:rsid w:val="00EA3EF8"/>
    <w:rsid w:val="00EB1CDE"/>
    <w:rsid w:val="00EB4334"/>
    <w:rsid w:val="00EC1CC2"/>
    <w:rsid w:val="00F00BD3"/>
    <w:rsid w:val="00F04533"/>
    <w:rsid w:val="00F25B39"/>
    <w:rsid w:val="00F37744"/>
    <w:rsid w:val="00F74F23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423E-3876-48BC-907B-E56D3A58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</cp:revision>
  <cp:lastPrinted>2019-04-23T11:55:00Z</cp:lastPrinted>
  <dcterms:created xsi:type="dcterms:W3CDTF">2020-06-30T05:23:00Z</dcterms:created>
  <dcterms:modified xsi:type="dcterms:W3CDTF">2020-06-30T05:23:00Z</dcterms:modified>
</cp:coreProperties>
</file>