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BC3D99"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BC3D99"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3576C0" w:rsidRPr="00823C2B" w:rsidRDefault="00BC3D99" w:rsidP="00311D56">
      <w:pPr>
        <w:pStyle w:val="BodyText2"/>
        <w:spacing w:line="276" w:lineRule="auto"/>
        <w:jc w:val="both"/>
        <w:rPr>
          <w:rFonts w:ascii="Arial" w:hAnsi="Arial" w:cs="Arial"/>
          <w:b/>
          <w:bCs/>
          <w:sz w:val="44"/>
          <w:szCs w:val="32"/>
          <w:lang w:val="cs-CZ"/>
        </w:rPr>
      </w:pPr>
      <w:r>
        <w:rPr>
          <w:rFonts w:ascii="Arial" w:hAnsi="Arial" w:cs="Arial"/>
          <w:b/>
          <w:bCs/>
          <w:sz w:val="44"/>
          <w:szCs w:val="32"/>
          <w:lang w:val="cs-CZ"/>
        </w:rPr>
        <w:t>Tourneo Custom - p</w:t>
      </w:r>
      <w:bookmarkStart w:id="9" w:name="_GoBack"/>
      <w:bookmarkEnd w:id="9"/>
      <w:r w:rsidR="00AF0926">
        <w:rPr>
          <w:rFonts w:ascii="Arial" w:hAnsi="Arial" w:cs="Arial"/>
          <w:b/>
          <w:bCs/>
          <w:sz w:val="44"/>
          <w:szCs w:val="32"/>
          <w:lang w:val="cs-CZ"/>
        </w:rPr>
        <w:t>ředběžné hodnoty spotřeby paliva emisí CO</w:t>
      </w:r>
      <w:r w:rsidR="00AF0926" w:rsidRPr="00AF0926">
        <w:rPr>
          <w:rFonts w:ascii="Arial" w:hAnsi="Arial" w:cs="Arial"/>
          <w:b/>
          <w:bCs/>
          <w:sz w:val="44"/>
          <w:szCs w:val="32"/>
          <w:vertAlign w:val="subscript"/>
          <w:lang w:val="cs-CZ"/>
        </w:rPr>
        <w:t>2</w:t>
      </w:r>
      <w:r w:rsidR="00AF0926">
        <w:rPr>
          <w:rFonts w:ascii="Arial" w:hAnsi="Arial" w:cs="Arial"/>
          <w:b/>
          <w:bCs/>
          <w:sz w:val="44"/>
          <w:szCs w:val="32"/>
          <w:lang w:val="cs-CZ"/>
        </w:rPr>
        <w:t xml:space="preserve"> </w:t>
      </w:r>
    </w:p>
    <w:p w:rsidR="004A5828" w:rsidRPr="00B37CF9" w:rsidRDefault="004A5828" w:rsidP="00311D56">
      <w:pPr>
        <w:pStyle w:val="BodyText2"/>
        <w:spacing w:line="276" w:lineRule="auto"/>
        <w:jc w:val="both"/>
        <w:rPr>
          <w:rFonts w:ascii="Arial" w:hAnsi="Arial" w:cs="Arial"/>
          <w:b/>
          <w:bCs/>
          <w:sz w:val="22"/>
          <w:szCs w:val="22"/>
          <w:lang w:val="cs-CZ"/>
        </w:rPr>
      </w:pPr>
    </w:p>
    <w:p w:rsidR="00AF0926" w:rsidRPr="008F7AAC" w:rsidRDefault="00AF0926" w:rsidP="00AF0926">
      <w:pPr>
        <w:widowControl w:val="0"/>
        <w:autoSpaceDE w:val="0"/>
        <w:autoSpaceDN w:val="0"/>
        <w:adjustRightInd w:val="0"/>
        <w:spacing w:line="276" w:lineRule="auto"/>
        <w:jc w:val="both"/>
        <w:rPr>
          <w:rFonts w:ascii="Arial" w:hAnsi="Arial" w:cs="Arial"/>
          <w:sz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577"/>
        <w:gridCol w:w="1111"/>
        <w:gridCol w:w="1286"/>
        <w:gridCol w:w="1137"/>
        <w:gridCol w:w="1303"/>
        <w:gridCol w:w="1245"/>
      </w:tblGrid>
      <w:tr w:rsidR="00AF0926" w:rsidRPr="0064613A" w:rsidTr="00652F78">
        <w:trPr>
          <w:jc w:val="center"/>
        </w:trPr>
        <w:tc>
          <w:tcPr>
            <w:tcW w:w="1975" w:type="dxa"/>
            <w:shd w:val="clear" w:color="auto" w:fill="auto"/>
          </w:tcPr>
          <w:p w:rsidR="00AF0926" w:rsidRPr="008F7AAC" w:rsidRDefault="00AF0926" w:rsidP="00652F78">
            <w:pPr>
              <w:tabs>
                <w:tab w:val="left" w:pos="5991"/>
              </w:tabs>
              <w:jc w:val="center"/>
              <w:rPr>
                <w:rFonts w:ascii="Arial" w:hAnsi="Arial" w:cs="Arial"/>
                <w:b/>
                <w:szCs w:val="20"/>
                <w:shd w:val="clear" w:color="auto" w:fill="FFFFFF"/>
              </w:rPr>
            </w:pPr>
            <w:r w:rsidRPr="008F7AAC">
              <w:rPr>
                <w:rFonts w:ascii="Arial" w:hAnsi="Arial" w:cs="Arial"/>
                <w:b/>
                <w:szCs w:val="20"/>
                <w:shd w:val="clear" w:color="auto" w:fill="FFFFFF"/>
              </w:rPr>
              <w:t>Motorizace</w:t>
            </w:r>
          </w:p>
        </w:tc>
        <w:tc>
          <w:tcPr>
            <w:tcW w:w="2688" w:type="dxa"/>
            <w:gridSpan w:val="2"/>
            <w:shd w:val="clear" w:color="auto" w:fill="auto"/>
          </w:tcPr>
          <w:p w:rsidR="00AF0926" w:rsidRPr="008F7AAC" w:rsidRDefault="00AF0926" w:rsidP="00652F78">
            <w:pPr>
              <w:tabs>
                <w:tab w:val="left" w:pos="5991"/>
              </w:tabs>
              <w:jc w:val="center"/>
              <w:rPr>
                <w:rFonts w:ascii="Arial" w:hAnsi="Arial" w:cs="Arial"/>
                <w:b/>
                <w:szCs w:val="20"/>
                <w:shd w:val="clear" w:color="auto" w:fill="FFFFFF"/>
              </w:rPr>
            </w:pPr>
            <w:r w:rsidRPr="008F7AAC">
              <w:rPr>
                <w:rFonts w:ascii="Arial" w:hAnsi="Arial" w:cs="Arial"/>
                <w:b/>
                <w:szCs w:val="20"/>
                <w:shd w:val="clear" w:color="auto" w:fill="FFFFFF"/>
              </w:rPr>
              <w:t>Emise CO</w:t>
            </w:r>
            <w:r w:rsidRPr="008F7AAC">
              <w:rPr>
                <w:rFonts w:ascii="Arial" w:hAnsi="Arial" w:cs="Arial"/>
                <w:b/>
                <w:szCs w:val="20"/>
                <w:shd w:val="clear" w:color="auto" w:fill="FFFFFF"/>
                <w:vertAlign w:val="subscript"/>
              </w:rPr>
              <w:t xml:space="preserve">2 </w:t>
            </w:r>
            <w:r w:rsidRPr="008F7AAC">
              <w:rPr>
                <w:rFonts w:ascii="Arial" w:hAnsi="Arial" w:cs="Arial"/>
                <w:b/>
                <w:szCs w:val="20"/>
                <w:shd w:val="clear" w:color="auto" w:fill="FFFFFF"/>
              </w:rPr>
              <w:t>kombinované (g/km) NEDC CO2MPAS</w:t>
            </w:r>
          </w:p>
        </w:tc>
        <w:tc>
          <w:tcPr>
            <w:tcW w:w="2423" w:type="dxa"/>
            <w:gridSpan w:val="2"/>
            <w:shd w:val="clear" w:color="auto" w:fill="auto"/>
          </w:tcPr>
          <w:p w:rsidR="00AF0926" w:rsidRPr="008F7AAC" w:rsidRDefault="00AF0926" w:rsidP="00652F78">
            <w:pPr>
              <w:tabs>
                <w:tab w:val="left" w:pos="5991"/>
              </w:tabs>
              <w:jc w:val="center"/>
              <w:rPr>
                <w:rFonts w:ascii="Arial" w:hAnsi="Arial" w:cs="Arial"/>
                <w:b/>
                <w:szCs w:val="20"/>
                <w:shd w:val="clear" w:color="auto" w:fill="FFFFFF"/>
              </w:rPr>
            </w:pPr>
            <w:r w:rsidRPr="008F7AAC">
              <w:rPr>
                <w:rFonts w:ascii="Arial" w:hAnsi="Arial" w:cs="Arial"/>
                <w:b/>
                <w:szCs w:val="20"/>
                <w:shd w:val="clear" w:color="auto" w:fill="FFFFFF"/>
              </w:rPr>
              <w:t>Emise CO</w:t>
            </w:r>
            <w:r w:rsidRPr="008F7AAC">
              <w:rPr>
                <w:rFonts w:ascii="Arial" w:hAnsi="Arial" w:cs="Arial"/>
                <w:b/>
                <w:szCs w:val="20"/>
                <w:shd w:val="clear" w:color="auto" w:fill="FFFFFF"/>
                <w:vertAlign w:val="subscript"/>
              </w:rPr>
              <w:t xml:space="preserve">2 </w:t>
            </w:r>
            <w:r w:rsidRPr="008F7AAC">
              <w:rPr>
                <w:rFonts w:ascii="Arial" w:hAnsi="Arial" w:cs="Arial"/>
                <w:b/>
                <w:szCs w:val="20"/>
                <w:shd w:val="clear" w:color="auto" w:fill="FFFFFF"/>
              </w:rPr>
              <w:t>kombinované (g/km) WLTP</w:t>
            </w:r>
          </w:p>
        </w:tc>
        <w:tc>
          <w:tcPr>
            <w:tcW w:w="2548" w:type="dxa"/>
            <w:gridSpan w:val="2"/>
          </w:tcPr>
          <w:p w:rsidR="00AF0926" w:rsidRPr="008F7AAC" w:rsidRDefault="00AF0926" w:rsidP="00652F78">
            <w:pPr>
              <w:tabs>
                <w:tab w:val="left" w:pos="5991"/>
              </w:tabs>
              <w:jc w:val="center"/>
              <w:rPr>
                <w:rFonts w:ascii="Arial" w:hAnsi="Arial" w:cs="Arial"/>
                <w:b/>
                <w:szCs w:val="20"/>
                <w:shd w:val="clear" w:color="auto" w:fill="FFFFFF"/>
              </w:rPr>
            </w:pPr>
            <w:r w:rsidRPr="008F7AAC">
              <w:rPr>
                <w:rFonts w:ascii="Arial" w:hAnsi="Arial" w:cs="Arial"/>
                <w:b/>
                <w:szCs w:val="20"/>
                <w:shd w:val="clear" w:color="auto" w:fill="FFFFFF"/>
              </w:rPr>
              <w:t>Spotřeba paliva kombinovaná (l/100 km) WLTP</w:t>
            </w:r>
          </w:p>
        </w:tc>
      </w:tr>
      <w:tr w:rsidR="00AF0926" w:rsidRPr="0064613A" w:rsidTr="00652F78">
        <w:trPr>
          <w:jc w:val="center"/>
        </w:trPr>
        <w:tc>
          <w:tcPr>
            <w:tcW w:w="1975" w:type="dxa"/>
            <w:shd w:val="clear" w:color="auto" w:fill="auto"/>
          </w:tcPr>
          <w:p w:rsidR="00AF0926" w:rsidRPr="008F7AAC" w:rsidRDefault="00AF0926" w:rsidP="00652F78">
            <w:pPr>
              <w:tabs>
                <w:tab w:val="left" w:pos="5991"/>
              </w:tabs>
              <w:rPr>
                <w:rFonts w:ascii="Arial" w:hAnsi="Arial" w:cs="Arial"/>
                <w:szCs w:val="20"/>
                <w:shd w:val="clear" w:color="auto" w:fill="FFFFFF"/>
              </w:rPr>
            </w:pPr>
          </w:p>
        </w:tc>
        <w:tc>
          <w:tcPr>
            <w:tcW w:w="1577"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EcoBlue</w:t>
            </w:r>
          </w:p>
        </w:tc>
        <w:tc>
          <w:tcPr>
            <w:tcW w:w="1111"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EcoBlue Hybrid</w:t>
            </w:r>
          </w:p>
        </w:tc>
        <w:tc>
          <w:tcPr>
            <w:tcW w:w="1286"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EcoBlue</w:t>
            </w:r>
          </w:p>
        </w:tc>
        <w:tc>
          <w:tcPr>
            <w:tcW w:w="1137"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EcoBlue Hybrid</w:t>
            </w:r>
          </w:p>
        </w:tc>
        <w:tc>
          <w:tcPr>
            <w:tcW w:w="1303" w:type="dxa"/>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Ecoblue</w:t>
            </w:r>
          </w:p>
        </w:tc>
        <w:tc>
          <w:tcPr>
            <w:tcW w:w="1245" w:type="dxa"/>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EcoBlue Hybrid</w:t>
            </w:r>
          </w:p>
        </w:tc>
      </w:tr>
      <w:tr w:rsidR="00AF0926" w:rsidRPr="0064613A" w:rsidTr="00652F78">
        <w:trPr>
          <w:jc w:val="center"/>
        </w:trPr>
        <w:tc>
          <w:tcPr>
            <w:tcW w:w="1975" w:type="dxa"/>
            <w:shd w:val="clear" w:color="auto" w:fill="auto"/>
          </w:tcPr>
          <w:p w:rsidR="00AF0926" w:rsidRPr="008F7AAC" w:rsidRDefault="00AF0926" w:rsidP="00652F78">
            <w:pPr>
              <w:tabs>
                <w:tab w:val="left" w:pos="5991"/>
              </w:tabs>
              <w:rPr>
                <w:rFonts w:ascii="Arial" w:hAnsi="Arial" w:cs="Arial"/>
                <w:szCs w:val="20"/>
                <w:shd w:val="clear" w:color="auto" w:fill="FFFFFF"/>
              </w:rPr>
            </w:pPr>
            <w:r w:rsidRPr="008F7AAC">
              <w:rPr>
                <w:rFonts w:ascii="Arial" w:hAnsi="Arial" w:cs="Arial"/>
                <w:szCs w:val="20"/>
                <w:shd w:val="clear" w:color="auto" w:fill="FFFFFF"/>
              </w:rPr>
              <w:t>2.0 136 kW man.</w:t>
            </w:r>
          </w:p>
        </w:tc>
        <w:tc>
          <w:tcPr>
            <w:tcW w:w="1577"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154-164</w:t>
            </w:r>
          </w:p>
        </w:tc>
        <w:tc>
          <w:tcPr>
            <w:tcW w:w="1111"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137-147</w:t>
            </w:r>
          </w:p>
        </w:tc>
        <w:tc>
          <w:tcPr>
            <w:tcW w:w="1286"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187-232</w:t>
            </w:r>
          </w:p>
        </w:tc>
        <w:tc>
          <w:tcPr>
            <w:tcW w:w="1137"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183-227</w:t>
            </w:r>
          </w:p>
        </w:tc>
        <w:tc>
          <w:tcPr>
            <w:tcW w:w="1303" w:type="dxa"/>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7,2-8,9</w:t>
            </w:r>
          </w:p>
        </w:tc>
        <w:tc>
          <w:tcPr>
            <w:tcW w:w="1245" w:type="dxa"/>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7,0-8,7</w:t>
            </w:r>
          </w:p>
        </w:tc>
      </w:tr>
      <w:tr w:rsidR="00AF0926" w:rsidRPr="0064613A" w:rsidTr="00652F78">
        <w:trPr>
          <w:jc w:val="center"/>
        </w:trPr>
        <w:tc>
          <w:tcPr>
            <w:tcW w:w="1975" w:type="dxa"/>
            <w:shd w:val="clear" w:color="auto" w:fill="auto"/>
          </w:tcPr>
          <w:p w:rsidR="00AF0926" w:rsidRPr="008F7AAC" w:rsidRDefault="00AF0926" w:rsidP="00652F78">
            <w:pPr>
              <w:tabs>
                <w:tab w:val="left" w:pos="5991"/>
              </w:tabs>
              <w:rPr>
                <w:rFonts w:ascii="Arial" w:hAnsi="Arial" w:cs="Arial"/>
                <w:szCs w:val="20"/>
                <w:shd w:val="clear" w:color="auto" w:fill="FFFFFF"/>
              </w:rPr>
            </w:pPr>
            <w:r w:rsidRPr="008F7AAC">
              <w:rPr>
                <w:rFonts w:ascii="Arial" w:hAnsi="Arial" w:cs="Arial"/>
                <w:szCs w:val="20"/>
                <w:shd w:val="clear" w:color="auto" w:fill="FFFFFF"/>
              </w:rPr>
              <w:t>2.0 96 kW man.</w:t>
            </w:r>
          </w:p>
        </w:tc>
        <w:tc>
          <w:tcPr>
            <w:tcW w:w="1577"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158-164</w:t>
            </w:r>
          </w:p>
        </w:tc>
        <w:tc>
          <w:tcPr>
            <w:tcW w:w="1111"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137-145</w:t>
            </w:r>
          </w:p>
        </w:tc>
        <w:tc>
          <w:tcPr>
            <w:tcW w:w="1286"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188-232</w:t>
            </w:r>
          </w:p>
        </w:tc>
        <w:tc>
          <w:tcPr>
            <w:tcW w:w="1137"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183-222</w:t>
            </w:r>
          </w:p>
        </w:tc>
        <w:tc>
          <w:tcPr>
            <w:tcW w:w="1303" w:type="dxa"/>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7,2-8,9</w:t>
            </w:r>
          </w:p>
        </w:tc>
        <w:tc>
          <w:tcPr>
            <w:tcW w:w="1245" w:type="dxa"/>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7,0-8,5</w:t>
            </w:r>
          </w:p>
        </w:tc>
      </w:tr>
      <w:tr w:rsidR="00AF0926" w:rsidRPr="0064613A" w:rsidTr="00652F78">
        <w:trPr>
          <w:jc w:val="center"/>
        </w:trPr>
        <w:tc>
          <w:tcPr>
            <w:tcW w:w="1975" w:type="dxa"/>
            <w:shd w:val="clear" w:color="auto" w:fill="auto"/>
          </w:tcPr>
          <w:p w:rsidR="00AF0926" w:rsidRPr="008F7AAC" w:rsidRDefault="00AF0926" w:rsidP="00652F78">
            <w:pPr>
              <w:tabs>
                <w:tab w:val="left" w:pos="5991"/>
              </w:tabs>
              <w:rPr>
                <w:rFonts w:ascii="Arial" w:hAnsi="Arial" w:cs="Arial"/>
                <w:szCs w:val="20"/>
                <w:shd w:val="clear" w:color="auto" w:fill="FFFFFF"/>
              </w:rPr>
            </w:pPr>
            <w:r w:rsidRPr="008F7AAC">
              <w:rPr>
                <w:rFonts w:ascii="Arial" w:hAnsi="Arial" w:cs="Arial"/>
                <w:szCs w:val="20"/>
                <w:shd w:val="clear" w:color="auto" w:fill="FFFFFF"/>
              </w:rPr>
              <w:t>2.0 77 kW man.</w:t>
            </w:r>
          </w:p>
        </w:tc>
        <w:tc>
          <w:tcPr>
            <w:tcW w:w="1577"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157-164</w:t>
            </w:r>
          </w:p>
        </w:tc>
        <w:tc>
          <w:tcPr>
            <w:tcW w:w="1111"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w:t>
            </w:r>
          </w:p>
        </w:tc>
        <w:tc>
          <w:tcPr>
            <w:tcW w:w="1286"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187-232</w:t>
            </w:r>
          </w:p>
        </w:tc>
        <w:tc>
          <w:tcPr>
            <w:tcW w:w="1137"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w:t>
            </w:r>
          </w:p>
        </w:tc>
        <w:tc>
          <w:tcPr>
            <w:tcW w:w="1303" w:type="dxa"/>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7,1-8,9</w:t>
            </w:r>
          </w:p>
        </w:tc>
        <w:tc>
          <w:tcPr>
            <w:tcW w:w="1245" w:type="dxa"/>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w:t>
            </w:r>
          </w:p>
        </w:tc>
      </w:tr>
      <w:tr w:rsidR="00AF0926" w:rsidRPr="0064613A" w:rsidTr="00652F78">
        <w:trPr>
          <w:jc w:val="center"/>
        </w:trPr>
        <w:tc>
          <w:tcPr>
            <w:tcW w:w="1975" w:type="dxa"/>
            <w:shd w:val="clear" w:color="auto" w:fill="auto"/>
          </w:tcPr>
          <w:p w:rsidR="00AF0926" w:rsidRPr="008F7AAC" w:rsidRDefault="00AF0926" w:rsidP="00652F78">
            <w:pPr>
              <w:tabs>
                <w:tab w:val="left" w:pos="5991"/>
              </w:tabs>
              <w:rPr>
                <w:rFonts w:ascii="Arial" w:hAnsi="Arial" w:cs="Arial"/>
                <w:szCs w:val="20"/>
                <w:shd w:val="clear" w:color="auto" w:fill="FFFFFF"/>
              </w:rPr>
            </w:pPr>
            <w:r w:rsidRPr="008F7AAC">
              <w:rPr>
                <w:rFonts w:ascii="Arial" w:hAnsi="Arial" w:cs="Arial"/>
                <w:szCs w:val="20"/>
                <w:shd w:val="clear" w:color="auto" w:fill="FFFFFF"/>
              </w:rPr>
              <w:t>2.0 96/136 kW aut.</w:t>
            </w:r>
          </w:p>
        </w:tc>
        <w:tc>
          <w:tcPr>
            <w:tcW w:w="1577"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161-180</w:t>
            </w:r>
          </w:p>
        </w:tc>
        <w:tc>
          <w:tcPr>
            <w:tcW w:w="1111"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w:t>
            </w:r>
          </w:p>
        </w:tc>
        <w:tc>
          <w:tcPr>
            <w:tcW w:w="1286"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206-245</w:t>
            </w:r>
          </w:p>
        </w:tc>
        <w:tc>
          <w:tcPr>
            <w:tcW w:w="1137" w:type="dxa"/>
            <w:shd w:val="clear" w:color="auto" w:fill="auto"/>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w:t>
            </w:r>
          </w:p>
        </w:tc>
        <w:tc>
          <w:tcPr>
            <w:tcW w:w="1303" w:type="dxa"/>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7,9-9,3</w:t>
            </w:r>
          </w:p>
        </w:tc>
        <w:tc>
          <w:tcPr>
            <w:tcW w:w="1245" w:type="dxa"/>
            <w:vAlign w:val="center"/>
          </w:tcPr>
          <w:p w:rsidR="00AF0926" w:rsidRPr="008F7AAC" w:rsidRDefault="00AF0926" w:rsidP="00652F78">
            <w:pPr>
              <w:tabs>
                <w:tab w:val="left" w:pos="5991"/>
              </w:tabs>
              <w:jc w:val="center"/>
              <w:rPr>
                <w:rFonts w:ascii="Arial" w:hAnsi="Arial" w:cs="Arial"/>
                <w:szCs w:val="20"/>
                <w:shd w:val="clear" w:color="auto" w:fill="FFFFFF"/>
              </w:rPr>
            </w:pPr>
            <w:r w:rsidRPr="008F7AAC">
              <w:rPr>
                <w:rFonts w:ascii="Arial" w:hAnsi="Arial" w:cs="Arial"/>
                <w:szCs w:val="20"/>
                <w:shd w:val="clear" w:color="auto" w:fill="FFFFFF"/>
              </w:rPr>
              <w:t>-</w:t>
            </w:r>
          </w:p>
        </w:tc>
      </w:tr>
    </w:tbl>
    <w:p w:rsidR="00AF0926" w:rsidRPr="00120EF5" w:rsidRDefault="00AF0926" w:rsidP="00AF0926">
      <w:pPr>
        <w:tabs>
          <w:tab w:val="left" w:pos="5991"/>
        </w:tabs>
        <w:rPr>
          <w:rFonts w:ascii="Arial" w:hAnsi="Arial" w:cs="Arial"/>
          <w:szCs w:val="20"/>
          <w:shd w:val="clear" w:color="auto" w:fill="FFFFFF"/>
        </w:rPr>
      </w:pPr>
    </w:p>
    <w:p w:rsidR="00AF0926" w:rsidRPr="00492663" w:rsidRDefault="00AF0926" w:rsidP="00AF0926">
      <w:pPr>
        <w:tabs>
          <w:tab w:val="left" w:pos="5991"/>
        </w:tabs>
        <w:rPr>
          <w:rFonts w:ascii="Arial" w:hAnsi="Arial" w:cs="Arial"/>
          <w:szCs w:val="20"/>
          <w:shd w:val="clear" w:color="auto" w:fill="FFFFFF"/>
        </w:rPr>
      </w:pPr>
    </w:p>
    <w:p w:rsidR="00AF0926" w:rsidRPr="008F7AAC" w:rsidRDefault="00AF0926" w:rsidP="00AF0926">
      <w:pPr>
        <w:widowControl w:val="0"/>
        <w:autoSpaceDE w:val="0"/>
        <w:autoSpaceDN w:val="0"/>
        <w:adjustRightInd w:val="0"/>
        <w:spacing w:line="276" w:lineRule="auto"/>
        <w:jc w:val="both"/>
        <w:rPr>
          <w:rFonts w:ascii="Arial" w:hAnsi="Arial" w:cs="Arial"/>
          <w:sz w:val="24"/>
        </w:rPr>
      </w:pPr>
      <w:r w:rsidRPr="008F7AAC">
        <w:rPr>
          <w:rFonts w:ascii="Arial" w:hAnsi="Arial" w:cs="Arial"/>
          <w:sz w:val="24"/>
        </w:rPr>
        <w:t>Uváděné hodnoty spotřeby paliva a emisí CO</w:t>
      </w:r>
      <w:r w:rsidRPr="008F7AAC">
        <w:rPr>
          <w:rFonts w:ascii="Arial" w:hAnsi="Arial" w:cs="Arial"/>
          <w:sz w:val="24"/>
          <w:vertAlign w:val="subscript"/>
        </w:rPr>
        <w:t>2</w:t>
      </w:r>
      <w:r w:rsidRPr="008F7AAC">
        <w:rPr>
          <w:rFonts w:ascii="Arial" w:hAnsi="Arial" w:cs="Arial"/>
          <w:sz w:val="24"/>
        </w:rPr>
        <w:t xml:space="preserve"> byly naměřeny dle technických požadavků a specifikací evropských směrnic (EC) 715/2007 a (EC) 692/2008 v aktuálním znění. Uváděné hodnoty spotřeby paliva a emisí CO</w:t>
      </w:r>
      <w:r w:rsidRPr="008F7AAC">
        <w:rPr>
          <w:rFonts w:ascii="Arial" w:hAnsi="Arial" w:cs="Arial"/>
          <w:sz w:val="24"/>
          <w:vertAlign w:val="subscript"/>
        </w:rPr>
        <w:t>2</w:t>
      </w:r>
      <w:r w:rsidRPr="008F7AAC">
        <w:rPr>
          <w:rFonts w:ascii="Arial" w:hAnsi="Arial" w:cs="Arial"/>
          <w:sz w:val="24"/>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8F7AAC">
        <w:rPr>
          <w:rFonts w:ascii="Arial" w:hAnsi="Arial" w:cs="Arial"/>
          <w:sz w:val="24"/>
          <w:vertAlign w:val="subscript"/>
        </w:rPr>
        <w:t>2</w:t>
      </w:r>
      <w:r w:rsidRPr="008F7AAC">
        <w:rPr>
          <w:rFonts w:ascii="Arial" w:hAnsi="Arial" w:cs="Arial"/>
          <w:sz w:val="24"/>
        </w:rPr>
        <w:t xml:space="preserve"> patří k nejvýznamnějším skleníkovým plynům, způsobujícím globální oteplování.</w:t>
      </w:r>
    </w:p>
    <w:p w:rsidR="00AF0926" w:rsidRPr="008F7AAC" w:rsidRDefault="00AF0926" w:rsidP="00AF0926">
      <w:pPr>
        <w:widowControl w:val="0"/>
        <w:autoSpaceDE w:val="0"/>
        <w:autoSpaceDN w:val="0"/>
        <w:adjustRightInd w:val="0"/>
        <w:spacing w:line="276" w:lineRule="auto"/>
        <w:jc w:val="both"/>
        <w:rPr>
          <w:rFonts w:ascii="Arial" w:hAnsi="Arial" w:cs="Arial"/>
          <w:sz w:val="24"/>
        </w:rPr>
      </w:pPr>
    </w:p>
    <w:p w:rsidR="00AF0926" w:rsidRPr="008F7AAC" w:rsidRDefault="00AF0926" w:rsidP="00AF0926">
      <w:pPr>
        <w:widowControl w:val="0"/>
        <w:autoSpaceDE w:val="0"/>
        <w:autoSpaceDN w:val="0"/>
        <w:adjustRightInd w:val="0"/>
        <w:spacing w:line="276" w:lineRule="auto"/>
        <w:jc w:val="both"/>
        <w:rPr>
          <w:rFonts w:ascii="Arial" w:hAnsi="Arial" w:cs="Arial"/>
          <w:sz w:val="24"/>
        </w:rPr>
      </w:pPr>
      <w:r w:rsidRPr="008F7AAC">
        <w:rPr>
          <w:rFonts w:ascii="Arial" w:hAnsi="Arial" w:cs="Arial"/>
          <w:sz w:val="24"/>
        </w:rPr>
        <w:t>Od 1. září 2017 se typové schválení některých nových automobilů řídí procedurou WLTP (World Harmonised Light Vehicle Test Procedure) dle (EU) 2017/1151 v aktuálním znění. Jde o nový, realističtější způsob měření spotřeby paliva a emisí CO</w:t>
      </w:r>
      <w:r w:rsidRPr="008F7AAC">
        <w:rPr>
          <w:rFonts w:ascii="Arial" w:hAnsi="Arial" w:cs="Arial"/>
          <w:sz w:val="24"/>
          <w:vertAlign w:val="subscript"/>
        </w:rPr>
        <w:t>2</w:t>
      </w:r>
      <w:r w:rsidRPr="008F7AAC">
        <w:rPr>
          <w:rFonts w:ascii="Arial" w:hAnsi="Arial" w:cs="Arial"/>
          <w:sz w:val="24"/>
        </w:rPr>
        <w:t xml:space="preserve">. Od 1. září 2018 WLTP zcela nahradí dosud používaný cyklus NEDC. Během přechodného období budou hodnoty zjištěné dle WLTP vztahovány k NEDC. V </w:t>
      </w:r>
      <w:r w:rsidRPr="008F7AAC">
        <w:rPr>
          <w:rFonts w:ascii="Arial" w:hAnsi="Arial" w:cs="Arial"/>
          <w:sz w:val="24"/>
        </w:rPr>
        <w:lastRenderedPageBreak/>
        <w:t>důsledku změny metodiky měření se objeví určité rozdíly oproti dříve udávaným hodnotám spotřeby paliva a emisí CO</w:t>
      </w:r>
      <w:r w:rsidRPr="008F7AAC">
        <w:rPr>
          <w:rFonts w:ascii="Arial" w:hAnsi="Arial" w:cs="Arial"/>
          <w:sz w:val="24"/>
          <w:vertAlign w:val="subscript"/>
        </w:rPr>
        <w:t>2</w:t>
      </w:r>
      <w:r w:rsidRPr="008F7AAC">
        <w:rPr>
          <w:rFonts w:ascii="Arial" w:hAnsi="Arial" w:cs="Arial"/>
          <w:sz w:val="24"/>
        </w:rPr>
        <w:t>. To znamená, že stejný vůz může dle nové metodiky vykazovat jiné hodnoty než dříve.</w:t>
      </w:r>
    </w:p>
    <w:p w:rsidR="00FF5A06" w:rsidRDefault="00FF5A06" w:rsidP="00AF0926">
      <w:pPr>
        <w:pStyle w:val="ListParagraph"/>
        <w:spacing w:line="276" w:lineRule="auto"/>
        <w:ind w:right="-24"/>
        <w:jc w:val="both"/>
        <w:rPr>
          <w:rFonts w:ascii="Arial" w:hAnsi="Arial" w:cs="Arial"/>
          <w:szCs w:val="22"/>
        </w:rPr>
      </w:pPr>
    </w:p>
    <w:sectPr w:rsidR="00FF5A0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42" w:rsidRDefault="00704142">
      <w:r>
        <w:separator/>
      </w:r>
    </w:p>
  </w:endnote>
  <w:endnote w:type="continuationSeparator" w:id="0">
    <w:p w:rsidR="00704142" w:rsidRDefault="00704142">
      <w:r>
        <w:continuationSeparator/>
      </w:r>
    </w:p>
  </w:endnote>
  <w:endnote w:type="continuationNotice" w:id="1">
    <w:p w:rsidR="00704142" w:rsidRDefault="007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42" w:rsidRDefault="00704142">
      <w:r>
        <w:separator/>
      </w:r>
    </w:p>
  </w:footnote>
  <w:footnote w:type="continuationSeparator" w:id="0">
    <w:p w:rsidR="00704142" w:rsidRDefault="00704142">
      <w:r>
        <w:continuationSeparator/>
      </w:r>
    </w:p>
  </w:footnote>
  <w:footnote w:type="continuationNotice" w:id="1">
    <w:p w:rsidR="00704142" w:rsidRDefault="007041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0926"/>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3D99"/>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ACBA26"/>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8C5E-7C56-4FCB-99E3-334AA672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7</cp:revision>
  <cp:lastPrinted>2017-03-15T14:07:00Z</cp:lastPrinted>
  <dcterms:created xsi:type="dcterms:W3CDTF">2017-12-13T11:19:00Z</dcterms:created>
  <dcterms:modified xsi:type="dcterms:W3CDTF">2019-03-04T15:50:00Z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