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 xml:space="preserve">Saphir </w:t>
      </w:r>
      <w:r w:rsidRPr="00946C77">
        <w:t>–</w:t>
      </w:r>
      <w:r w:rsidR="006111C8">
        <w:t xml:space="preserve"> </w:t>
      </w:r>
      <w:r w:rsidR="00C15BC1" w:rsidRPr="00C15BC1">
        <w:t xml:space="preserve">6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Willkommen in Ihrem Stück Heimat in der Ferne</w:t>
      </w: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C77B91" w:rsidRDefault="00C77B91" w:rsidP="005C521D">
      <w:pPr>
        <w:rPr>
          <w:rFonts w:ascii="Calibri" w:hAnsi="Calibri"/>
          <w:b/>
        </w:rPr>
      </w:pPr>
    </w:p>
    <w:p w:rsidR="005C521D" w:rsidRPr="00A41760" w:rsidRDefault="005C521D" w:rsidP="005C521D">
      <w:pPr>
        <w:rPr>
          <w:rFonts w:ascii="Calibri" w:hAnsi="Calibri"/>
          <w:b/>
        </w:rPr>
      </w:pPr>
      <w:r w:rsidRPr="00A41760">
        <w:rPr>
          <w:rFonts w:ascii="Calibri" w:hAnsi="Calibri"/>
          <w:b/>
        </w:rPr>
        <w:t>Typbezeichnungen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03"/>
        <w:gridCol w:w="360"/>
        <w:gridCol w:w="1277"/>
        <w:gridCol w:w="360"/>
        <w:gridCol w:w="2439"/>
        <w:gridCol w:w="3504"/>
      </w:tblGrid>
      <w:tr w:rsidR="005C521D" w:rsidRPr="004C4741" w:rsidTr="005B5E9A">
        <w:trPr>
          <w:trHeight w:hRule="exact" w:val="207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im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Bug</w:t>
            </w:r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Getrennte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Betten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R</w:t>
            </w: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Große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Rundsitzgruppe</w:t>
            </w:r>
            <w:proofErr w:type="spellEnd"/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Beispiel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: 515 SKM = Slim-Tower,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Separate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Dusche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K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</w:t>
            </w:r>
          </w:p>
        </w:tc>
        <w:tc>
          <w:tcPr>
            <w:tcW w:w="2439" w:type="dxa"/>
          </w:tcPr>
          <w:p w:rsidR="005C521D" w:rsidRPr="004C4741" w:rsidRDefault="005C521D" w:rsidP="005C521D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Slim-Tower</w:t>
            </w:r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Einhängetisch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M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WW</w:t>
            </w: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Warmwasser-Heizung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und</w:t>
            </w:r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Warmwasser-Fußbodenheizung</w:t>
            </w:r>
            <w:proofErr w:type="spellEnd"/>
          </w:p>
        </w:tc>
        <w:tc>
          <w:tcPr>
            <w:tcW w:w="3504" w:type="dxa"/>
          </w:tcPr>
          <w:p w:rsidR="005C521D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Pr="004C4741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5C521D" w:rsidRPr="0098069C" w:rsidTr="005B5E9A">
        <w:trPr>
          <w:trHeight w:hRule="exact" w:val="279"/>
        </w:trPr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1903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1277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439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504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</w:tbl>
    <w:p w:rsidR="00C77B91" w:rsidRDefault="00C77B91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SAPHIR</w:t>
      </w:r>
    </w:p>
    <w:p w:rsidR="00946C77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</w:t>
      </w:r>
      <w:r w:rsidR="00CF64FE">
        <w:rPr>
          <w:b/>
          <w:sz w:val="32"/>
          <w:szCs w:val="32"/>
        </w:rPr>
        <w:t xml:space="preserve"> </w:t>
      </w:r>
      <w:r w:rsidRPr="00A32DC3">
        <w:rPr>
          <w:b/>
          <w:sz w:val="32"/>
          <w:szCs w:val="32"/>
        </w:rPr>
        <w:t>Willkommen in Ihrem Stück Heimat in der Ferne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Beim Saphir gibt es 6 moderne und pflegeleichte </w:t>
      </w:r>
      <w:r w:rsidR="00CF64FE">
        <w:t>Modelle</w:t>
      </w:r>
      <w:r>
        <w:t xml:space="preserve"> für den unbeschwerten </w:t>
      </w:r>
      <w:r w:rsidRPr="00946C77">
        <w:t>Einstieg in die Fendt-Caravan-Welt.</w:t>
      </w: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Saphir-Besonderheiten:</w:t>
      </w:r>
    </w:p>
    <w:p w:rsidR="00A32DC3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Kocher-Spülkombination mit Zündsich</w:t>
      </w:r>
      <w:r>
        <w:t xml:space="preserve">erung, Zündautomatik, geteiltem </w:t>
      </w:r>
      <w:r w:rsidR="00CF64FE">
        <w:t>Guß</w:t>
      </w:r>
      <w:r w:rsidRPr="00946C77">
        <w:t>eisen-Gitterrost und geteilter Glasabdeckung (3-flammig)</w:t>
      </w:r>
    </w:p>
    <w:p w:rsidR="00946C77" w:rsidRPr="00946C77" w:rsidRDefault="00CF64FE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>
        <w:t>105 Liter</w:t>
      </w:r>
      <w:r w:rsidR="00F00BD3">
        <w:t xml:space="preserve">-Kühlschrank </w:t>
      </w:r>
      <w:r>
        <w:t xml:space="preserve">oder </w:t>
      </w:r>
      <w:r w:rsidR="00F00BD3">
        <w:t>Kühlschrank „Slim-Tower,</w:t>
      </w:r>
      <w:r w:rsidR="0071448C">
        <w:t xml:space="preserve"> </w:t>
      </w:r>
      <w:r>
        <w:t>133 Liter</w:t>
      </w:r>
      <w:r w:rsidR="00F00BD3">
        <w:t>“ der 10er-Serie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F00BD3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Attraktive Etagenbettvarianten</w:t>
      </w:r>
    </w:p>
    <w:p w:rsidR="00946C77" w:rsidRPr="00946C77" w:rsidRDefault="0041080B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proofErr w:type="spellStart"/>
      <w:r>
        <w:t>Truma</w:t>
      </w:r>
      <w:proofErr w:type="spellEnd"/>
      <w:r w:rsidR="00CA3ACE">
        <w:t xml:space="preserve"> S 3004 bzw. </w:t>
      </w:r>
      <w:r w:rsidR="00946C77" w:rsidRPr="00946C77">
        <w:t>S 5004 Gasheizungen</w:t>
      </w:r>
      <w:r w:rsidR="00597C8E">
        <w:t xml:space="preserve"> mit Zündautomatik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 xml:space="preserve">Je nach </w:t>
      </w:r>
      <w:r w:rsidR="00CF64FE">
        <w:t xml:space="preserve">Modell </w:t>
      </w:r>
      <w:r w:rsidRPr="00946C77">
        <w:t>Duschkabine sowie verschiedenste Waschraumvarianten</w:t>
      </w:r>
    </w:p>
    <w:p w:rsidR="00946C77" w:rsidRPr="00946C77" w:rsidRDefault="000F1921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>
        <w:t>Angenehm bequeme Qualitäts-</w:t>
      </w:r>
      <w:r w:rsidR="00946C77" w:rsidRPr="00946C77">
        <w:t>Federkernmatratzen in Einzel- und französischen Betten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 xml:space="preserve">Warmes Möbeldekor </w:t>
      </w:r>
      <w:r w:rsidR="0041080B">
        <w:t>„</w:t>
      </w:r>
      <w:r w:rsidRPr="00946C77">
        <w:t>Kastanie-Moretti</w:t>
      </w:r>
      <w:r w:rsidR="0041080B">
        <w:t>“</w:t>
      </w:r>
      <w:r w:rsidRPr="00946C77">
        <w:t>, wa</w:t>
      </w:r>
      <w:r>
        <w:t xml:space="preserve">hlweise sind die Stoffvarianten </w:t>
      </w:r>
      <w:r w:rsidR="00A3066F">
        <w:t>„</w:t>
      </w:r>
      <w:proofErr w:type="spellStart"/>
      <w:r w:rsidRPr="00A3066F">
        <w:t>Aosta</w:t>
      </w:r>
      <w:proofErr w:type="spellEnd"/>
      <w:r w:rsidR="00A3066F">
        <w:t>“</w:t>
      </w:r>
      <w:r w:rsidRPr="00946C77">
        <w:t xml:space="preserve"> und der neue </w:t>
      </w:r>
      <w:r w:rsidR="000F4FF7">
        <w:t xml:space="preserve">Stoff </w:t>
      </w:r>
      <w:r w:rsidR="00A3066F">
        <w:t>„</w:t>
      </w:r>
      <w:r w:rsidRPr="00A3066F">
        <w:t>Cardiff</w:t>
      </w:r>
      <w:r w:rsidR="00A3066F">
        <w:t>“</w:t>
      </w:r>
      <w:r w:rsidRPr="00946C77">
        <w:t xml:space="preserve"> erhältlich</w:t>
      </w:r>
    </w:p>
    <w:p w:rsidR="00946C77" w:rsidRDefault="00946C77" w:rsidP="00946C77">
      <w:pPr>
        <w:spacing w:line="360" w:lineRule="auto"/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A32DC3">
      <w:pPr>
        <w:spacing w:line="360" w:lineRule="auto"/>
      </w:pPr>
    </w:p>
    <w:p w:rsidR="00CF64FE" w:rsidRPr="0098069C" w:rsidRDefault="00CF64FE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SAPHIR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</w:t>
      </w:r>
      <w:r w:rsidR="00CF64FE">
        <w:rPr>
          <w:b/>
          <w:sz w:val="32"/>
          <w:szCs w:val="32"/>
        </w:rPr>
        <w:t xml:space="preserve"> </w:t>
      </w:r>
      <w:r w:rsidRPr="00A32DC3">
        <w:rPr>
          <w:b/>
          <w:sz w:val="32"/>
          <w:szCs w:val="32"/>
        </w:rPr>
        <w:t>Willkommen in Ihrem Stück Heimat in der Ferne</w:t>
      </w: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</w:t>
      </w:r>
      <w:r w:rsidR="00CF64FE">
        <w:t xml:space="preserve"> Das neue Saphir-Programm umfaß</w:t>
      </w:r>
      <w:r w:rsidRPr="00946C77">
        <w:t xml:space="preserve">t 6 </w:t>
      </w:r>
      <w:r w:rsidR="00CF64FE">
        <w:t>Modelle</w:t>
      </w:r>
      <w:r w:rsidRPr="00946C77">
        <w:t>, dav</w:t>
      </w:r>
      <w:r w:rsidR="000F1921">
        <w:t>on zwei „Kinderzimmer-Varianten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F00BD3">
        <w:t>„</w:t>
      </w:r>
      <w:r w:rsidRPr="00946C77">
        <w:t>Slim-Tower</w:t>
      </w:r>
      <w:r w:rsidR="00F00BD3">
        <w:t>, 133 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Im 495 SKM ist die Leiter am Etagenbett aus Aluminium</w:t>
      </w:r>
    </w:p>
    <w:p w:rsidR="00946C77" w:rsidRPr="00946C77" w:rsidRDefault="00946C77" w:rsidP="00946C77">
      <w:pPr>
        <w:spacing w:line="360" w:lineRule="auto"/>
      </w:pPr>
      <w:r w:rsidRPr="00946C77">
        <w:t xml:space="preserve">• Applikationen </w:t>
      </w:r>
      <w:r w:rsidR="000F1921">
        <w:t xml:space="preserve">an den Möbelteilen </w:t>
      </w:r>
      <w:r w:rsidRPr="00946C77">
        <w:t>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  <w:r w:rsidR="000F1921">
        <w:t xml:space="preserve">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Optik der Leucht</w:t>
      </w:r>
      <w:r w:rsidRPr="007A6931">
        <w:t>e in Chrom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Möbelhaken in Edelstahl-Optik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597C8E">
      <w:pPr>
        <w:tabs>
          <w:tab w:val="left" w:pos="142"/>
        </w:tabs>
        <w:spacing w:line="360" w:lineRule="auto"/>
      </w:pPr>
      <w:r w:rsidRPr="00946C77">
        <w:t>• Die neue Stoffvariante „Cardiff“ und der bereits bekannte Stoff „</w:t>
      </w:r>
      <w:proofErr w:type="spellStart"/>
      <w:r w:rsidRPr="00946C77">
        <w:t>Aosta</w:t>
      </w:r>
      <w:proofErr w:type="spellEnd"/>
      <w:r w:rsidRPr="00946C77">
        <w:t>“ sind harmoni</w:t>
      </w:r>
      <w:r>
        <w:t>sch abgestimmt auf da</w:t>
      </w:r>
      <w:r w:rsidR="00597C8E">
        <w:t xml:space="preserve">s </w:t>
      </w:r>
      <w:r w:rsidR="00597C8E">
        <w:tab/>
        <w:t xml:space="preserve">  </w:t>
      </w:r>
      <w:r w:rsidR="00597C8E">
        <w:tab/>
      </w:r>
      <w:r w:rsidR="000F1921">
        <w:t>warme</w:t>
      </w:r>
      <w:r>
        <w:t xml:space="preserve"> </w:t>
      </w:r>
      <w:r w:rsidRPr="00946C77">
        <w:t>Möbeldekor „Kastanie-Moretti“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597C8E" w:rsidRDefault="00597C8E" w:rsidP="00946C77">
      <w:pPr>
        <w:spacing w:line="360" w:lineRule="auto"/>
      </w:pPr>
    </w:p>
    <w:p w:rsidR="00A32DC3" w:rsidRPr="0098069C" w:rsidRDefault="00A32DC3" w:rsidP="00946C77">
      <w:pPr>
        <w:spacing w:line="360" w:lineRule="auto"/>
        <w:rPr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Preise „Deutschland“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Saphir</w:t>
            </w:r>
          </w:p>
        </w:tc>
        <w:tc>
          <w:tcPr>
            <w:tcW w:w="2835" w:type="dxa"/>
          </w:tcPr>
          <w:p w:rsidR="0000316C" w:rsidRPr="007577C8" w:rsidRDefault="0000316C" w:rsidP="0071448C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 w:rsidR="007577C8"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00316C" w:rsidRPr="007577C8" w:rsidRDefault="0000316C" w:rsidP="0000316C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20.616,81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21.150,00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20.850,76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21.390,00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SFB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21.055,46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21.600,00</w:t>
            </w:r>
          </w:p>
        </w:tc>
      </w:tr>
      <w:tr w:rsidR="0000316C" w:rsidRPr="00E4426D" w:rsidTr="00417DED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495 SKM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21.689,08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22.250,00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21.932,77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22.500,00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SKM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25.100,84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25.750,00</w:t>
            </w:r>
          </w:p>
        </w:tc>
      </w:tr>
    </w:tbl>
    <w:p w:rsidR="000F4FF7" w:rsidRDefault="000F4FF7" w:rsidP="004C4741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77B91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9ABB-85BB-4066-8421-D5F83C68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cp:lastPrinted>2019-04-23T11:55:00Z</cp:lastPrinted>
  <dcterms:created xsi:type="dcterms:W3CDTF">2020-06-30T05:05:00Z</dcterms:created>
  <dcterms:modified xsi:type="dcterms:W3CDTF">2020-06-30T05:05:00Z</dcterms:modified>
</cp:coreProperties>
</file>