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6902D" w14:textId="77777777" w:rsidR="001E1C0E" w:rsidRDefault="001E1C0E" w:rsidP="00F44E01">
      <w:pPr>
        <w:pStyle w:val="Rubrik1"/>
      </w:pPr>
      <w:bookmarkStart w:id="0" w:name="_Toc333217229"/>
      <w:bookmarkStart w:id="1" w:name="_Toc333217324"/>
      <w:bookmarkStart w:id="2" w:name="_GoBack"/>
      <w:bookmarkEnd w:id="2"/>
    </w:p>
    <w:p w14:paraId="70A9C38C" w14:textId="77777777" w:rsidR="003C7A10" w:rsidRPr="003C7A10" w:rsidRDefault="003C7A10" w:rsidP="003C7A10"/>
    <w:p w14:paraId="1045F5AD" w14:textId="77777777" w:rsidR="001E1C0E" w:rsidRPr="003954D9" w:rsidRDefault="001E1C0E" w:rsidP="00F44E01">
      <w:pPr>
        <w:pStyle w:val="Rubrik1"/>
      </w:pPr>
    </w:p>
    <w:p w14:paraId="66EEB3D4" w14:textId="77777777" w:rsidR="001E1C0E" w:rsidRPr="003954D9" w:rsidRDefault="001E1C0E" w:rsidP="00F44E01">
      <w:pPr>
        <w:pStyle w:val="Rubrik1"/>
        <w:rPr>
          <w:color w:val="8DB3E2" w:themeColor="text2" w:themeTint="66"/>
        </w:rPr>
      </w:pPr>
    </w:p>
    <w:p w14:paraId="6E75BEE1" w14:textId="77777777" w:rsidR="001E1C0E" w:rsidRPr="003954D9" w:rsidRDefault="001E1C0E" w:rsidP="00F44E01">
      <w:pPr>
        <w:pStyle w:val="Rubrik1"/>
      </w:pPr>
    </w:p>
    <w:p w14:paraId="4835AABA" w14:textId="77777777" w:rsidR="001570B8" w:rsidRPr="003954D9" w:rsidRDefault="001570B8" w:rsidP="001570B8"/>
    <w:p w14:paraId="4DE38766" w14:textId="77777777" w:rsidR="001570B8" w:rsidRPr="003954D9" w:rsidRDefault="001570B8" w:rsidP="001570B8"/>
    <w:p w14:paraId="2CCE2820" w14:textId="77777777" w:rsidR="001570B8" w:rsidRPr="003954D9" w:rsidRDefault="001570B8" w:rsidP="001570B8"/>
    <w:p w14:paraId="7BE625D1" w14:textId="77777777" w:rsidR="001570B8" w:rsidRPr="003954D9" w:rsidRDefault="001570B8" w:rsidP="001570B8"/>
    <w:p w14:paraId="3628A909" w14:textId="77777777" w:rsidR="001E1C0E" w:rsidRPr="003954D9" w:rsidRDefault="001E1C0E" w:rsidP="00F44E01">
      <w:pPr>
        <w:pStyle w:val="Rubrik1"/>
      </w:pPr>
    </w:p>
    <w:p w14:paraId="214FABA2" w14:textId="77777777" w:rsidR="001E1C0E" w:rsidRPr="003954D9" w:rsidRDefault="00F44E01" w:rsidP="001570B8">
      <w:pPr>
        <w:rPr>
          <w:rFonts w:asciiTheme="majorHAnsi" w:hAnsiTheme="majorHAnsi"/>
          <w:color w:val="548DD4" w:themeColor="text2" w:themeTint="99"/>
          <w:sz w:val="60"/>
          <w:szCs w:val="60"/>
        </w:rPr>
      </w:pPr>
      <w:bookmarkStart w:id="3" w:name="_Toc333795965"/>
      <w:bookmarkStart w:id="4" w:name="_Toc333796217"/>
      <w:bookmarkStart w:id="5" w:name="_Toc333800747"/>
      <w:bookmarkStart w:id="6" w:name="_Toc333800865"/>
      <w:bookmarkStart w:id="7" w:name="_Toc335914079"/>
      <w:bookmarkStart w:id="8" w:name="_Toc462311848"/>
      <w:bookmarkStart w:id="9" w:name="_Toc462312002"/>
      <w:bookmarkStart w:id="10" w:name="_Toc462818546"/>
      <w:r w:rsidRPr="003954D9">
        <w:rPr>
          <w:rFonts w:asciiTheme="majorHAnsi" w:hAnsiTheme="majorHAnsi"/>
          <w:color w:val="548DD4" w:themeColor="text2" w:themeTint="99"/>
          <w:sz w:val="60"/>
          <w:szCs w:val="60"/>
        </w:rPr>
        <w:t>Var tredje kan tvingas flytta</w:t>
      </w:r>
      <w:bookmarkEnd w:id="3"/>
      <w:bookmarkEnd w:id="4"/>
      <w:bookmarkEnd w:id="5"/>
      <w:bookmarkEnd w:id="6"/>
      <w:bookmarkEnd w:id="7"/>
      <w:bookmarkEnd w:id="8"/>
      <w:bookmarkEnd w:id="9"/>
      <w:bookmarkEnd w:id="10"/>
      <w:r w:rsidRPr="003954D9">
        <w:rPr>
          <w:rFonts w:asciiTheme="majorHAnsi" w:hAnsiTheme="majorHAnsi"/>
          <w:color w:val="548DD4" w:themeColor="text2" w:themeTint="99"/>
          <w:sz w:val="60"/>
          <w:szCs w:val="60"/>
        </w:rPr>
        <w:t xml:space="preserve"> </w:t>
      </w:r>
      <w:bookmarkEnd w:id="0"/>
      <w:bookmarkEnd w:id="1"/>
    </w:p>
    <w:p w14:paraId="5BD9E975" w14:textId="77777777" w:rsidR="001570B8" w:rsidRPr="003954D9" w:rsidRDefault="001570B8" w:rsidP="001570B8">
      <w:pPr>
        <w:rPr>
          <w:rFonts w:asciiTheme="majorHAnsi" w:hAnsiTheme="majorHAnsi"/>
          <w:color w:val="548DD4" w:themeColor="text2" w:themeTint="99"/>
          <w:sz w:val="40"/>
          <w:szCs w:val="40"/>
        </w:rPr>
      </w:pPr>
      <w:bookmarkStart w:id="11" w:name="_Toc333795966"/>
      <w:bookmarkStart w:id="12" w:name="_Toc333796218"/>
      <w:bookmarkStart w:id="13" w:name="_Toc333800748"/>
      <w:bookmarkStart w:id="14" w:name="_Toc333800866"/>
      <w:bookmarkStart w:id="15" w:name="_Toc335914080"/>
      <w:bookmarkStart w:id="16" w:name="_Toc462311849"/>
      <w:bookmarkStart w:id="17" w:name="_Toc462312003"/>
      <w:bookmarkStart w:id="18" w:name="_Toc462818547"/>
    </w:p>
    <w:p w14:paraId="51473197" w14:textId="5A984331" w:rsidR="00A47BC7" w:rsidRPr="003954D9" w:rsidRDefault="001E1C0E" w:rsidP="001570B8">
      <w:pPr>
        <w:rPr>
          <w:rFonts w:asciiTheme="majorHAnsi" w:hAnsiTheme="majorHAnsi"/>
          <w:color w:val="548DD4" w:themeColor="text2" w:themeTint="99"/>
          <w:sz w:val="40"/>
          <w:szCs w:val="40"/>
        </w:rPr>
      </w:pPr>
      <w:r w:rsidRPr="003954D9">
        <w:rPr>
          <w:rFonts w:asciiTheme="majorHAnsi" w:hAnsiTheme="majorHAnsi"/>
          <w:color w:val="548DD4" w:themeColor="text2" w:themeTint="99"/>
          <w:sz w:val="40"/>
          <w:szCs w:val="40"/>
        </w:rPr>
        <w:t>En rapport om effekterna av hyreshöjningar i samband med standardhöjande åtgärder i Göteborg</w:t>
      </w:r>
      <w:bookmarkEnd w:id="11"/>
      <w:bookmarkEnd w:id="12"/>
      <w:bookmarkEnd w:id="13"/>
      <w:bookmarkEnd w:id="14"/>
      <w:bookmarkEnd w:id="15"/>
      <w:bookmarkEnd w:id="16"/>
      <w:bookmarkEnd w:id="17"/>
      <w:bookmarkEnd w:id="18"/>
      <w:r w:rsidRPr="003954D9">
        <w:rPr>
          <w:rFonts w:asciiTheme="majorHAnsi" w:hAnsiTheme="majorHAnsi"/>
          <w:color w:val="548DD4" w:themeColor="text2" w:themeTint="99"/>
          <w:sz w:val="40"/>
          <w:szCs w:val="40"/>
        </w:rPr>
        <w:t xml:space="preserve"> </w:t>
      </w:r>
    </w:p>
    <w:p w14:paraId="4745CD18" w14:textId="77777777" w:rsidR="001570B8" w:rsidRPr="003954D9" w:rsidRDefault="001570B8" w:rsidP="001570B8">
      <w:pPr>
        <w:rPr>
          <w:rFonts w:asciiTheme="majorHAnsi" w:hAnsiTheme="majorHAnsi"/>
          <w:color w:val="548DD4" w:themeColor="text2" w:themeTint="99"/>
          <w:sz w:val="40"/>
          <w:szCs w:val="40"/>
        </w:rPr>
      </w:pPr>
    </w:p>
    <w:p w14:paraId="1A41591B" w14:textId="74CF1A6D" w:rsidR="001570B8" w:rsidRPr="003954D9" w:rsidRDefault="001570B8" w:rsidP="001570B8">
      <w:pPr>
        <w:rPr>
          <w:rFonts w:asciiTheme="majorHAnsi" w:hAnsiTheme="majorHAnsi"/>
          <w:color w:val="548DD4" w:themeColor="text2" w:themeTint="99"/>
          <w:sz w:val="40"/>
          <w:szCs w:val="40"/>
        </w:rPr>
      </w:pPr>
      <w:r w:rsidRPr="003954D9">
        <w:rPr>
          <w:rFonts w:asciiTheme="majorHAnsi" w:hAnsiTheme="majorHAnsi"/>
          <w:color w:val="548DD4" w:themeColor="text2" w:themeTint="99"/>
          <w:sz w:val="40"/>
          <w:szCs w:val="40"/>
        </w:rPr>
        <w:t>oktober 2016</w:t>
      </w:r>
    </w:p>
    <w:p w14:paraId="1B42B7D5" w14:textId="69DB8B2A" w:rsidR="001E1C0E" w:rsidRPr="003954D9" w:rsidRDefault="001E1C0E" w:rsidP="001570B8">
      <w:pPr>
        <w:rPr>
          <w:rFonts w:asciiTheme="majorHAnsi" w:eastAsia="MS Gothic" w:hAnsiTheme="majorHAnsi"/>
          <w:bCs/>
          <w:color w:val="548DD4" w:themeColor="text2" w:themeTint="99"/>
          <w:sz w:val="56"/>
          <w:szCs w:val="56"/>
        </w:rPr>
      </w:pPr>
      <w:bookmarkStart w:id="19" w:name="_Toc333217088"/>
      <w:bookmarkStart w:id="20" w:name="_Toc333772917"/>
      <w:r w:rsidRPr="003954D9">
        <w:rPr>
          <w:rFonts w:asciiTheme="majorHAnsi" w:hAnsiTheme="majorHAnsi"/>
          <w:color w:val="548DD4" w:themeColor="text2" w:themeTint="99"/>
          <w:sz w:val="56"/>
          <w:szCs w:val="56"/>
        </w:rPr>
        <w:br w:type="page"/>
      </w:r>
    </w:p>
    <w:p w14:paraId="6D0CD699" w14:textId="77777777" w:rsidR="00BA58FC" w:rsidRPr="003954D9" w:rsidRDefault="00BA58FC"/>
    <w:p w14:paraId="20919F20" w14:textId="77777777" w:rsidR="00BA58FC" w:rsidRPr="003954D9" w:rsidRDefault="00BA58FC"/>
    <w:p w14:paraId="0D9245B3" w14:textId="77777777" w:rsidR="00BA58FC" w:rsidRPr="003954D9" w:rsidRDefault="00BA58FC"/>
    <w:p w14:paraId="3F88AAE9" w14:textId="77777777" w:rsidR="00BA58FC" w:rsidRPr="003954D9" w:rsidRDefault="00BA58FC"/>
    <w:p w14:paraId="79118009" w14:textId="77777777" w:rsidR="00BA58FC" w:rsidRPr="003954D9" w:rsidRDefault="00BA58FC"/>
    <w:p w14:paraId="2F69DFD8" w14:textId="77777777" w:rsidR="00BA58FC" w:rsidRPr="003954D9" w:rsidRDefault="00BA58FC"/>
    <w:p w14:paraId="0BBD1DA4" w14:textId="77777777" w:rsidR="00BA58FC" w:rsidRPr="003954D9" w:rsidRDefault="00BA58FC"/>
    <w:p w14:paraId="7126CA95" w14:textId="77777777" w:rsidR="00BA58FC" w:rsidRPr="003954D9" w:rsidRDefault="00BA58FC"/>
    <w:p w14:paraId="7836A432" w14:textId="77777777" w:rsidR="00BA58FC" w:rsidRPr="003954D9" w:rsidRDefault="00BA58FC"/>
    <w:p w14:paraId="63460BEC" w14:textId="77777777" w:rsidR="00BA58FC" w:rsidRPr="003954D9" w:rsidRDefault="00BA58FC"/>
    <w:p w14:paraId="11443D05" w14:textId="77777777" w:rsidR="00BA58FC" w:rsidRPr="003954D9" w:rsidRDefault="00BA58FC"/>
    <w:p w14:paraId="01E5ABF5" w14:textId="77777777" w:rsidR="00BA58FC" w:rsidRPr="003954D9" w:rsidRDefault="00BA58FC"/>
    <w:p w14:paraId="63027FE3" w14:textId="77777777" w:rsidR="00BA58FC" w:rsidRPr="003954D9" w:rsidRDefault="00BA58FC"/>
    <w:p w14:paraId="71F115E9" w14:textId="77777777" w:rsidR="00BA58FC" w:rsidRPr="003954D9" w:rsidRDefault="00BA58FC"/>
    <w:p w14:paraId="48E27272" w14:textId="77777777" w:rsidR="00BA58FC" w:rsidRPr="003954D9" w:rsidRDefault="00BA58FC"/>
    <w:p w14:paraId="324D6159" w14:textId="77777777" w:rsidR="00BA58FC" w:rsidRPr="003954D9" w:rsidRDefault="00BA58FC"/>
    <w:p w14:paraId="5D9C5651" w14:textId="77777777" w:rsidR="00BA58FC" w:rsidRPr="003954D9" w:rsidRDefault="00BA58FC"/>
    <w:p w14:paraId="51A84A1A" w14:textId="77777777" w:rsidR="00BA58FC" w:rsidRPr="003954D9" w:rsidRDefault="00BA58FC"/>
    <w:p w14:paraId="402F97C5" w14:textId="77777777" w:rsidR="00BA58FC" w:rsidRPr="003954D9" w:rsidRDefault="00BA58FC"/>
    <w:p w14:paraId="7CDE2F9D" w14:textId="77777777" w:rsidR="00BA58FC" w:rsidRPr="003954D9" w:rsidRDefault="00BA58FC"/>
    <w:p w14:paraId="72D58C13" w14:textId="77777777" w:rsidR="00BA58FC" w:rsidRPr="003954D9" w:rsidRDefault="00BA58FC"/>
    <w:p w14:paraId="056BA06E" w14:textId="77777777" w:rsidR="00BA58FC" w:rsidRPr="003954D9" w:rsidRDefault="00BA58FC"/>
    <w:p w14:paraId="0CF64241" w14:textId="77777777" w:rsidR="00BA58FC" w:rsidRPr="003954D9" w:rsidRDefault="00BA58FC"/>
    <w:p w14:paraId="5E58641F" w14:textId="77777777" w:rsidR="00BA58FC" w:rsidRPr="003954D9" w:rsidRDefault="00BA58FC"/>
    <w:p w14:paraId="0005CF0F" w14:textId="77777777" w:rsidR="00BA58FC" w:rsidRPr="003954D9" w:rsidRDefault="00BA58FC"/>
    <w:p w14:paraId="79E52519" w14:textId="77777777" w:rsidR="00BA58FC" w:rsidRPr="003954D9" w:rsidRDefault="00BA58FC"/>
    <w:p w14:paraId="66CD2831" w14:textId="77777777" w:rsidR="00BA58FC" w:rsidRPr="003954D9" w:rsidRDefault="00BA58FC"/>
    <w:p w14:paraId="678BCE05" w14:textId="77777777" w:rsidR="00BA58FC" w:rsidRPr="003954D9" w:rsidRDefault="00BA58FC"/>
    <w:p w14:paraId="796B7712" w14:textId="77777777" w:rsidR="00BA58FC" w:rsidRPr="003954D9" w:rsidRDefault="00BA58FC"/>
    <w:p w14:paraId="2AC3E4E7" w14:textId="77777777" w:rsidR="00BA58FC" w:rsidRPr="003954D9" w:rsidRDefault="00BA58FC"/>
    <w:p w14:paraId="38313308" w14:textId="77777777" w:rsidR="00BA58FC" w:rsidRPr="003954D9" w:rsidRDefault="00BA58FC"/>
    <w:p w14:paraId="527F8DD3" w14:textId="77777777" w:rsidR="00BA58FC" w:rsidRPr="003954D9" w:rsidRDefault="00BA58FC"/>
    <w:p w14:paraId="0270C248" w14:textId="77777777" w:rsidR="00BA58FC" w:rsidRPr="003954D9" w:rsidRDefault="00BA58FC"/>
    <w:p w14:paraId="3AD9E37A" w14:textId="77777777" w:rsidR="00BA58FC" w:rsidRPr="003954D9" w:rsidRDefault="00BA58FC"/>
    <w:p w14:paraId="53F89650" w14:textId="77777777" w:rsidR="00BA58FC" w:rsidRPr="003954D9" w:rsidRDefault="00BA58FC"/>
    <w:p w14:paraId="02AB677D" w14:textId="77777777" w:rsidR="00BA58FC" w:rsidRPr="003954D9" w:rsidRDefault="00BA58FC"/>
    <w:p w14:paraId="04ADD385" w14:textId="77777777" w:rsidR="00BA58FC" w:rsidRPr="003954D9" w:rsidRDefault="00BA58FC"/>
    <w:p w14:paraId="1B985622" w14:textId="77777777" w:rsidR="00BA58FC" w:rsidRPr="003954D9" w:rsidRDefault="00BA58FC"/>
    <w:p w14:paraId="3E2D2564" w14:textId="77777777" w:rsidR="00BA58FC" w:rsidRPr="003954D9" w:rsidRDefault="00BA58FC"/>
    <w:p w14:paraId="6500501F" w14:textId="77777777" w:rsidR="00BA58FC" w:rsidRPr="003954D9" w:rsidRDefault="00BA58FC"/>
    <w:p w14:paraId="580E8EE0" w14:textId="77777777" w:rsidR="00BA58FC" w:rsidRPr="003954D9" w:rsidRDefault="00BA58FC"/>
    <w:p w14:paraId="418C0A81" w14:textId="77777777" w:rsidR="00BA58FC" w:rsidRPr="003954D9" w:rsidRDefault="00BA58FC"/>
    <w:p w14:paraId="347BDC9E" w14:textId="77777777" w:rsidR="00BA58FC" w:rsidRPr="003954D9" w:rsidRDefault="00BA58FC"/>
    <w:p w14:paraId="0ECB6681" w14:textId="77777777" w:rsidR="00BA58FC" w:rsidRPr="003954D9" w:rsidRDefault="00BA58FC"/>
    <w:p w14:paraId="2C2812D2" w14:textId="77777777" w:rsidR="00BA58FC" w:rsidRPr="003954D9" w:rsidRDefault="00BA58FC"/>
    <w:p w14:paraId="1866BF5C" w14:textId="77777777" w:rsidR="00BA58FC" w:rsidRPr="003954D9" w:rsidRDefault="00BA58FC"/>
    <w:p w14:paraId="38C7E152" w14:textId="77777777" w:rsidR="00BA58FC" w:rsidRPr="003954D9" w:rsidRDefault="00BA58FC"/>
    <w:p w14:paraId="671BE9C4" w14:textId="77777777" w:rsidR="00BA58FC" w:rsidRPr="003954D9" w:rsidRDefault="00BA58FC"/>
    <w:p w14:paraId="34E40262" w14:textId="77777777" w:rsidR="00BA58FC" w:rsidRPr="003954D9" w:rsidRDefault="00BA58FC"/>
    <w:p w14:paraId="2A3C3EF2" w14:textId="77777777" w:rsidR="00BA58FC" w:rsidRPr="003954D9" w:rsidRDefault="00BA58FC"/>
    <w:p w14:paraId="64479F7B" w14:textId="77777777" w:rsidR="00BA58FC" w:rsidRPr="003954D9" w:rsidRDefault="00BA58FC"/>
    <w:p w14:paraId="57A4FB1E" w14:textId="66952878" w:rsidR="007321A8" w:rsidRPr="007321A8" w:rsidRDefault="007321A8" w:rsidP="007321A8">
      <w:pPr>
        <w:rPr>
          <w:rFonts w:asciiTheme="majorHAnsi" w:hAnsiTheme="majorHAnsi" w:cstheme="majorHAnsi"/>
          <w:b/>
          <w:color w:val="95B3D7" w:themeColor="accent1" w:themeTint="99"/>
        </w:rPr>
      </w:pPr>
      <w:bookmarkStart w:id="21" w:name="_Toc333795967"/>
      <w:bookmarkStart w:id="22" w:name="_Toc333796219"/>
      <w:bookmarkStart w:id="23" w:name="_Toc333800749"/>
      <w:bookmarkStart w:id="24" w:name="_Toc333800867"/>
      <w:bookmarkStart w:id="25" w:name="_Toc463184383"/>
      <w:r w:rsidRPr="007321A8">
        <w:rPr>
          <w:rFonts w:asciiTheme="majorHAnsi" w:hAnsiTheme="majorHAnsi" w:cstheme="majorHAnsi"/>
          <w:b/>
          <w:color w:val="365F91" w:themeColor="accent1" w:themeShade="BF"/>
        </w:rPr>
        <w:t>Innehållsförteckning</w:t>
      </w:r>
    </w:p>
    <w:p w14:paraId="63845551" w14:textId="4F1D9A22" w:rsidR="001405CF" w:rsidRPr="001405CF" w:rsidRDefault="007E748F">
      <w:pPr>
        <w:pStyle w:val="Innehll1"/>
        <w:tabs>
          <w:tab w:val="right" w:leader="dot" w:pos="9773"/>
        </w:tabs>
        <w:rPr>
          <w:rFonts w:asciiTheme="minorHAnsi" w:hAnsiTheme="minorHAnsi"/>
          <w:b w:val="0"/>
          <w:noProof/>
          <w:color w:val="auto"/>
          <w:sz w:val="22"/>
          <w:szCs w:val="22"/>
          <w:lang w:eastAsia="en-GB"/>
        </w:rPr>
      </w:pPr>
      <w:r>
        <w:fldChar w:fldCharType="begin"/>
      </w:r>
      <w:r>
        <w:instrText xml:space="preserve"> TOC \o "1-1" </w:instrText>
      </w:r>
      <w:r>
        <w:fldChar w:fldCharType="separate"/>
      </w:r>
      <w:r w:rsidR="001405CF">
        <w:rPr>
          <w:noProof/>
        </w:rPr>
        <w:t>Sammanfattning</w:t>
      </w:r>
      <w:r w:rsidR="001405CF">
        <w:rPr>
          <w:noProof/>
        </w:rPr>
        <w:tab/>
      </w:r>
      <w:r w:rsidR="001405CF">
        <w:rPr>
          <w:noProof/>
        </w:rPr>
        <w:fldChar w:fldCharType="begin"/>
      </w:r>
      <w:r w:rsidR="001405CF">
        <w:rPr>
          <w:noProof/>
        </w:rPr>
        <w:instrText xml:space="preserve"> PAGEREF _Toc468614361 \h </w:instrText>
      </w:r>
      <w:r w:rsidR="001405CF">
        <w:rPr>
          <w:noProof/>
        </w:rPr>
      </w:r>
      <w:r w:rsidR="001405CF">
        <w:rPr>
          <w:noProof/>
        </w:rPr>
        <w:fldChar w:fldCharType="separate"/>
      </w:r>
      <w:r w:rsidR="006340A5">
        <w:rPr>
          <w:noProof/>
        </w:rPr>
        <w:t>5</w:t>
      </w:r>
      <w:r w:rsidR="001405CF">
        <w:rPr>
          <w:noProof/>
        </w:rPr>
        <w:fldChar w:fldCharType="end"/>
      </w:r>
    </w:p>
    <w:p w14:paraId="66C9FEC8" w14:textId="7C938298"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1. Hushåll som kan tvingas flytta som en följd av standardhöjande åtgärder i hyreshus</w:t>
      </w:r>
      <w:r>
        <w:rPr>
          <w:noProof/>
        </w:rPr>
        <w:tab/>
      </w:r>
      <w:r>
        <w:rPr>
          <w:noProof/>
        </w:rPr>
        <w:fldChar w:fldCharType="begin"/>
      </w:r>
      <w:r>
        <w:rPr>
          <w:noProof/>
        </w:rPr>
        <w:instrText xml:space="preserve"> PAGEREF _Toc468614362 \h </w:instrText>
      </w:r>
      <w:r>
        <w:rPr>
          <w:noProof/>
        </w:rPr>
      </w:r>
      <w:r>
        <w:rPr>
          <w:noProof/>
        </w:rPr>
        <w:fldChar w:fldCharType="separate"/>
      </w:r>
      <w:r w:rsidR="006340A5">
        <w:rPr>
          <w:noProof/>
        </w:rPr>
        <w:t>17</w:t>
      </w:r>
      <w:r>
        <w:rPr>
          <w:noProof/>
        </w:rPr>
        <w:fldChar w:fldCharType="end"/>
      </w:r>
    </w:p>
    <w:p w14:paraId="6E40303F" w14:textId="66D4AAA1"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2. Hur mycket under gränsen för skälig levnadsnivå?</w:t>
      </w:r>
      <w:r>
        <w:rPr>
          <w:noProof/>
        </w:rPr>
        <w:tab/>
      </w:r>
      <w:r>
        <w:rPr>
          <w:noProof/>
        </w:rPr>
        <w:fldChar w:fldCharType="begin"/>
      </w:r>
      <w:r>
        <w:rPr>
          <w:noProof/>
        </w:rPr>
        <w:instrText xml:space="preserve"> PAGEREF _Toc468614363 \h </w:instrText>
      </w:r>
      <w:r>
        <w:rPr>
          <w:noProof/>
        </w:rPr>
      </w:r>
      <w:r>
        <w:rPr>
          <w:noProof/>
        </w:rPr>
        <w:fldChar w:fldCharType="separate"/>
      </w:r>
      <w:r w:rsidR="006340A5">
        <w:rPr>
          <w:noProof/>
        </w:rPr>
        <w:t>23</w:t>
      </w:r>
      <w:r>
        <w:rPr>
          <w:noProof/>
        </w:rPr>
        <w:fldChar w:fldCharType="end"/>
      </w:r>
    </w:p>
    <w:p w14:paraId="2F87C8D0" w14:textId="62701648"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3. Hushållens ekonomi</w:t>
      </w:r>
      <w:r>
        <w:rPr>
          <w:noProof/>
        </w:rPr>
        <w:tab/>
      </w:r>
      <w:r>
        <w:rPr>
          <w:noProof/>
        </w:rPr>
        <w:fldChar w:fldCharType="begin"/>
      </w:r>
      <w:r>
        <w:rPr>
          <w:noProof/>
        </w:rPr>
        <w:instrText xml:space="preserve"> PAGEREF _Toc468614364 \h </w:instrText>
      </w:r>
      <w:r>
        <w:rPr>
          <w:noProof/>
        </w:rPr>
      </w:r>
      <w:r>
        <w:rPr>
          <w:noProof/>
        </w:rPr>
        <w:fldChar w:fldCharType="separate"/>
      </w:r>
      <w:r w:rsidR="006340A5">
        <w:rPr>
          <w:noProof/>
        </w:rPr>
        <w:t>25</w:t>
      </w:r>
      <w:r>
        <w:rPr>
          <w:noProof/>
        </w:rPr>
        <w:fldChar w:fldCharType="end"/>
      </w:r>
    </w:p>
    <w:p w14:paraId="072FAB02" w14:textId="57C6093B"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4. Hushållssammansättningen</w:t>
      </w:r>
      <w:r>
        <w:rPr>
          <w:noProof/>
        </w:rPr>
        <w:tab/>
      </w:r>
      <w:r>
        <w:rPr>
          <w:noProof/>
        </w:rPr>
        <w:fldChar w:fldCharType="begin"/>
      </w:r>
      <w:r>
        <w:rPr>
          <w:noProof/>
        </w:rPr>
        <w:instrText xml:space="preserve"> PAGEREF _Toc468614365 \h </w:instrText>
      </w:r>
      <w:r>
        <w:rPr>
          <w:noProof/>
        </w:rPr>
      </w:r>
      <w:r>
        <w:rPr>
          <w:noProof/>
        </w:rPr>
        <w:fldChar w:fldCharType="separate"/>
      </w:r>
      <w:r w:rsidR="006340A5">
        <w:rPr>
          <w:noProof/>
        </w:rPr>
        <w:t>28</w:t>
      </w:r>
      <w:r>
        <w:rPr>
          <w:noProof/>
        </w:rPr>
        <w:fldChar w:fldCharType="end"/>
      </w:r>
    </w:p>
    <w:p w14:paraId="4AC01E3A" w14:textId="58B1ECC2"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5. Effekterna av hyreshöjningar på olika hushållstyper</w:t>
      </w:r>
      <w:r>
        <w:rPr>
          <w:noProof/>
        </w:rPr>
        <w:tab/>
      </w:r>
      <w:r>
        <w:rPr>
          <w:noProof/>
        </w:rPr>
        <w:fldChar w:fldCharType="begin"/>
      </w:r>
      <w:r>
        <w:rPr>
          <w:noProof/>
        </w:rPr>
        <w:instrText xml:space="preserve"> PAGEREF _Toc468614366 \h </w:instrText>
      </w:r>
      <w:r>
        <w:rPr>
          <w:noProof/>
        </w:rPr>
      </w:r>
      <w:r>
        <w:rPr>
          <w:noProof/>
        </w:rPr>
        <w:fldChar w:fldCharType="separate"/>
      </w:r>
      <w:r w:rsidR="006340A5">
        <w:rPr>
          <w:noProof/>
        </w:rPr>
        <w:t>31</w:t>
      </w:r>
      <w:r>
        <w:rPr>
          <w:noProof/>
        </w:rPr>
        <w:fldChar w:fldCharType="end"/>
      </w:r>
    </w:p>
    <w:p w14:paraId="4754813E" w14:textId="43BAD942"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6. Lägenhetstyper och risk att flytta vid hyreshöjning</w:t>
      </w:r>
      <w:r>
        <w:rPr>
          <w:noProof/>
        </w:rPr>
        <w:tab/>
      </w:r>
      <w:r>
        <w:rPr>
          <w:noProof/>
        </w:rPr>
        <w:fldChar w:fldCharType="begin"/>
      </w:r>
      <w:r>
        <w:rPr>
          <w:noProof/>
        </w:rPr>
        <w:instrText xml:space="preserve"> PAGEREF _Toc468614367 \h </w:instrText>
      </w:r>
      <w:r>
        <w:rPr>
          <w:noProof/>
        </w:rPr>
      </w:r>
      <w:r>
        <w:rPr>
          <w:noProof/>
        </w:rPr>
        <w:fldChar w:fldCharType="separate"/>
      </w:r>
      <w:r w:rsidR="006340A5">
        <w:rPr>
          <w:noProof/>
        </w:rPr>
        <w:t>41</w:t>
      </w:r>
      <w:r>
        <w:rPr>
          <w:noProof/>
        </w:rPr>
        <w:fldChar w:fldCharType="end"/>
      </w:r>
    </w:p>
    <w:p w14:paraId="0FEF1020" w14:textId="4FE1EF20"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7. Hur väl täcker bidrag hyresökningarna?</w:t>
      </w:r>
      <w:r>
        <w:rPr>
          <w:noProof/>
        </w:rPr>
        <w:tab/>
      </w:r>
      <w:r>
        <w:rPr>
          <w:noProof/>
        </w:rPr>
        <w:fldChar w:fldCharType="begin"/>
      </w:r>
      <w:r>
        <w:rPr>
          <w:noProof/>
        </w:rPr>
        <w:instrText xml:space="preserve"> PAGEREF _Toc468614368 \h </w:instrText>
      </w:r>
      <w:r>
        <w:rPr>
          <w:noProof/>
        </w:rPr>
      </w:r>
      <w:r>
        <w:rPr>
          <w:noProof/>
        </w:rPr>
        <w:fldChar w:fldCharType="separate"/>
      </w:r>
      <w:r w:rsidR="006340A5">
        <w:rPr>
          <w:noProof/>
        </w:rPr>
        <w:t>46</w:t>
      </w:r>
      <w:r>
        <w:rPr>
          <w:noProof/>
        </w:rPr>
        <w:fldChar w:fldCharType="end"/>
      </w:r>
    </w:p>
    <w:p w14:paraId="614A64FA" w14:textId="0BADB40A"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8. Höjda hyror och flyttar i andra rapporter</w:t>
      </w:r>
      <w:r>
        <w:rPr>
          <w:noProof/>
        </w:rPr>
        <w:tab/>
      </w:r>
      <w:r>
        <w:rPr>
          <w:noProof/>
        </w:rPr>
        <w:fldChar w:fldCharType="begin"/>
      </w:r>
      <w:r>
        <w:rPr>
          <w:noProof/>
        </w:rPr>
        <w:instrText xml:space="preserve"> PAGEREF _Toc468614369 \h </w:instrText>
      </w:r>
      <w:r>
        <w:rPr>
          <w:noProof/>
        </w:rPr>
      </w:r>
      <w:r>
        <w:rPr>
          <w:noProof/>
        </w:rPr>
        <w:fldChar w:fldCharType="separate"/>
      </w:r>
      <w:r w:rsidR="006340A5">
        <w:rPr>
          <w:noProof/>
        </w:rPr>
        <w:t>49</w:t>
      </w:r>
      <w:r>
        <w:rPr>
          <w:noProof/>
        </w:rPr>
        <w:fldChar w:fldCharType="end"/>
      </w:r>
    </w:p>
    <w:p w14:paraId="7E10C45A" w14:textId="5539E27C"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9. Följderna av ombyggnaderna för hushåll och samhället i andra undersökningar</w:t>
      </w:r>
      <w:r>
        <w:rPr>
          <w:noProof/>
        </w:rPr>
        <w:tab/>
      </w:r>
      <w:r>
        <w:rPr>
          <w:noProof/>
        </w:rPr>
        <w:fldChar w:fldCharType="begin"/>
      </w:r>
      <w:r>
        <w:rPr>
          <w:noProof/>
        </w:rPr>
        <w:instrText xml:space="preserve"> PAGEREF _Toc468614370 \h </w:instrText>
      </w:r>
      <w:r>
        <w:rPr>
          <w:noProof/>
        </w:rPr>
      </w:r>
      <w:r>
        <w:rPr>
          <w:noProof/>
        </w:rPr>
        <w:fldChar w:fldCharType="separate"/>
      </w:r>
      <w:r w:rsidR="006340A5">
        <w:rPr>
          <w:noProof/>
        </w:rPr>
        <w:t>50</w:t>
      </w:r>
      <w:r>
        <w:rPr>
          <w:noProof/>
        </w:rPr>
        <w:fldChar w:fldCharType="end"/>
      </w:r>
    </w:p>
    <w:p w14:paraId="6449A25C" w14:textId="63D39832"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10. Vad säger lagen och hur tolkas den?</w:t>
      </w:r>
      <w:r>
        <w:rPr>
          <w:noProof/>
        </w:rPr>
        <w:tab/>
      </w:r>
      <w:r>
        <w:rPr>
          <w:noProof/>
        </w:rPr>
        <w:fldChar w:fldCharType="begin"/>
      </w:r>
      <w:r>
        <w:rPr>
          <w:noProof/>
        </w:rPr>
        <w:instrText xml:space="preserve"> PAGEREF _Toc468614371 \h </w:instrText>
      </w:r>
      <w:r>
        <w:rPr>
          <w:noProof/>
        </w:rPr>
      </w:r>
      <w:r>
        <w:rPr>
          <w:noProof/>
        </w:rPr>
        <w:fldChar w:fldCharType="separate"/>
      </w:r>
      <w:r w:rsidR="006340A5">
        <w:rPr>
          <w:noProof/>
        </w:rPr>
        <w:t>52</w:t>
      </w:r>
      <w:r>
        <w:rPr>
          <w:noProof/>
        </w:rPr>
        <w:fldChar w:fldCharType="end"/>
      </w:r>
    </w:p>
    <w:p w14:paraId="77E69263" w14:textId="0E42C803"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11. Hur man bor i Göteborg</w:t>
      </w:r>
      <w:r>
        <w:rPr>
          <w:noProof/>
        </w:rPr>
        <w:tab/>
      </w:r>
      <w:r>
        <w:rPr>
          <w:noProof/>
        </w:rPr>
        <w:fldChar w:fldCharType="begin"/>
      </w:r>
      <w:r>
        <w:rPr>
          <w:noProof/>
        </w:rPr>
        <w:instrText xml:space="preserve"> PAGEREF _Toc468614372 \h </w:instrText>
      </w:r>
      <w:r>
        <w:rPr>
          <w:noProof/>
        </w:rPr>
      </w:r>
      <w:r>
        <w:rPr>
          <w:noProof/>
        </w:rPr>
        <w:fldChar w:fldCharType="separate"/>
      </w:r>
      <w:r w:rsidR="006340A5">
        <w:rPr>
          <w:noProof/>
        </w:rPr>
        <w:t>59</w:t>
      </w:r>
      <w:r>
        <w:rPr>
          <w:noProof/>
        </w:rPr>
        <w:fldChar w:fldCharType="end"/>
      </w:r>
    </w:p>
    <w:p w14:paraId="638AE08A" w14:textId="68777148"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12. Hur bor de som ingår i undersökningen?</w:t>
      </w:r>
      <w:r>
        <w:rPr>
          <w:noProof/>
        </w:rPr>
        <w:tab/>
      </w:r>
      <w:r>
        <w:rPr>
          <w:noProof/>
        </w:rPr>
        <w:fldChar w:fldCharType="begin"/>
      </w:r>
      <w:r>
        <w:rPr>
          <w:noProof/>
        </w:rPr>
        <w:instrText xml:space="preserve"> PAGEREF _Toc468614373 \h </w:instrText>
      </w:r>
      <w:r>
        <w:rPr>
          <w:noProof/>
        </w:rPr>
      </w:r>
      <w:r>
        <w:rPr>
          <w:noProof/>
        </w:rPr>
        <w:fldChar w:fldCharType="separate"/>
      </w:r>
      <w:r w:rsidR="006340A5">
        <w:rPr>
          <w:noProof/>
        </w:rPr>
        <w:t>60</w:t>
      </w:r>
      <w:r>
        <w:rPr>
          <w:noProof/>
        </w:rPr>
        <w:fldChar w:fldCharType="end"/>
      </w:r>
    </w:p>
    <w:p w14:paraId="61D502A5" w14:textId="4907B8DE"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13. Om rapporten</w:t>
      </w:r>
      <w:r>
        <w:rPr>
          <w:noProof/>
        </w:rPr>
        <w:tab/>
      </w:r>
      <w:r>
        <w:rPr>
          <w:noProof/>
        </w:rPr>
        <w:fldChar w:fldCharType="begin"/>
      </w:r>
      <w:r>
        <w:rPr>
          <w:noProof/>
        </w:rPr>
        <w:instrText xml:space="preserve"> PAGEREF _Toc468614374 \h </w:instrText>
      </w:r>
      <w:r>
        <w:rPr>
          <w:noProof/>
        </w:rPr>
      </w:r>
      <w:r>
        <w:rPr>
          <w:noProof/>
        </w:rPr>
        <w:fldChar w:fldCharType="separate"/>
      </w:r>
      <w:r w:rsidR="006340A5">
        <w:rPr>
          <w:noProof/>
        </w:rPr>
        <w:t>63</w:t>
      </w:r>
      <w:r>
        <w:rPr>
          <w:noProof/>
        </w:rPr>
        <w:fldChar w:fldCharType="end"/>
      </w:r>
    </w:p>
    <w:p w14:paraId="43D35F17" w14:textId="749F7096"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Bilaga 1 - Tabeller</w:t>
      </w:r>
      <w:r>
        <w:rPr>
          <w:noProof/>
        </w:rPr>
        <w:tab/>
      </w:r>
      <w:r>
        <w:rPr>
          <w:noProof/>
        </w:rPr>
        <w:fldChar w:fldCharType="begin"/>
      </w:r>
      <w:r>
        <w:rPr>
          <w:noProof/>
        </w:rPr>
        <w:instrText xml:space="preserve"> PAGEREF _Toc468614375 \h </w:instrText>
      </w:r>
      <w:r>
        <w:rPr>
          <w:noProof/>
        </w:rPr>
      </w:r>
      <w:r>
        <w:rPr>
          <w:noProof/>
        </w:rPr>
        <w:fldChar w:fldCharType="separate"/>
      </w:r>
      <w:r w:rsidR="006340A5">
        <w:rPr>
          <w:noProof/>
        </w:rPr>
        <w:t>67</w:t>
      </w:r>
      <w:r>
        <w:rPr>
          <w:noProof/>
        </w:rPr>
        <w:fldChar w:fldCharType="end"/>
      </w:r>
    </w:p>
    <w:p w14:paraId="1EF3C575" w14:textId="48F42C64" w:rsidR="001405CF" w:rsidRPr="001405CF" w:rsidRDefault="001405CF">
      <w:pPr>
        <w:pStyle w:val="Innehll1"/>
        <w:tabs>
          <w:tab w:val="right" w:leader="dot" w:pos="9773"/>
        </w:tabs>
        <w:rPr>
          <w:rFonts w:asciiTheme="minorHAnsi" w:hAnsiTheme="minorHAnsi"/>
          <w:b w:val="0"/>
          <w:noProof/>
          <w:color w:val="auto"/>
          <w:sz w:val="22"/>
          <w:szCs w:val="22"/>
          <w:lang w:eastAsia="en-GB"/>
        </w:rPr>
      </w:pPr>
      <w:r>
        <w:rPr>
          <w:noProof/>
        </w:rPr>
        <w:t>Bilaga 2 – Skälig levnadsnivå</w:t>
      </w:r>
      <w:r>
        <w:rPr>
          <w:noProof/>
        </w:rPr>
        <w:tab/>
      </w:r>
      <w:r>
        <w:rPr>
          <w:noProof/>
        </w:rPr>
        <w:fldChar w:fldCharType="begin"/>
      </w:r>
      <w:r>
        <w:rPr>
          <w:noProof/>
        </w:rPr>
        <w:instrText xml:space="preserve"> PAGEREF _Toc468614376 \h </w:instrText>
      </w:r>
      <w:r>
        <w:rPr>
          <w:noProof/>
        </w:rPr>
      </w:r>
      <w:r>
        <w:rPr>
          <w:noProof/>
        </w:rPr>
        <w:fldChar w:fldCharType="separate"/>
      </w:r>
      <w:r w:rsidR="006340A5">
        <w:rPr>
          <w:noProof/>
        </w:rPr>
        <w:t>78</w:t>
      </w:r>
      <w:r>
        <w:rPr>
          <w:noProof/>
        </w:rPr>
        <w:fldChar w:fldCharType="end"/>
      </w:r>
    </w:p>
    <w:p w14:paraId="5E826793" w14:textId="2A2188A8" w:rsidR="00282B9F" w:rsidRPr="003954D9" w:rsidRDefault="007E748F" w:rsidP="007E748F">
      <w:pPr>
        <w:pStyle w:val="Innehll1"/>
      </w:pPr>
      <w:r>
        <w:fldChar w:fldCharType="end"/>
      </w:r>
      <w:r w:rsidR="00282B9F" w:rsidRPr="003954D9">
        <w:br w:type="page"/>
      </w:r>
    </w:p>
    <w:p w14:paraId="6FD60E45" w14:textId="77777777" w:rsidR="00365C66" w:rsidRDefault="00365C66" w:rsidP="000D62DE">
      <w:pPr>
        <w:pStyle w:val="Rubrik1"/>
      </w:pPr>
      <w:bookmarkStart w:id="26" w:name="_Toc464828381"/>
      <w:r>
        <w:lastRenderedPageBreak/>
        <w:br w:type="page"/>
      </w:r>
    </w:p>
    <w:p w14:paraId="69931582" w14:textId="002A3F96" w:rsidR="001E1C0E" w:rsidRPr="003954D9" w:rsidRDefault="001E1C0E" w:rsidP="000D62DE">
      <w:pPr>
        <w:pStyle w:val="Rubrik1"/>
      </w:pPr>
      <w:bookmarkStart w:id="27" w:name="_Toc467818475"/>
      <w:bookmarkStart w:id="28" w:name="_Toc468614361"/>
      <w:r w:rsidRPr="003954D9">
        <w:lastRenderedPageBreak/>
        <w:t>Sammanfattning</w:t>
      </w:r>
      <w:bookmarkEnd w:id="21"/>
      <w:bookmarkEnd w:id="22"/>
      <w:bookmarkEnd w:id="23"/>
      <w:bookmarkEnd w:id="24"/>
      <w:bookmarkEnd w:id="25"/>
      <w:bookmarkEnd w:id="26"/>
      <w:bookmarkEnd w:id="27"/>
      <w:bookmarkEnd w:id="28"/>
    </w:p>
    <w:p w14:paraId="03D31842" w14:textId="77777777" w:rsidR="0085451F" w:rsidRPr="003954D9" w:rsidRDefault="0085451F" w:rsidP="00282B9F">
      <w:pPr>
        <w:pStyle w:val="Rubrik2"/>
      </w:pPr>
      <w:bookmarkStart w:id="29" w:name="_Toc333795968"/>
      <w:bookmarkStart w:id="30" w:name="_Toc333796220"/>
      <w:bookmarkStart w:id="31" w:name="_Toc333800750"/>
      <w:bookmarkStart w:id="32" w:name="_Toc333800868"/>
      <w:bookmarkStart w:id="33" w:name="_Toc463184384"/>
      <w:bookmarkStart w:id="34" w:name="_Toc464828382"/>
      <w:bookmarkEnd w:id="19"/>
      <w:bookmarkEnd w:id="20"/>
      <w:r w:rsidRPr="003954D9">
        <w:t>Om rapporten</w:t>
      </w:r>
      <w:bookmarkEnd w:id="29"/>
      <w:bookmarkEnd w:id="30"/>
      <w:bookmarkEnd w:id="31"/>
      <w:bookmarkEnd w:id="32"/>
      <w:bookmarkEnd w:id="33"/>
      <w:bookmarkEnd w:id="34"/>
      <w:r w:rsidRPr="003954D9">
        <w:t xml:space="preserve"> </w:t>
      </w:r>
    </w:p>
    <w:p w14:paraId="54564B71" w14:textId="77777777" w:rsidR="0085451F" w:rsidRPr="003954D9" w:rsidRDefault="0085451F" w:rsidP="00D85105">
      <w:r w:rsidRPr="003954D9">
        <w:t xml:space="preserve">Rapporten belyser hur hyresgästernas ekonomi påverkas av hyreshöjningar efter renovering och ombyggnad i hyresfastigheter i Göteborg som står inför renovering och ombyggnad: hur stor andel av hyresgästerna riskerar att tvingas flytta som en följd av hyreshöjningarna. Risk att tvingas flytta föreligger, enligt vår definition, om hushållets inkomst understiger skälig levnadsnivå. </w:t>
      </w:r>
    </w:p>
    <w:p w14:paraId="0D991DBC" w14:textId="0C8334A0" w:rsidR="0085451F" w:rsidRPr="003954D9" w:rsidRDefault="0085451F" w:rsidP="00D85105">
      <w:pPr>
        <w:spacing w:before="120"/>
        <w:rPr>
          <w:strike/>
        </w:rPr>
      </w:pPr>
      <w:r w:rsidRPr="003954D9">
        <w:t xml:space="preserve">Tillförlitligheten i undersökningen är hög eftersom den är en totalundersökning som omfattar 23 000 hushåll </w:t>
      </w:r>
      <w:r w:rsidR="00A55055" w:rsidRPr="003954D9">
        <w:t>med drygt 51 000 personer</w:t>
      </w:r>
      <w:r w:rsidR="00347BD0">
        <w:t xml:space="preserve"> boende</w:t>
      </w:r>
      <w:r w:rsidR="00347BD0">
        <w:rPr>
          <w:color w:val="FF0000"/>
        </w:rPr>
        <w:t xml:space="preserve"> </w:t>
      </w:r>
      <w:r w:rsidRPr="003954D9">
        <w:t xml:space="preserve">i hyresfastigheter som står inför ombyggnad de närmaste åren. </w:t>
      </w:r>
    </w:p>
    <w:p w14:paraId="461671D7" w14:textId="77777777" w:rsidR="0085451F" w:rsidRPr="003954D9" w:rsidRDefault="0085451F" w:rsidP="00D85105">
      <w:pPr>
        <w:spacing w:before="120"/>
      </w:pPr>
    </w:p>
    <w:p w14:paraId="661A15F3" w14:textId="77777777" w:rsidR="0085451F" w:rsidRPr="003954D9" w:rsidRDefault="0085451F" w:rsidP="00282B9F">
      <w:pPr>
        <w:pStyle w:val="Rubrik2"/>
      </w:pPr>
      <w:bookmarkStart w:id="35" w:name="_Toc464828383"/>
      <w:r w:rsidRPr="003954D9">
        <w:t>Effekten av hyreshöjningar på olika nivåer</w:t>
      </w:r>
      <w:bookmarkEnd w:id="35"/>
    </w:p>
    <w:p w14:paraId="37AB7569" w14:textId="47C40693" w:rsidR="000F60F8" w:rsidRPr="00FF7B9D" w:rsidRDefault="000F60F8" w:rsidP="000F60F8">
      <w:pPr>
        <w:keepNext/>
        <w:keepLines/>
        <w:spacing w:before="200" w:line="276" w:lineRule="auto"/>
        <w:outlineLvl w:val="2"/>
        <w:rPr>
          <w:rFonts w:asciiTheme="majorHAnsi" w:eastAsia="MS Gothic" w:hAnsiTheme="majorHAnsi" w:cstheme="majorBidi"/>
          <w:bCs/>
          <w:color w:val="548DD4" w:themeColor="text2" w:themeTint="99"/>
          <w:sz w:val="22"/>
          <w:szCs w:val="22"/>
        </w:rPr>
      </w:pPr>
      <w:r w:rsidRPr="00FF7B9D">
        <w:rPr>
          <w:rFonts w:asciiTheme="majorHAnsi" w:eastAsia="MS Gothic" w:hAnsiTheme="majorHAnsi" w:cstheme="majorBidi"/>
          <w:bCs/>
          <w:color w:val="548DD4" w:themeColor="text2" w:themeTint="99"/>
          <w:sz w:val="22"/>
          <w:szCs w:val="22"/>
        </w:rPr>
        <w:t>Övergripande slutsats</w:t>
      </w:r>
    </w:p>
    <w:p w14:paraId="76D1A51A" w14:textId="07B2130D" w:rsidR="000F60F8" w:rsidRPr="00FF7B9D" w:rsidRDefault="000F60F8" w:rsidP="0024139A">
      <w:pPr>
        <w:spacing w:before="120"/>
      </w:pPr>
      <w:r w:rsidRPr="00FF7B9D">
        <w:t xml:space="preserve">Redan idag befinner sig en stor del av hushållen i riskzonen för att tvingas flytta – 3 380 eller 15 procent av hushållen i studien. Hyreshöjningar på 50 procent – som inte är ovanliga i Göteborg – betyder att det kommer att ske en kraftig ökning av antalet hushåll i riskzonen – mer än en fördubbling. En hyreshöjning på bara 5 procent medför att så många som 600 hushåll </w:t>
      </w:r>
      <w:r w:rsidR="00415B3D" w:rsidRPr="00FF7B9D">
        <w:t>uppnår bara hälften av skälig levnadsnivå</w:t>
      </w:r>
      <w:r w:rsidR="00347BD0">
        <w:t>, trots att h</w:t>
      </w:r>
      <w:r w:rsidR="00CE29A8" w:rsidRPr="00FF7B9D">
        <w:t>yrorna i de berörda fastigheterna ligger under genomsnittet för Göteborg.</w:t>
      </w:r>
      <w:r w:rsidR="00415B3D" w:rsidRPr="00FF7B9D">
        <w:t xml:space="preserve"> </w:t>
      </w:r>
    </w:p>
    <w:p w14:paraId="00447C79" w14:textId="21019B59" w:rsidR="000C37AF" w:rsidRPr="00FF7B9D" w:rsidRDefault="00415B3D" w:rsidP="0024139A">
      <w:pPr>
        <w:spacing w:before="120"/>
      </w:pPr>
      <w:r w:rsidRPr="00FF7B9D">
        <w:t xml:space="preserve">De hushåll som drabbas hårdast är ensamboende över 65 år och då i synnerhet kvinnor, ensamstående med barn och de stora barnfamiljerna. </w:t>
      </w:r>
      <w:r w:rsidR="000C37AF" w:rsidRPr="00FF7B9D">
        <w:t xml:space="preserve">Det är hushållen i </w:t>
      </w:r>
      <w:r w:rsidR="0024139A">
        <w:t>de mellanstora lägenheterna</w:t>
      </w:r>
      <w:r w:rsidR="00D85105">
        <w:t xml:space="preserve"> (</w:t>
      </w:r>
      <w:r w:rsidR="0024139A">
        <w:t>2 och 3 rum och kök) som råkar värst ut.</w:t>
      </w:r>
    </w:p>
    <w:p w14:paraId="2DAB3129" w14:textId="4EEE1E2F" w:rsidR="00415B3D" w:rsidRPr="00FF7B9D" w:rsidRDefault="00415B3D" w:rsidP="0024139A">
      <w:pPr>
        <w:spacing w:before="120"/>
      </w:pPr>
      <w:r w:rsidRPr="00FF7B9D">
        <w:t xml:space="preserve">Framför allt hushåll i Angered, men också i östra Göteborg, </w:t>
      </w:r>
      <w:r w:rsidR="00347BD0">
        <w:t xml:space="preserve">finns i riskzonen när hyrorna höjs </w:t>
      </w:r>
      <w:r w:rsidRPr="00FF7B9D">
        <w:t xml:space="preserve">och här </w:t>
      </w:r>
      <w:r w:rsidR="000A0471" w:rsidRPr="00FF7B9D">
        <w:t xml:space="preserve">bor en tredjedel av hushållen i </w:t>
      </w:r>
      <w:r w:rsidRPr="00FF7B9D">
        <w:t>undersökningen</w:t>
      </w:r>
      <w:r w:rsidR="000A0471" w:rsidRPr="00FF7B9D">
        <w:t xml:space="preserve"> och 40 procent av personerna</w:t>
      </w:r>
      <w:r w:rsidRPr="00FF7B9D">
        <w:t>. Hushållen i Västra Hisingen, Askim-Frölunda-Högsbo och Norra Hisingen utgör en mellangrupp medan hushållen i Centrum, Lundby, Majorna-Linnéstaden, Örgryte-Härlanda och Västra Göteborg kommer lättare undan.</w:t>
      </w:r>
    </w:p>
    <w:p w14:paraId="17219D0A" w14:textId="55763443" w:rsidR="000C37AF" w:rsidRPr="00FF7B9D" w:rsidRDefault="000C37AF" w:rsidP="0024139A">
      <w:pPr>
        <w:spacing w:before="120"/>
      </w:pPr>
      <w:r w:rsidRPr="00FF7B9D">
        <w:t xml:space="preserve">Bostadstillägg och bostadsbidrag påverkar sannolikt utfallet bara marginellt. </w:t>
      </w:r>
    </w:p>
    <w:p w14:paraId="32BFD717" w14:textId="410AB0DD" w:rsidR="000C37AF" w:rsidRDefault="000C37AF" w:rsidP="0024139A">
      <w:pPr>
        <w:spacing w:before="120"/>
      </w:pPr>
      <w:r w:rsidRPr="00FF7B9D">
        <w:t>En viktig orsak till stora hyreshöjningar</w:t>
      </w:r>
      <w:r w:rsidR="00FF7B9D">
        <w:t xml:space="preserve"> i samband med ombyggnad</w:t>
      </w:r>
      <w:r w:rsidRPr="00FF7B9D">
        <w:t xml:space="preserve"> är att hyresgästernas möjlighet att påverka standardhöjande åtgärder och därmed också hyreshöjningarna är så gott som obefintlig. En statlig utredning ser för närvarande över lagstiftningen.</w:t>
      </w:r>
      <w:r w:rsidR="00FE72C4">
        <w:t xml:space="preserve"> </w:t>
      </w:r>
    </w:p>
    <w:p w14:paraId="24E0041E" w14:textId="4571B2F9" w:rsidR="00FE72C4" w:rsidRPr="003954D9" w:rsidRDefault="00FE72C4" w:rsidP="0024139A">
      <w:pPr>
        <w:spacing w:before="120"/>
      </w:pPr>
      <w:r w:rsidRPr="00523800">
        <w:t xml:space="preserve">Rapporten föreslår att man hädanefter </w:t>
      </w:r>
      <w:r w:rsidR="00DF6180" w:rsidRPr="00523800">
        <w:t xml:space="preserve">inte bör använda det diffusa begreppet </w:t>
      </w:r>
      <w:r w:rsidR="00DF6180" w:rsidRPr="00523800">
        <w:rPr>
          <w:i/>
        </w:rPr>
        <w:t xml:space="preserve">ombyggnad </w:t>
      </w:r>
      <w:r w:rsidR="00DF6180" w:rsidRPr="00523800">
        <w:t xml:space="preserve">utan i stället bör använda </w:t>
      </w:r>
      <w:r w:rsidRPr="00523800">
        <w:t xml:space="preserve">begreppen </w:t>
      </w:r>
      <w:r w:rsidRPr="00523800">
        <w:rPr>
          <w:i/>
        </w:rPr>
        <w:t>underhåll</w:t>
      </w:r>
      <w:r w:rsidRPr="00523800">
        <w:t xml:space="preserve"> och </w:t>
      </w:r>
      <w:r w:rsidRPr="00523800">
        <w:rPr>
          <w:i/>
        </w:rPr>
        <w:t xml:space="preserve">standardhöjande åtgärder. </w:t>
      </w:r>
      <w:r w:rsidRPr="00523800">
        <w:t xml:space="preserve">Kostnaderna för underhållet ska vara inbakade i hyran och är inte grund för hyreshöjningar. I samband med att hyresvärdar genomför mer omfattande underhåll som stambyten är det vanligt att man också höjer lägenheternas standard. Det är </w:t>
      </w:r>
      <w:r w:rsidR="00DF6180" w:rsidRPr="00523800">
        <w:t xml:space="preserve">bara </w:t>
      </w:r>
      <w:r w:rsidRPr="00523800">
        <w:t>dessa åtgärder som ligger till grund för hyreshöjningar</w:t>
      </w:r>
      <w:r w:rsidR="00DF6180" w:rsidRPr="00523800">
        <w:t xml:space="preserve">na </w:t>
      </w:r>
      <w:r w:rsidRPr="00523800">
        <w:t>i samband</w:t>
      </w:r>
      <w:r w:rsidR="00DF6180" w:rsidRPr="00523800">
        <w:t xml:space="preserve"> med det man kallar för ombyggnad.</w:t>
      </w:r>
      <w:r w:rsidR="00DF6180">
        <w:t xml:space="preserve"> </w:t>
      </w:r>
    </w:p>
    <w:p w14:paraId="11C90B1C" w14:textId="23E3EE14" w:rsidR="0085451F" w:rsidRPr="003954D9" w:rsidRDefault="00572FEE" w:rsidP="0085451F">
      <w:pPr>
        <w:keepNext/>
        <w:keepLines/>
        <w:spacing w:before="200" w:line="276" w:lineRule="auto"/>
        <w:outlineLvl w:val="2"/>
        <w:rPr>
          <w:rFonts w:asciiTheme="majorHAnsi" w:eastAsia="MS Gothic" w:hAnsiTheme="majorHAnsi" w:cstheme="majorBidi"/>
          <w:bCs/>
          <w:color w:val="548DD4" w:themeColor="text2" w:themeTint="99"/>
          <w:sz w:val="22"/>
          <w:szCs w:val="22"/>
        </w:rPr>
      </w:pPr>
      <w:r>
        <w:rPr>
          <w:rFonts w:asciiTheme="majorHAnsi" w:eastAsia="MS Gothic" w:hAnsiTheme="majorHAnsi" w:cstheme="majorBidi"/>
          <w:bCs/>
          <w:color w:val="548DD4" w:themeColor="text2" w:themeTint="99"/>
          <w:sz w:val="22"/>
          <w:szCs w:val="22"/>
        </w:rPr>
        <w:t xml:space="preserve">Höjning </w:t>
      </w:r>
      <w:r w:rsidR="0085451F" w:rsidRPr="003954D9">
        <w:rPr>
          <w:rFonts w:asciiTheme="majorHAnsi" w:eastAsia="MS Gothic" w:hAnsiTheme="majorHAnsi" w:cstheme="majorBidi"/>
          <w:bCs/>
          <w:color w:val="548DD4" w:themeColor="text2" w:themeTint="99"/>
          <w:sz w:val="22"/>
          <w:szCs w:val="22"/>
        </w:rPr>
        <w:t>50 procent</w:t>
      </w:r>
    </w:p>
    <w:p w14:paraId="68BBE000" w14:textId="20F38BDE" w:rsidR="0085451F" w:rsidRPr="003954D9" w:rsidRDefault="0085451F" w:rsidP="0085451F">
      <w:r w:rsidRPr="003954D9">
        <w:t xml:space="preserve">Av de 23 000 hushåll som ingår i undersökningen kommer vart tredje eller 7 600 hushåll att ligga under skälig levnadsnivå och riskera att tvingas flytta vid en hyreshöjning på 50 procent efter ombyggnad. Det är en ökning med 4 220 jämfört med antalet hushåll under skälig levnadsnivå idag och </w:t>
      </w:r>
      <w:r w:rsidR="002B0DB7" w:rsidRPr="003954D9">
        <w:t xml:space="preserve">mer än </w:t>
      </w:r>
      <w:r w:rsidR="007514C5" w:rsidRPr="003954D9">
        <w:t xml:space="preserve">en </w:t>
      </w:r>
      <w:r w:rsidR="002B0DB7" w:rsidRPr="003954D9">
        <w:t xml:space="preserve">fördubbling. </w:t>
      </w:r>
      <w:r w:rsidRPr="003954D9">
        <w:t xml:space="preserve">Hyreshöjningar på omkring 50 procent är vanligt förekommande i samband med renoveringar och ombyggnad i Göteborg. </w:t>
      </w:r>
    </w:p>
    <w:p w14:paraId="0A8D4E00" w14:textId="30419CDC" w:rsidR="0085451F" w:rsidRPr="003954D9" w:rsidRDefault="00572FEE" w:rsidP="0085451F">
      <w:pPr>
        <w:keepNext/>
        <w:keepLines/>
        <w:spacing w:before="200" w:line="276" w:lineRule="auto"/>
        <w:outlineLvl w:val="2"/>
        <w:rPr>
          <w:rFonts w:asciiTheme="majorHAnsi" w:eastAsia="MS Gothic" w:hAnsiTheme="majorHAnsi" w:cstheme="majorBidi"/>
          <w:bCs/>
          <w:color w:val="548DD4" w:themeColor="text2" w:themeTint="99"/>
          <w:sz w:val="22"/>
          <w:szCs w:val="22"/>
        </w:rPr>
      </w:pPr>
      <w:r>
        <w:rPr>
          <w:rFonts w:asciiTheme="majorHAnsi" w:eastAsia="MS Gothic" w:hAnsiTheme="majorHAnsi" w:cstheme="majorBidi"/>
          <w:bCs/>
          <w:color w:val="548DD4" w:themeColor="text2" w:themeTint="99"/>
          <w:sz w:val="22"/>
          <w:szCs w:val="22"/>
        </w:rPr>
        <w:lastRenderedPageBreak/>
        <w:t xml:space="preserve">Höjning </w:t>
      </w:r>
      <w:r w:rsidR="0085451F" w:rsidRPr="003954D9">
        <w:rPr>
          <w:rFonts w:asciiTheme="majorHAnsi" w:eastAsia="MS Gothic" w:hAnsiTheme="majorHAnsi" w:cstheme="majorBidi"/>
          <w:bCs/>
          <w:color w:val="548DD4" w:themeColor="text2" w:themeTint="99"/>
          <w:sz w:val="22"/>
          <w:szCs w:val="22"/>
        </w:rPr>
        <w:t>25 procent</w:t>
      </w:r>
    </w:p>
    <w:p w14:paraId="69F5FBFD" w14:textId="3A499326" w:rsidR="0085451F" w:rsidRPr="003954D9" w:rsidRDefault="0085451F" w:rsidP="0085451F">
      <w:r w:rsidRPr="003954D9">
        <w:t xml:space="preserve">Höjs </w:t>
      </w:r>
      <w:r w:rsidR="00347BD0">
        <w:t xml:space="preserve">hyran </w:t>
      </w:r>
      <w:r w:rsidRPr="003954D9">
        <w:t xml:space="preserve">med 25 procent ligger vart fjärde eller 5 500 hushåll i riskzonen för att tvingas flytta. Det är en ökning med 2 100 eller </w:t>
      </w:r>
      <w:r w:rsidR="007514C5" w:rsidRPr="003954D9">
        <w:t>9 procentenheter</w:t>
      </w:r>
      <w:r w:rsidR="007514C5" w:rsidRPr="003954D9">
        <w:rPr>
          <w:color w:val="FF0000"/>
        </w:rPr>
        <w:t xml:space="preserve"> </w:t>
      </w:r>
      <w:r w:rsidRPr="003954D9">
        <w:t xml:space="preserve">jämfört med dagens situation. Man kunde vänta sig att en halvering av hyreshöjningen skulle leda till en halvering av andelen hushåll i riskzonen, men så är det inte. Anledningen är att det redan idag finns en betydande andel hushåll med en </w:t>
      </w:r>
      <w:r w:rsidR="00D85105">
        <w:t>disponibel inkomst</w:t>
      </w:r>
      <w:r w:rsidRPr="003954D9">
        <w:t xml:space="preserve"> under skälig levnadsnivå. </w:t>
      </w:r>
    </w:p>
    <w:p w14:paraId="1CD0F646" w14:textId="52049987" w:rsidR="0085451F" w:rsidRPr="003954D9" w:rsidRDefault="00572FEE" w:rsidP="0085451F">
      <w:pPr>
        <w:keepNext/>
        <w:keepLines/>
        <w:spacing w:before="200" w:line="276" w:lineRule="auto"/>
        <w:outlineLvl w:val="2"/>
        <w:rPr>
          <w:rFonts w:asciiTheme="majorHAnsi" w:eastAsia="MS Gothic" w:hAnsiTheme="majorHAnsi" w:cstheme="majorBidi"/>
          <w:bCs/>
          <w:color w:val="548DD4" w:themeColor="text2" w:themeTint="99"/>
          <w:sz w:val="22"/>
          <w:szCs w:val="22"/>
        </w:rPr>
      </w:pPr>
      <w:r>
        <w:rPr>
          <w:rFonts w:asciiTheme="majorHAnsi" w:eastAsia="MS Gothic" w:hAnsiTheme="majorHAnsi" w:cstheme="majorBidi"/>
          <w:bCs/>
          <w:color w:val="548DD4" w:themeColor="text2" w:themeTint="99"/>
          <w:sz w:val="22"/>
          <w:szCs w:val="22"/>
        </w:rPr>
        <w:t xml:space="preserve">Höjning </w:t>
      </w:r>
      <w:r w:rsidR="0085451F" w:rsidRPr="003954D9">
        <w:rPr>
          <w:rFonts w:asciiTheme="majorHAnsi" w:eastAsia="MS Gothic" w:hAnsiTheme="majorHAnsi" w:cstheme="majorBidi"/>
          <w:bCs/>
          <w:color w:val="548DD4" w:themeColor="text2" w:themeTint="99"/>
          <w:sz w:val="22"/>
          <w:szCs w:val="22"/>
        </w:rPr>
        <w:t>5 procent</w:t>
      </w:r>
    </w:p>
    <w:p w14:paraId="667EAC13" w14:textId="69A2E8CA" w:rsidR="007514C5" w:rsidRPr="003954D9" w:rsidRDefault="0085451F" w:rsidP="007514C5">
      <w:r w:rsidRPr="003954D9">
        <w:t xml:space="preserve">Skulle hyran höjas med 5 procent är andelen hushåll i riskzonen 16 procent eller nära 3 800 hushåll. Det antalet ligger nära det antal som idag inte uppnår skälig levnadsnivå när hyran är betald och som redan nu skulle behöva en lägre boendekostnad – nära 3 400 hushåll. Vid en hyreshöjning </w:t>
      </w:r>
      <w:r w:rsidR="00D85105">
        <w:t xml:space="preserve">på 5 procent </w:t>
      </w:r>
      <w:r w:rsidR="007514C5" w:rsidRPr="003954D9">
        <w:t>ligger ökningen på drygt 400 hushåll eller knappt 2 procentenheter.</w:t>
      </w:r>
      <w:r w:rsidR="002B0DB7" w:rsidRPr="003954D9">
        <w:t xml:space="preserve"> </w:t>
      </w:r>
      <w:r w:rsidR="007514C5" w:rsidRPr="003954D9">
        <w:t xml:space="preserve"> </w:t>
      </w:r>
      <w:r w:rsidR="00F67C6C" w:rsidRPr="003954D9">
        <w:t xml:space="preserve">De stora förändringarna sker från 5 procent till 25 procent och från 25 till 50 procent. </w:t>
      </w:r>
      <w:r w:rsidR="0065115E">
        <w:t>Se diagram 1:1 och 1:2.</w:t>
      </w:r>
    </w:p>
    <w:p w14:paraId="39462385" w14:textId="77777777" w:rsidR="005556DD" w:rsidRDefault="0085451F" w:rsidP="006B02F2">
      <w:pPr>
        <w:pStyle w:val="Rubrik5"/>
      </w:pPr>
      <w:r w:rsidRPr="003954D9">
        <w:t>Diagram 1:1</w:t>
      </w:r>
      <w:r w:rsidRPr="003954D9">
        <w:tab/>
      </w:r>
      <w:r w:rsidRPr="003954D9">
        <w:tab/>
      </w:r>
      <w:r w:rsidRPr="003954D9">
        <w:tab/>
        <w:t xml:space="preserve">            </w:t>
      </w:r>
    </w:p>
    <w:p w14:paraId="3157882D" w14:textId="4571C307" w:rsidR="005556DD" w:rsidRDefault="005556DD" w:rsidP="0085451F">
      <w:r w:rsidRPr="005556DD">
        <w:rPr>
          <w:noProof/>
        </w:rPr>
        <w:drawing>
          <wp:inline distT="0" distB="0" distL="0" distR="0" wp14:anchorId="571A07DA" wp14:editId="6B1CA84F">
            <wp:extent cx="3752850" cy="196215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1962150"/>
                    </a:xfrm>
                    <a:prstGeom prst="rect">
                      <a:avLst/>
                    </a:prstGeom>
                    <a:noFill/>
                    <a:ln>
                      <a:noFill/>
                    </a:ln>
                  </pic:spPr>
                </pic:pic>
              </a:graphicData>
            </a:graphic>
          </wp:inline>
        </w:drawing>
      </w:r>
    </w:p>
    <w:p w14:paraId="532AB2E1" w14:textId="0190B957" w:rsidR="0085451F" w:rsidRPr="003954D9" w:rsidRDefault="0085451F" w:rsidP="006B02F2">
      <w:pPr>
        <w:pStyle w:val="Rubrik5"/>
      </w:pPr>
      <w:r w:rsidRPr="003954D9">
        <w:t>Diagram 1:2</w:t>
      </w:r>
    </w:p>
    <w:p w14:paraId="281D47CB" w14:textId="25481C22" w:rsidR="0085451F" w:rsidRPr="003954D9" w:rsidRDefault="005556DD" w:rsidP="0085451F">
      <w:r w:rsidRPr="005556DD">
        <w:rPr>
          <w:noProof/>
        </w:rPr>
        <w:drawing>
          <wp:inline distT="0" distB="0" distL="0" distR="0" wp14:anchorId="0543AD07" wp14:editId="7895C8DF">
            <wp:extent cx="3733800" cy="198120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1981200"/>
                    </a:xfrm>
                    <a:prstGeom prst="rect">
                      <a:avLst/>
                    </a:prstGeom>
                    <a:noFill/>
                    <a:ln>
                      <a:noFill/>
                    </a:ln>
                  </pic:spPr>
                </pic:pic>
              </a:graphicData>
            </a:graphic>
          </wp:inline>
        </w:drawing>
      </w:r>
    </w:p>
    <w:p w14:paraId="0657F95C" w14:textId="77777777" w:rsidR="0085451F" w:rsidRPr="003954D9" w:rsidRDefault="0085451F" w:rsidP="0085451F"/>
    <w:p w14:paraId="78060440" w14:textId="0C7BA98A" w:rsidR="0085451F" w:rsidRPr="003954D9" w:rsidRDefault="0085451F" w:rsidP="00282B9F">
      <w:pPr>
        <w:pStyle w:val="Rubrik3"/>
      </w:pPr>
      <w:bookmarkStart w:id="36" w:name="_Toc464828384"/>
      <w:r w:rsidRPr="003954D9">
        <w:t>Effekten i olika stadsdelar</w:t>
      </w:r>
      <w:bookmarkEnd w:id="36"/>
      <w:r w:rsidRPr="003954D9">
        <w:t xml:space="preserve"> </w:t>
      </w:r>
    </w:p>
    <w:p w14:paraId="78139FBE" w14:textId="4D856B7A" w:rsidR="0085451F" w:rsidRPr="003954D9" w:rsidRDefault="0085451F" w:rsidP="0085451F">
      <w:pPr>
        <w:autoSpaceDE w:val="0"/>
        <w:autoSpaceDN w:val="0"/>
        <w:adjustRightInd w:val="0"/>
      </w:pPr>
      <w:r w:rsidRPr="003954D9">
        <w:t xml:space="preserve">Det finns betydande skillnader mellan stadsdelarna (de tio stadsdelsnämndsområdena) när det gäller risken för flytt. </w:t>
      </w:r>
      <w:r w:rsidR="004A3345">
        <w:t xml:space="preserve"> </w:t>
      </w:r>
      <w:r w:rsidRPr="003954D9">
        <w:t xml:space="preserve">De största </w:t>
      </w:r>
      <w:r w:rsidRPr="003954D9">
        <w:rPr>
          <w:i/>
        </w:rPr>
        <w:t>antalen</w:t>
      </w:r>
      <w:r w:rsidRPr="003954D9">
        <w:t xml:space="preserve"> med risk att flytta finns i Angered och Östra Göteborg. I Västra Göteborg är antalet väldigt lågt, vilket beror på att antalet hushåll i urvalet från Västra Göteborg är mycket lågt. Bilden blir ungefär densamma för </w:t>
      </w:r>
      <w:r w:rsidRPr="003954D9">
        <w:rPr>
          <w:i/>
        </w:rPr>
        <w:t>andelen</w:t>
      </w:r>
      <w:r w:rsidRPr="003954D9">
        <w:t xml:space="preserve"> hushåll i varje stadsdel som hamnar i riskzonen för att tvingas flytta om hyrorna höjs p.g.a. ombyggnad. De högsta </w:t>
      </w:r>
      <w:r w:rsidRPr="003954D9">
        <w:rPr>
          <w:i/>
        </w:rPr>
        <w:t>andelarna</w:t>
      </w:r>
      <w:r w:rsidRPr="003954D9">
        <w:t xml:space="preserve"> finns i Angered och Östra Göteborg följda av Västra Hisingen. Västra Göteborg och Majorna-Linnéstaden har de lägsta andelarna.  </w:t>
      </w:r>
    </w:p>
    <w:p w14:paraId="23E446A5" w14:textId="3C9990EF" w:rsidR="0085451F" w:rsidRPr="003954D9" w:rsidRDefault="00FF7B9D" w:rsidP="0085451F">
      <w:pPr>
        <w:keepNext/>
        <w:keepLines/>
        <w:spacing w:before="200" w:line="276" w:lineRule="auto"/>
        <w:outlineLvl w:val="2"/>
        <w:rPr>
          <w:rFonts w:asciiTheme="majorHAnsi" w:eastAsia="MS Gothic" w:hAnsiTheme="majorHAnsi" w:cstheme="majorBidi"/>
          <w:bCs/>
          <w:color w:val="548DD4" w:themeColor="text2" w:themeTint="99"/>
          <w:sz w:val="22"/>
          <w:szCs w:val="22"/>
        </w:rPr>
      </w:pPr>
      <w:r>
        <w:rPr>
          <w:rFonts w:asciiTheme="majorHAnsi" w:eastAsia="MS Gothic" w:hAnsiTheme="majorHAnsi" w:cstheme="majorBidi"/>
          <w:bCs/>
          <w:color w:val="548DD4" w:themeColor="text2" w:themeTint="99"/>
          <w:sz w:val="22"/>
          <w:szCs w:val="22"/>
        </w:rPr>
        <w:lastRenderedPageBreak/>
        <w:t xml:space="preserve">Höjning </w:t>
      </w:r>
      <w:r w:rsidR="0085451F" w:rsidRPr="003954D9">
        <w:rPr>
          <w:rFonts w:asciiTheme="majorHAnsi" w:eastAsia="MS Gothic" w:hAnsiTheme="majorHAnsi" w:cstheme="majorBidi"/>
          <w:bCs/>
          <w:color w:val="548DD4" w:themeColor="text2" w:themeTint="99"/>
          <w:sz w:val="22"/>
          <w:szCs w:val="22"/>
        </w:rPr>
        <w:t xml:space="preserve">50 procent </w:t>
      </w:r>
    </w:p>
    <w:p w14:paraId="0776DCEB" w14:textId="5EA29D73" w:rsidR="0085451F" w:rsidRPr="003954D9" w:rsidRDefault="0085451F" w:rsidP="0085451F">
      <w:pPr>
        <w:autoSpaceDE w:val="0"/>
        <w:autoSpaceDN w:val="0"/>
        <w:adjustRightInd w:val="0"/>
      </w:pPr>
      <w:r w:rsidRPr="003954D9">
        <w:t xml:space="preserve">I Angered och Östra Göteborg riskerar cirka 40 procent av hushållen i undersökningen att tvingas flytta vid en 50-procentig hyreshöjning. I Västra Hisingen, Askim-Frölunda-Högsbo och Norra Hisingen ligger andelen på </w:t>
      </w:r>
      <w:r w:rsidR="00365C66" w:rsidRPr="003954D9">
        <w:t>38–31</w:t>
      </w:r>
      <w:r w:rsidRPr="003954D9">
        <w:t xml:space="preserve"> procent och i Centrum, Lundby, Majorna-Linnéstaden, Örgryte-Härlanda och Västra Göteborg på </w:t>
      </w:r>
      <w:r w:rsidR="00365C66" w:rsidRPr="003954D9">
        <w:t>27–23</w:t>
      </w:r>
      <w:r w:rsidRPr="003954D9">
        <w:t xml:space="preserve"> procent. </w:t>
      </w:r>
    </w:p>
    <w:p w14:paraId="7605E6F4" w14:textId="5F8ABB0F" w:rsidR="0085451F" w:rsidRPr="003954D9" w:rsidRDefault="0085451F" w:rsidP="004A3345">
      <w:pPr>
        <w:autoSpaceDE w:val="0"/>
        <w:autoSpaceDN w:val="0"/>
        <w:adjustRightInd w:val="0"/>
        <w:spacing w:before="120"/>
      </w:pPr>
      <w:r w:rsidRPr="003954D9">
        <w:t>Antalsmässigt rör det sig totalt om nära 1 900 hushåll i Angered och i Östra Göteborg om nära 1 400 hushåll samt i Västra Hisingen om drygt 1000 hushåll som ligger i riskzonen vid en hyreshöjning på 50 procent. I Askim-Frölunda-Högsbo, Majorna-Linnéstaden, Örgryte-Härlanda, Centrum och Norra Hisingen rör det sig om ca 800</w:t>
      </w:r>
      <w:r w:rsidR="00347BD0">
        <w:rPr>
          <w:color w:val="FF0000"/>
        </w:rPr>
        <w:t xml:space="preserve"> </w:t>
      </w:r>
      <w:r w:rsidR="00347BD0" w:rsidRPr="00347BD0">
        <w:t>-</w:t>
      </w:r>
      <w:r w:rsidR="00A55055" w:rsidRPr="003954D9">
        <w:rPr>
          <w:color w:val="FF0000"/>
        </w:rPr>
        <w:t xml:space="preserve"> </w:t>
      </w:r>
      <w:r w:rsidRPr="003954D9">
        <w:t xml:space="preserve">400 hushåll. I Lundby och Västra Göteborg är antalet sammantaget drygt 300. </w:t>
      </w:r>
    </w:p>
    <w:p w14:paraId="5B7A18B3" w14:textId="77777777" w:rsidR="0085451F" w:rsidRPr="003954D9" w:rsidRDefault="0085451F" w:rsidP="004A3345">
      <w:pPr>
        <w:autoSpaceDE w:val="0"/>
        <w:autoSpaceDN w:val="0"/>
        <w:adjustRightInd w:val="0"/>
        <w:spacing w:before="120"/>
      </w:pPr>
      <w:r w:rsidRPr="003954D9">
        <w:t xml:space="preserve">Om man jämför ökningen av antalet hushåll i riskzonen vid en hyreshöjning på 50 procent med läget idag är bilden oförändrad. Man kan alltså dra slutsatsen att de stadsdelar som drabbas hårdast redan idag har ett stort antal hushåll som befinner sig i riskzonen. </w:t>
      </w:r>
    </w:p>
    <w:p w14:paraId="761260D1" w14:textId="711A1A4A" w:rsidR="0085451F" w:rsidRPr="003954D9" w:rsidRDefault="00FF7B9D" w:rsidP="0085451F">
      <w:pPr>
        <w:keepNext/>
        <w:keepLines/>
        <w:spacing w:before="200" w:line="276" w:lineRule="auto"/>
        <w:outlineLvl w:val="2"/>
        <w:rPr>
          <w:rFonts w:asciiTheme="majorHAnsi" w:eastAsia="MS Gothic" w:hAnsiTheme="majorHAnsi" w:cstheme="majorBidi"/>
          <w:bCs/>
          <w:color w:val="548DD4" w:themeColor="text2" w:themeTint="99"/>
          <w:sz w:val="22"/>
          <w:szCs w:val="22"/>
        </w:rPr>
      </w:pPr>
      <w:r>
        <w:rPr>
          <w:rFonts w:asciiTheme="majorHAnsi" w:eastAsia="MS Gothic" w:hAnsiTheme="majorHAnsi" w:cstheme="majorBidi"/>
          <w:bCs/>
          <w:color w:val="548DD4" w:themeColor="text2" w:themeTint="99"/>
          <w:sz w:val="22"/>
          <w:szCs w:val="22"/>
        </w:rPr>
        <w:t xml:space="preserve">Höjning </w:t>
      </w:r>
      <w:r w:rsidR="0085451F" w:rsidRPr="003954D9">
        <w:rPr>
          <w:rFonts w:asciiTheme="majorHAnsi" w:eastAsia="MS Gothic" w:hAnsiTheme="majorHAnsi" w:cstheme="majorBidi"/>
          <w:bCs/>
          <w:color w:val="548DD4" w:themeColor="text2" w:themeTint="99"/>
          <w:sz w:val="22"/>
          <w:szCs w:val="22"/>
        </w:rPr>
        <w:t xml:space="preserve">25 procent </w:t>
      </w:r>
    </w:p>
    <w:p w14:paraId="73854F14" w14:textId="683713FA" w:rsidR="0085451F" w:rsidRPr="003954D9" w:rsidRDefault="0085451F" w:rsidP="0085451F">
      <w:pPr>
        <w:autoSpaceDE w:val="0"/>
        <w:autoSpaceDN w:val="0"/>
        <w:adjustRightInd w:val="0"/>
      </w:pPr>
      <w:r w:rsidRPr="003954D9">
        <w:t>Angered är den enda stadsdelen där andelen som riskerar att tvingas flytta är högre än 30 procent. I Östra Göteborg, Västra Hisingen, Askim-Frölunda-Högsbo och Norra Hisingen ligger andelen på mellan 30 procent och 20 procent. I Lundby, Centrum, Majorna-Linnéstaden, Örgryte-Härlanda och Västra Göteborg ligger andelen på mellan 20 och 15 procent.</w:t>
      </w:r>
      <w:r w:rsidR="004A3345">
        <w:t xml:space="preserve"> </w:t>
      </w:r>
      <w:r w:rsidRPr="003954D9">
        <w:t>Om man jämför med dagsläget kan man se samma mönster som vid en ökning på 50 procent. Det är de stadsdelar som redan har ett stort antal hushåll i riskzonen som har den största ökningen av andelen hushåll i riskzonen.</w:t>
      </w:r>
    </w:p>
    <w:p w14:paraId="5C37B8FC" w14:textId="56EAD31C" w:rsidR="0085451F" w:rsidRPr="003954D9" w:rsidRDefault="00FF7B9D" w:rsidP="0085451F">
      <w:pPr>
        <w:keepNext/>
        <w:keepLines/>
        <w:spacing w:before="200" w:line="276" w:lineRule="auto"/>
        <w:outlineLvl w:val="2"/>
        <w:rPr>
          <w:rFonts w:asciiTheme="majorHAnsi" w:eastAsia="MS Gothic" w:hAnsiTheme="majorHAnsi" w:cstheme="majorBidi"/>
          <w:bCs/>
          <w:color w:val="548DD4" w:themeColor="text2" w:themeTint="99"/>
          <w:sz w:val="22"/>
          <w:szCs w:val="22"/>
        </w:rPr>
      </w:pPr>
      <w:r>
        <w:rPr>
          <w:rFonts w:asciiTheme="majorHAnsi" w:eastAsia="MS Gothic" w:hAnsiTheme="majorHAnsi" w:cstheme="majorBidi"/>
          <w:bCs/>
          <w:color w:val="548DD4" w:themeColor="text2" w:themeTint="99"/>
          <w:sz w:val="22"/>
          <w:szCs w:val="22"/>
        </w:rPr>
        <w:t xml:space="preserve">Höjning </w:t>
      </w:r>
      <w:r w:rsidR="0085451F" w:rsidRPr="003954D9">
        <w:rPr>
          <w:rFonts w:asciiTheme="majorHAnsi" w:eastAsia="MS Gothic" w:hAnsiTheme="majorHAnsi" w:cstheme="majorBidi"/>
          <w:bCs/>
          <w:color w:val="548DD4" w:themeColor="text2" w:themeTint="99"/>
          <w:sz w:val="22"/>
          <w:szCs w:val="22"/>
        </w:rPr>
        <w:t>5 procent</w:t>
      </w:r>
    </w:p>
    <w:p w14:paraId="58740745" w14:textId="513D5F2D" w:rsidR="007514C5" w:rsidRDefault="0085451F" w:rsidP="007514C5">
      <w:r w:rsidRPr="003954D9">
        <w:t xml:space="preserve">Bara i Angered är andelen som riskerar att tvingas flytta högre än 20 procent. I Östra Göteborg, Västra Hisingen, Norra Hisingen, Askim-Frölunda-Högsbo och Lundby ligger andelen på </w:t>
      </w:r>
      <w:r w:rsidR="00365C66" w:rsidRPr="003954D9">
        <w:t>15–20</w:t>
      </w:r>
      <w:r w:rsidRPr="003954D9">
        <w:t xml:space="preserve"> procent. I Centrum, Majorna-Linnéstaden, Örgryte-Härlanda och Västra Göteborg ligger andelen på mellan 20 och 15 procent. Ser man till antalet är ordningen densamma som vid 25 procent och 50 procents hyreshöjning.</w:t>
      </w:r>
      <w:r w:rsidR="0065115E">
        <w:t xml:space="preserve"> Se diagram 1:3 och 1:4.</w:t>
      </w:r>
      <w:r w:rsidR="00347BD0">
        <w:t xml:space="preserve"> </w:t>
      </w:r>
    </w:p>
    <w:p w14:paraId="795E7352" w14:textId="77604091" w:rsidR="005556DD" w:rsidRDefault="0085451F" w:rsidP="005556DD">
      <w:pPr>
        <w:pStyle w:val="Rubrik5"/>
      </w:pPr>
      <w:r w:rsidRPr="003954D9">
        <w:lastRenderedPageBreak/>
        <w:t>Diagram 1:3</w:t>
      </w:r>
      <w:r w:rsidRPr="003954D9">
        <w:tab/>
        <w:t xml:space="preserve">           </w:t>
      </w:r>
    </w:p>
    <w:p w14:paraId="44560CEE" w14:textId="58A978B1" w:rsidR="005556DD" w:rsidRDefault="00EA0F8B" w:rsidP="005556DD">
      <w:pPr>
        <w:keepNext/>
        <w:keepLines/>
        <w:outlineLvl w:val="4"/>
        <w:rPr>
          <w:rFonts w:asciiTheme="majorHAnsi" w:eastAsiaTheme="majorEastAsia" w:hAnsiTheme="majorHAnsi" w:cstheme="majorBidi"/>
          <w:color w:val="243F60" w:themeColor="accent1" w:themeShade="7F"/>
        </w:rPr>
      </w:pPr>
      <w:r w:rsidRPr="00EA0F8B">
        <w:rPr>
          <w:noProof/>
        </w:rPr>
        <w:drawing>
          <wp:inline distT="0" distB="0" distL="0" distR="0" wp14:anchorId="37565DE2" wp14:editId="27F3B561">
            <wp:extent cx="4019550" cy="5124450"/>
            <wp:effectExtent l="0" t="0" r="0" b="0"/>
            <wp:docPr id="136" name="Bildobjekt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0" cy="5124450"/>
                    </a:xfrm>
                    <a:prstGeom prst="rect">
                      <a:avLst/>
                    </a:prstGeom>
                    <a:noFill/>
                    <a:ln>
                      <a:noFill/>
                    </a:ln>
                  </pic:spPr>
                </pic:pic>
              </a:graphicData>
            </a:graphic>
          </wp:inline>
        </w:drawing>
      </w:r>
    </w:p>
    <w:p w14:paraId="4D663575" w14:textId="77777777" w:rsidR="005556DD" w:rsidRDefault="005556DD" w:rsidP="0085451F">
      <w:pPr>
        <w:keepNext/>
        <w:keepLines/>
        <w:spacing w:before="200"/>
        <w:outlineLvl w:val="4"/>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br w:type="page"/>
      </w:r>
    </w:p>
    <w:p w14:paraId="149E841D" w14:textId="4EA46173" w:rsidR="0085451F" w:rsidRDefault="00486478" w:rsidP="00486478">
      <w:pPr>
        <w:pStyle w:val="Rubrik5"/>
      </w:pPr>
      <w:r>
        <w:lastRenderedPageBreak/>
        <w:t>Diagram 1:4</w:t>
      </w:r>
    </w:p>
    <w:p w14:paraId="203EFAEB" w14:textId="3CB7BA2A" w:rsidR="0085451F" w:rsidRPr="003954D9" w:rsidRDefault="00EA0F8B" w:rsidP="007824C9">
      <w:r w:rsidRPr="00EA0F8B">
        <w:rPr>
          <w:noProof/>
        </w:rPr>
        <w:drawing>
          <wp:inline distT="0" distB="0" distL="0" distR="0" wp14:anchorId="2D79E097" wp14:editId="2FA62983">
            <wp:extent cx="4229100" cy="5143500"/>
            <wp:effectExtent l="0" t="0" r="0" b="0"/>
            <wp:docPr id="137" name="Bildobjekt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5143500"/>
                    </a:xfrm>
                    <a:prstGeom prst="rect">
                      <a:avLst/>
                    </a:prstGeom>
                    <a:noFill/>
                    <a:ln>
                      <a:noFill/>
                    </a:ln>
                  </pic:spPr>
                </pic:pic>
              </a:graphicData>
            </a:graphic>
          </wp:inline>
        </w:drawing>
      </w:r>
    </w:p>
    <w:p w14:paraId="52401BAE" w14:textId="77777777" w:rsidR="00347BD0" w:rsidRDefault="00347BD0" w:rsidP="00282B9F">
      <w:pPr>
        <w:pStyle w:val="Rubrik3"/>
      </w:pPr>
      <w:bookmarkStart w:id="37" w:name="_Toc464828385"/>
    </w:p>
    <w:p w14:paraId="2B2CCD8F" w14:textId="77777777" w:rsidR="0085451F" w:rsidRPr="003954D9" w:rsidRDefault="0085451F" w:rsidP="00282B9F">
      <w:pPr>
        <w:pStyle w:val="Rubrik3"/>
      </w:pPr>
      <w:r w:rsidRPr="003954D9">
        <w:t>Olika nivåer under skälig levnadsnivå</w:t>
      </w:r>
      <w:bookmarkEnd w:id="37"/>
    </w:p>
    <w:p w14:paraId="6E5566BA" w14:textId="4366751B" w:rsidR="00742E9C" w:rsidRPr="003954D9" w:rsidRDefault="0085451F" w:rsidP="00742E9C">
      <w:pPr>
        <w:contextualSpacing/>
      </w:pPr>
      <w:r w:rsidRPr="003954D9">
        <w:t xml:space="preserve">Hur mycket under skälig levnadsnivå hamnar hushållen efter hyreshöjningarna? Man kan anta att de hushåll som hamnar strax under skälig levnadsnivå kan tänka sig att bo kvar i varje fall en tid, medan de som inte når upp till 90 procent förmodligen snabbare blir angelägna om en billigare hyra. </w:t>
      </w:r>
    </w:p>
    <w:p w14:paraId="05916639" w14:textId="77777777" w:rsidR="0085451F" w:rsidRPr="003954D9" w:rsidRDefault="0085451F" w:rsidP="0085451F"/>
    <w:p w14:paraId="360B4DE8" w14:textId="34859461" w:rsidR="0085451F" w:rsidRPr="003954D9" w:rsidRDefault="0085451F" w:rsidP="0085451F">
      <w:pPr>
        <w:numPr>
          <w:ilvl w:val="0"/>
          <w:numId w:val="18"/>
        </w:numPr>
        <w:contextualSpacing/>
      </w:pPr>
      <w:r w:rsidRPr="003954D9">
        <w:t xml:space="preserve">Vid en hyreshöjning på 50 procent ligger 68 procent av de hushåll som befinner sig i riskzonen under 90 procent av en skälig levnadsnivå, 37 procent under 80 procent, 10 procent på under 50 procent av skälig levnadsnivå. </w:t>
      </w:r>
    </w:p>
    <w:p w14:paraId="6AB895C5" w14:textId="77777777" w:rsidR="0085451F" w:rsidRPr="003954D9" w:rsidRDefault="0085451F" w:rsidP="0085451F"/>
    <w:p w14:paraId="46569443" w14:textId="31B7BD39" w:rsidR="0085451F" w:rsidRPr="003954D9" w:rsidRDefault="0085451F" w:rsidP="00742E9C">
      <w:pPr>
        <w:pStyle w:val="Liststycke"/>
        <w:numPr>
          <w:ilvl w:val="0"/>
          <w:numId w:val="19"/>
        </w:numPr>
      </w:pPr>
      <w:r w:rsidRPr="003954D9">
        <w:t xml:space="preserve">Vid en hyreshöjning på 25 procent ligger 59 procent av de hushåll som befinner sig i riskzonen under 90 procent av skälig levnadsnivå, 34 procent under 80 procent av skälig levnadsnivå och 12 procent under 50 procent av skälig levnadsnivå. </w:t>
      </w:r>
    </w:p>
    <w:p w14:paraId="0282A530" w14:textId="77777777" w:rsidR="0085451F" w:rsidRPr="003954D9" w:rsidRDefault="0085451F" w:rsidP="0085451F"/>
    <w:p w14:paraId="6907C38E" w14:textId="00805AF4" w:rsidR="0085451F" w:rsidRPr="003954D9" w:rsidRDefault="0085451F" w:rsidP="0085451F">
      <w:pPr>
        <w:numPr>
          <w:ilvl w:val="0"/>
          <w:numId w:val="17"/>
        </w:numPr>
        <w:contextualSpacing/>
      </w:pPr>
      <w:r w:rsidRPr="003954D9">
        <w:t xml:space="preserve">Vid en hyreshöjning på 5 procent ligger 58 procent av de hushåll som befinner sig i riskzonen under 90 procent av skälig levnadsnivå, 38 procent under 80 procent av skälig levnadsnivå och 15 procent under 50 procent av skälig levnadsnivå. </w:t>
      </w:r>
    </w:p>
    <w:p w14:paraId="69E6035D" w14:textId="77777777" w:rsidR="0085451F" w:rsidRPr="003954D9" w:rsidRDefault="0085451F" w:rsidP="0085451F"/>
    <w:p w14:paraId="124A514C" w14:textId="7B247732" w:rsidR="007514C5" w:rsidRPr="003954D9" w:rsidRDefault="0085451F" w:rsidP="00365C66">
      <w:pPr>
        <w:numPr>
          <w:ilvl w:val="0"/>
          <w:numId w:val="17"/>
        </w:numPr>
        <w:contextualSpacing/>
      </w:pPr>
      <w:r w:rsidRPr="003954D9">
        <w:t xml:space="preserve">Nära 600 hushåll uppnår bara hälften av skälig levnadsnivå redan vid en höjning på 5 procent. De måste betecknas som extremt fattiga. Dessa siffror är ungefär desamma som idag utan hyreshöjning. </w:t>
      </w:r>
      <w:r w:rsidR="00572FEE">
        <w:t xml:space="preserve"> </w:t>
      </w:r>
      <w:r w:rsidR="0065115E">
        <w:t>Se diagram 2:1 och 2:2.</w:t>
      </w:r>
    </w:p>
    <w:p w14:paraId="74D3C89A" w14:textId="77777777" w:rsidR="005556DD" w:rsidRDefault="0085451F" w:rsidP="00486478">
      <w:pPr>
        <w:pStyle w:val="Rubrik5"/>
      </w:pPr>
      <w:r w:rsidRPr="003954D9">
        <w:t>Diagram 2:1</w:t>
      </w:r>
      <w:r w:rsidRPr="003954D9">
        <w:tab/>
      </w:r>
      <w:r w:rsidRPr="003954D9">
        <w:tab/>
      </w:r>
      <w:r w:rsidRPr="003954D9">
        <w:tab/>
        <w:t xml:space="preserve">           </w:t>
      </w:r>
    </w:p>
    <w:p w14:paraId="7AFEEEF3" w14:textId="3850A834" w:rsidR="005556DD" w:rsidRDefault="00486478" w:rsidP="005556DD">
      <w:pPr>
        <w:keepNext/>
        <w:keepLines/>
        <w:outlineLvl w:val="4"/>
        <w:rPr>
          <w:rFonts w:asciiTheme="majorHAnsi" w:eastAsiaTheme="majorEastAsia" w:hAnsiTheme="majorHAnsi" w:cstheme="majorBidi"/>
          <w:color w:val="243F60" w:themeColor="accent1" w:themeShade="7F"/>
        </w:rPr>
      </w:pPr>
      <w:r w:rsidRPr="00486478">
        <w:rPr>
          <w:noProof/>
        </w:rPr>
        <w:drawing>
          <wp:inline distT="0" distB="0" distL="0" distR="0" wp14:anchorId="7FF0849F" wp14:editId="660644E0">
            <wp:extent cx="4422125" cy="3409950"/>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4547" cy="3411818"/>
                    </a:xfrm>
                    <a:prstGeom prst="rect">
                      <a:avLst/>
                    </a:prstGeom>
                    <a:noFill/>
                    <a:ln>
                      <a:noFill/>
                    </a:ln>
                  </pic:spPr>
                </pic:pic>
              </a:graphicData>
            </a:graphic>
          </wp:inline>
        </w:drawing>
      </w:r>
    </w:p>
    <w:p w14:paraId="4E39ADB8" w14:textId="076413AF" w:rsidR="0085451F" w:rsidRPr="003954D9" w:rsidRDefault="0085451F" w:rsidP="00486478">
      <w:pPr>
        <w:pStyle w:val="Rubrik5"/>
      </w:pPr>
      <w:r w:rsidRPr="003954D9">
        <w:t>Diagram 2:2</w:t>
      </w:r>
    </w:p>
    <w:p w14:paraId="15CA3F8B" w14:textId="7BD7C8C6" w:rsidR="0085451F" w:rsidRPr="003954D9" w:rsidRDefault="00486478" w:rsidP="0085451F">
      <w:r w:rsidRPr="00486478">
        <w:rPr>
          <w:noProof/>
        </w:rPr>
        <w:drawing>
          <wp:inline distT="0" distB="0" distL="0" distR="0" wp14:anchorId="67B9DA31" wp14:editId="76963763">
            <wp:extent cx="4438650" cy="3305175"/>
            <wp:effectExtent l="0" t="0" r="0" b="952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8650" cy="3305175"/>
                    </a:xfrm>
                    <a:prstGeom prst="rect">
                      <a:avLst/>
                    </a:prstGeom>
                    <a:noFill/>
                    <a:ln>
                      <a:noFill/>
                    </a:ln>
                  </pic:spPr>
                </pic:pic>
              </a:graphicData>
            </a:graphic>
          </wp:inline>
        </w:drawing>
      </w:r>
    </w:p>
    <w:p w14:paraId="0072B9A8" w14:textId="77777777" w:rsidR="00347BD0" w:rsidRDefault="00347BD0" w:rsidP="00282B9F">
      <w:pPr>
        <w:pStyle w:val="Rubrik3"/>
      </w:pPr>
      <w:bookmarkStart w:id="38" w:name="_Toc464828386"/>
    </w:p>
    <w:p w14:paraId="5D1A8B3E" w14:textId="77777777" w:rsidR="0085451F" w:rsidRPr="003954D9" w:rsidRDefault="0085451F" w:rsidP="00282B9F">
      <w:pPr>
        <w:pStyle w:val="Rubrik3"/>
      </w:pPr>
      <w:r w:rsidRPr="003954D9">
        <w:t>Inkomster i olika hushållstyper när hyran är betald</w:t>
      </w:r>
      <w:bookmarkEnd w:id="38"/>
    </w:p>
    <w:p w14:paraId="2F9D6EF3" w14:textId="77777777" w:rsidR="007514C5" w:rsidRPr="003954D9" w:rsidRDefault="0085451F" w:rsidP="0085451F">
      <w:pPr>
        <w:rPr>
          <w:sz w:val="23"/>
        </w:rPr>
      </w:pPr>
      <w:r w:rsidRPr="003954D9">
        <w:t xml:space="preserve">I undersökningen finns tio olika hushållstyper. </w:t>
      </w:r>
      <w:r w:rsidRPr="003954D9">
        <w:rPr>
          <w:sz w:val="23"/>
        </w:rPr>
        <w:t xml:space="preserve">Tydligt är att hushållen utan barn har en gynnsammare ställning än barnhushållen. Mest kvar i genomsnitt utöver skälig levnadsnivå när </w:t>
      </w:r>
    </w:p>
    <w:p w14:paraId="79569449" w14:textId="77777777" w:rsidR="007514C5" w:rsidRPr="003954D9" w:rsidRDefault="007514C5" w:rsidP="00F67C6C">
      <w:r w:rsidRPr="003954D9">
        <w:t xml:space="preserve">hyran är betald har samboende utan barn 18 - 64 år (7 863 kronor per månad och person). Minst kvar har samboende med 3 eller fler barn (1 351 kronor per månad och person) i hela urvalet. </w:t>
      </w:r>
    </w:p>
    <w:p w14:paraId="2FFB8DB1" w14:textId="572DEAA7" w:rsidR="0085451F" w:rsidRPr="003954D9" w:rsidRDefault="0085451F" w:rsidP="004A3345">
      <w:pPr>
        <w:spacing w:before="120"/>
      </w:pPr>
      <w:r w:rsidRPr="003954D9">
        <w:t xml:space="preserve">Skillnaderna mellan stadsdelarna är tydliga också här. Minst har hushållen kvar framför allt i Angered och i Östra Göteborg. I Angered har </w:t>
      </w:r>
      <w:r w:rsidR="00C6503A" w:rsidRPr="003954D9">
        <w:t xml:space="preserve">i genomsnitt </w:t>
      </w:r>
      <w:r w:rsidRPr="003954D9">
        <w:t>ensamstående med barn kvar 726 kronor per månad och person. Örgryte-Härlanda, Majorna-Linnéstaden och Centrum ligger bäst till. Mest kvar har samboende utan barn 18</w:t>
      </w:r>
      <w:r w:rsidR="00A55055" w:rsidRPr="003954D9">
        <w:t xml:space="preserve"> </w:t>
      </w:r>
      <w:r w:rsidRPr="003954D9">
        <w:t>-</w:t>
      </w:r>
      <w:r w:rsidR="00A55055" w:rsidRPr="003954D9">
        <w:t xml:space="preserve"> </w:t>
      </w:r>
      <w:r w:rsidRPr="003954D9">
        <w:t xml:space="preserve">64 år i Majorna-Linnéstaden med över 11 000 kronor kvar. </w:t>
      </w:r>
    </w:p>
    <w:p w14:paraId="607779AB" w14:textId="77777777" w:rsidR="0085451F" w:rsidRPr="003954D9" w:rsidRDefault="0085451F" w:rsidP="00282B9F">
      <w:pPr>
        <w:pStyle w:val="Rubrik3"/>
      </w:pPr>
      <w:bookmarkStart w:id="39" w:name="_Toc464828387"/>
      <w:r w:rsidRPr="003954D9">
        <w:t>Hur påverkas olika hushållstyper</w:t>
      </w:r>
      <w:bookmarkEnd w:id="39"/>
    </w:p>
    <w:p w14:paraId="62838211" w14:textId="77777777" w:rsidR="0085451F" w:rsidRPr="003954D9" w:rsidRDefault="0085451F" w:rsidP="0085451F">
      <w:pPr>
        <w:keepNext/>
        <w:keepLines/>
        <w:spacing w:before="200" w:line="276" w:lineRule="auto"/>
        <w:outlineLvl w:val="2"/>
        <w:rPr>
          <w:rFonts w:asciiTheme="majorHAnsi" w:eastAsia="MS Gothic" w:hAnsiTheme="majorHAnsi" w:cstheme="majorBidi"/>
          <w:bCs/>
          <w:color w:val="548DD4" w:themeColor="text2" w:themeTint="99"/>
          <w:sz w:val="22"/>
          <w:szCs w:val="22"/>
        </w:rPr>
      </w:pPr>
      <w:r w:rsidRPr="003954D9">
        <w:rPr>
          <w:rFonts w:asciiTheme="majorHAnsi" w:eastAsia="MS Gothic" w:hAnsiTheme="majorHAnsi" w:cstheme="majorBidi"/>
          <w:bCs/>
          <w:color w:val="548DD4" w:themeColor="text2" w:themeTint="99"/>
          <w:sz w:val="22"/>
          <w:szCs w:val="22"/>
        </w:rPr>
        <w:t>Effekterna av hyreshöjningar på olika hushållstyper</w:t>
      </w:r>
    </w:p>
    <w:p w14:paraId="6A21A40F" w14:textId="77777777" w:rsidR="0085451F" w:rsidRPr="003954D9" w:rsidRDefault="0085451F" w:rsidP="0085451F">
      <w:r w:rsidRPr="003954D9">
        <w:t xml:space="preserve">De hushållstyper som drabbas värst är ensamboende över 65 år, ensamstående med barn och de stora barnfamiljerna. När man i andra sammanhang använder begreppet </w:t>
      </w:r>
      <w:r w:rsidRPr="003954D9">
        <w:rPr>
          <w:i/>
        </w:rPr>
        <w:t xml:space="preserve">fattigdom </w:t>
      </w:r>
      <w:r w:rsidRPr="003954D9">
        <w:t xml:space="preserve">brukar det också vara just dessa grupper som nämns. </w:t>
      </w:r>
    </w:p>
    <w:p w14:paraId="31D38C3E" w14:textId="77777777" w:rsidR="00A459AB" w:rsidRPr="003954D9" w:rsidRDefault="0085451F" w:rsidP="004A3345">
      <w:pPr>
        <w:spacing w:before="120"/>
        <w:rPr>
          <w:i/>
        </w:rPr>
      </w:pPr>
      <w:r w:rsidRPr="003954D9">
        <w:rPr>
          <w:i/>
        </w:rPr>
        <w:t>Ensamstående med barn:</w:t>
      </w:r>
      <w:r w:rsidRPr="003954D9">
        <w:t xml:space="preserve"> Vid en hyreshöjning på 50 procent befinner sig hälften av hushållen i gruppen i riskzonen (52 procent), vid 25 procent är andelen något mindre (40 procent) och vid 5 procent en fjärdedel (27 procent). </w:t>
      </w:r>
      <w:r w:rsidR="00C6503A" w:rsidRPr="003954D9">
        <w:t>I den här unders</w:t>
      </w:r>
      <w:r w:rsidR="00D13868" w:rsidRPr="003954D9">
        <w:t xml:space="preserve">ökningen består gruppen av </w:t>
      </w:r>
      <w:r w:rsidR="00A459AB" w:rsidRPr="003954D9">
        <w:t>1 845 hushåll eller 5 358 personer</w:t>
      </w:r>
      <w:r w:rsidR="00A459AB" w:rsidRPr="003954D9">
        <w:rPr>
          <w:i/>
        </w:rPr>
        <w:t xml:space="preserve"> </w:t>
      </w:r>
    </w:p>
    <w:p w14:paraId="37347A1C" w14:textId="31E45AC2" w:rsidR="0085451F" w:rsidRPr="003954D9" w:rsidRDefault="0085451F" w:rsidP="004A3345">
      <w:pPr>
        <w:spacing w:before="120"/>
      </w:pPr>
      <w:r w:rsidRPr="003954D9">
        <w:rPr>
          <w:i/>
        </w:rPr>
        <w:t xml:space="preserve">Ensamboende över 65 år: </w:t>
      </w:r>
      <w:r w:rsidRPr="003954D9">
        <w:t>Vid en hyreshöjn</w:t>
      </w:r>
      <w:r w:rsidR="004A3345">
        <w:t>ing på 50 procent befinner sig ö</w:t>
      </w:r>
      <w:r w:rsidRPr="003954D9">
        <w:t xml:space="preserve">ver hälften av gruppen i riskzonen (56 procent), vid 25 procent drygt en fjärdedel (29 procent) och vid 5 procent är andelen drygt en tiondel (12 procent). Idag befinner sig 9 procent av hushållen i riskzonen. I den här undersökningen består gruppen av 3 006 </w:t>
      </w:r>
      <w:r w:rsidR="00A459AB" w:rsidRPr="003954D9">
        <w:t>hushåll/personer</w:t>
      </w:r>
      <w:r w:rsidR="00347BD0">
        <w:t xml:space="preserve"> </w:t>
      </w:r>
      <w:r w:rsidRPr="003954D9">
        <w:t xml:space="preserve">och det är den näst största hushållsgruppen.  </w:t>
      </w:r>
    </w:p>
    <w:p w14:paraId="733D66A0" w14:textId="6F2B4A0E" w:rsidR="0085451F" w:rsidRPr="003954D9" w:rsidRDefault="0085451F" w:rsidP="004A3345">
      <w:pPr>
        <w:spacing w:before="120"/>
      </w:pPr>
      <w:r w:rsidRPr="003954D9">
        <w:rPr>
          <w:i/>
        </w:rPr>
        <w:t>De stora barnfamiljerna:</w:t>
      </w:r>
      <w:r w:rsidRPr="003954D9">
        <w:t xml:space="preserve"> Vid en hyreshöjning på 50 procent befinner sig nära hälften av gruppen i riskzonen (43 procent), vid 25 procent en tredjedel (30 procent) och vid 5 procent en femtedel (23 procent). I den här undersökningen består gruppen av ett mindre antal hushåll – 747</w:t>
      </w:r>
      <w:r w:rsidR="00A459AB" w:rsidRPr="003954D9">
        <w:t xml:space="preserve"> eller 4 243 personer</w:t>
      </w:r>
      <w:r w:rsidRPr="003954D9">
        <w:t xml:space="preserve">. </w:t>
      </w:r>
    </w:p>
    <w:p w14:paraId="1596FBE4" w14:textId="2E5113A9" w:rsidR="0085451F" w:rsidRPr="003954D9" w:rsidRDefault="0085451F" w:rsidP="004A3345">
      <w:pPr>
        <w:spacing w:before="120"/>
      </w:pPr>
      <w:r w:rsidRPr="003954D9">
        <w:t xml:space="preserve">I den största hushållsgruppen – </w:t>
      </w:r>
      <w:r w:rsidRPr="003954D9">
        <w:rPr>
          <w:i/>
        </w:rPr>
        <w:t>ensamboende utan barn 18</w:t>
      </w:r>
      <w:r w:rsidR="00A55055" w:rsidRPr="003954D9">
        <w:rPr>
          <w:i/>
        </w:rPr>
        <w:t xml:space="preserve"> </w:t>
      </w:r>
      <w:r w:rsidRPr="003954D9">
        <w:rPr>
          <w:i/>
        </w:rPr>
        <w:t>-</w:t>
      </w:r>
      <w:r w:rsidR="00A55055" w:rsidRPr="003954D9">
        <w:rPr>
          <w:i/>
        </w:rPr>
        <w:t xml:space="preserve"> </w:t>
      </w:r>
      <w:r w:rsidRPr="003954D9">
        <w:rPr>
          <w:i/>
        </w:rPr>
        <w:t>64</w:t>
      </w:r>
      <w:r w:rsidRPr="003954D9">
        <w:t xml:space="preserve"> år – finns nära hälften av gruppen i riskzonen (40 procent) vid en hyreshöjning på 50 procent, vid 25 procent en tredjedel (29 procent) och vid 5 procent en femtedel (21 procent). I den här gruppen befinner sig 19 procent av hushållen redan idag i riskzonen. </w:t>
      </w:r>
    </w:p>
    <w:p w14:paraId="722891A3" w14:textId="2E0692E5" w:rsidR="007514C5" w:rsidRPr="003954D9" w:rsidRDefault="0085451F" w:rsidP="004A3345">
      <w:pPr>
        <w:spacing w:before="120"/>
      </w:pPr>
      <w:r w:rsidRPr="003954D9">
        <w:t xml:space="preserve">Andra förhållandevis stora grupper är </w:t>
      </w:r>
      <w:r w:rsidRPr="003954D9">
        <w:rPr>
          <w:i/>
        </w:rPr>
        <w:t>övriga hushåll med barn</w:t>
      </w:r>
      <w:r w:rsidRPr="003954D9">
        <w:t xml:space="preserve"> (fler än två vuxna – 2 677 hushåll) och </w:t>
      </w:r>
      <w:r w:rsidRPr="003954D9">
        <w:rPr>
          <w:i/>
        </w:rPr>
        <w:t>samboende utan barn</w:t>
      </w:r>
      <w:r w:rsidRPr="003954D9">
        <w:t xml:space="preserve"> </w:t>
      </w:r>
      <w:r w:rsidRPr="003954D9">
        <w:rPr>
          <w:i/>
        </w:rPr>
        <w:t>18</w:t>
      </w:r>
      <w:r w:rsidR="00A55055" w:rsidRPr="003954D9">
        <w:rPr>
          <w:i/>
        </w:rPr>
        <w:t xml:space="preserve"> </w:t>
      </w:r>
      <w:r w:rsidRPr="003954D9">
        <w:rPr>
          <w:i/>
        </w:rPr>
        <w:t>-</w:t>
      </w:r>
      <w:r w:rsidR="00A55055" w:rsidRPr="003954D9">
        <w:rPr>
          <w:i/>
        </w:rPr>
        <w:t xml:space="preserve"> </w:t>
      </w:r>
      <w:r w:rsidRPr="003954D9">
        <w:rPr>
          <w:i/>
        </w:rPr>
        <w:t>64 år</w:t>
      </w:r>
      <w:r w:rsidRPr="003954D9">
        <w:t xml:space="preserve"> (2 286 hushåll). Vid en hyreshöjning på 50 procent hamnar knappt en femtedel av dessa hushåll i riskzonen (17 respektive 16 procent), sammantaget cirka 800 hushåll. </w:t>
      </w:r>
      <w:r w:rsidR="004A3345">
        <w:t xml:space="preserve"> </w:t>
      </w:r>
      <w:r w:rsidR="0065115E">
        <w:t>Se diagram 5:1 och 5:2.</w:t>
      </w:r>
    </w:p>
    <w:p w14:paraId="1A6C1D24" w14:textId="77777777" w:rsidR="0038534F" w:rsidRDefault="0085451F" w:rsidP="0038534F">
      <w:pPr>
        <w:pStyle w:val="Rubrik5"/>
      </w:pPr>
      <w:r w:rsidRPr="003954D9">
        <w:lastRenderedPageBreak/>
        <w:t>Diagram 5:1</w:t>
      </w:r>
      <w:r w:rsidRPr="003954D9">
        <w:tab/>
      </w:r>
      <w:r w:rsidRPr="003954D9">
        <w:tab/>
      </w:r>
      <w:r w:rsidRPr="003954D9">
        <w:tab/>
        <w:t xml:space="preserve">               </w:t>
      </w:r>
    </w:p>
    <w:p w14:paraId="3EF27A1C" w14:textId="59390C09" w:rsidR="0038534F" w:rsidRDefault="000C7EFB" w:rsidP="0038534F">
      <w:pPr>
        <w:keepNext/>
        <w:keepLines/>
        <w:outlineLvl w:val="4"/>
        <w:rPr>
          <w:rFonts w:asciiTheme="majorHAnsi" w:eastAsiaTheme="majorEastAsia" w:hAnsiTheme="majorHAnsi" w:cstheme="majorBidi"/>
          <w:color w:val="243F60" w:themeColor="accent1" w:themeShade="7F"/>
        </w:rPr>
      </w:pPr>
      <w:r w:rsidRPr="000C7EFB">
        <w:rPr>
          <w:noProof/>
        </w:rPr>
        <w:drawing>
          <wp:inline distT="0" distB="0" distL="0" distR="0" wp14:anchorId="2ECA73E1" wp14:editId="212D12DA">
            <wp:extent cx="4152900" cy="5429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2900" cy="5429250"/>
                    </a:xfrm>
                    <a:prstGeom prst="rect">
                      <a:avLst/>
                    </a:prstGeom>
                    <a:noFill/>
                    <a:ln>
                      <a:noFill/>
                    </a:ln>
                  </pic:spPr>
                </pic:pic>
              </a:graphicData>
            </a:graphic>
          </wp:inline>
        </w:drawing>
      </w:r>
    </w:p>
    <w:p w14:paraId="3B535DD8" w14:textId="77777777" w:rsidR="0038534F" w:rsidRDefault="0038534F" w:rsidP="0085451F">
      <w:pPr>
        <w:keepNext/>
        <w:keepLines/>
        <w:spacing w:before="200"/>
        <w:outlineLvl w:val="4"/>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br w:type="page"/>
      </w:r>
    </w:p>
    <w:p w14:paraId="239650D9" w14:textId="6FA8D72A" w:rsidR="0085451F" w:rsidRPr="003954D9" w:rsidRDefault="0085451F" w:rsidP="0038534F">
      <w:pPr>
        <w:pStyle w:val="Rubrik5"/>
      </w:pPr>
      <w:r w:rsidRPr="003954D9">
        <w:lastRenderedPageBreak/>
        <w:t>Diagram 5:2</w:t>
      </w:r>
    </w:p>
    <w:p w14:paraId="58A86D79" w14:textId="259FA82F" w:rsidR="0085451F" w:rsidRPr="003954D9" w:rsidRDefault="000C7EFB" w:rsidP="0085451F">
      <w:r w:rsidRPr="000C7EFB">
        <w:rPr>
          <w:noProof/>
        </w:rPr>
        <w:drawing>
          <wp:inline distT="0" distB="0" distL="0" distR="0" wp14:anchorId="508683FC" wp14:editId="0FB17344">
            <wp:extent cx="4191000" cy="54387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0" cy="5438775"/>
                    </a:xfrm>
                    <a:prstGeom prst="rect">
                      <a:avLst/>
                    </a:prstGeom>
                    <a:noFill/>
                    <a:ln>
                      <a:noFill/>
                    </a:ln>
                  </pic:spPr>
                </pic:pic>
              </a:graphicData>
            </a:graphic>
          </wp:inline>
        </w:drawing>
      </w:r>
    </w:p>
    <w:p w14:paraId="507C903A" w14:textId="77777777" w:rsidR="0085451F" w:rsidRPr="003954D9" w:rsidRDefault="0085451F" w:rsidP="0085451F">
      <w:pPr>
        <w:keepNext/>
        <w:keepLines/>
        <w:spacing w:before="200" w:line="276" w:lineRule="auto"/>
        <w:outlineLvl w:val="2"/>
        <w:rPr>
          <w:rFonts w:asciiTheme="majorHAnsi" w:eastAsia="MS Gothic" w:hAnsiTheme="majorHAnsi" w:cstheme="majorBidi"/>
          <w:bCs/>
          <w:color w:val="548DD4" w:themeColor="text2" w:themeTint="99"/>
          <w:sz w:val="22"/>
          <w:szCs w:val="22"/>
        </w:rPr>
      </w:pPr>
      <w:r w:rsidRPr="003954D9">
        <w:rPr>
          <w:rFonts w:asciiTheme="majorHAnsi" w:eastAsia="MS Gothic" w:hAnsiTheme="majorHAnsi" w:cstheme="majorBidi"/>
          <w:bCs/>
          <w:color w:val="548DD4" w:themeColor="text2" w:themeTint="99"/>
          <w:sz w:val="22"/>
          <w:szCs w:val="22"/>
        </w:rPr>
        <w:t xml:space="preserve">Effekter på hushållstyper efter kön </w:t>
      </w:r>
    </w:p>
    <w:p w14:paraId="55B5CFAB" w14:textId="77777777" w:rsidR="0085451F" w:rsidRPr="003954D9" w:rsidRDefault="0085451F" w:rsidP="0085451F">
      <w:pPr>
        <w:rPr>
          <w:lang w:eastAsia="en-US"/>
        </w:rPr>
      </w:pPr>
      <w:r w:rsidRPr="003954D9">
        <w:rPr>
          <w:lang w:eastAsia="en-US"/>
        </w:rPr>
        <w:t xml:space="preserve">Kvinnorna drabbas hårdare än männen av hyreshöjningarna, särskilt ensamstående kvinnor med barn och ensamboende kvinnor äldre än 65 år. I den senare gruppen kommer 64 procent av hushållen att ligga i riskzonen vid en hyreshöjning på 50 procent vilket är en ökning med 54 procentenheter jämfört med idag. </w:t>
      </w:r>
    </w:p>
    <w:p w14:paraId="3AECC1B7" w14:textId="77777777" w:rsidR="0085451F" w:rsidRPr="003954D9" w:rsidRDefault="0085451F" w:rsidP="0085451F">
      <w:pPr>
        <w:keepNext/>
        <w:keepLines/>
        <w:spacing w:before="200" w:line="276" w:lineRule="auto"/>
        <w:outlineLvl w:val="2"/>
        <w:rPr>
          <w:rFonts w:asciiTheme="majorHAnsi" w:eastAsia="MS Gothic" w:hAnsiTheme="majorHAnsi" w:cstheme="majorBidi"/>
          <w:bCs/>
          <w:color w:val="548DD4" w:themeColor="text2" w:themeTint="99"/>
          <w:sz w:val="22"/>
          <w:szCs w:val="22"/>
        </w:rPr>
      </w:pPr>
      <w:r w:rsidRPr="003954D9">
        <w:rPr>
          <w:rFonts w:asciiTheme="majorHAnsi" w:eastAsia="MS Gothic" w:hAnsiTheme="majorHAnsi" w:cstheme="majorBidi"/>
          <w:bCs/>
          <w:color w:val="548DD4" w:themeColor="text2" w:themeTint="99"/>
          <w:sz w:val="22"/>
          <w:szCs w:val="22"/>
        </w:rPr>
        <w:t xml:space="preserve">Effekter på olika hushållstyper i olika stadsdelar </w:t>
      </w:r>
    </w:p>
    <w:p w14:paraId="27D06738" w14:textId="1499C619" w:rsidR="0085451F" w:rsidRPr="003954D9" w:rsidRDefault="0085451F" w:rsidP="0085451F">
      <w:r w:rsidRPr="003954D9">
        <w:t xml:space="preserve">I Angered och Östra Göteborg återfinner man de största </w:t>
      </w:r>
      <w:r w:rsidRPr="003954D9">
        <w:rPr>
          <w:i/>
        </w:rPr>
        <w:t>andelarna</w:t>
      </w:r>
      <w:r w:rsidRPr="003954D9">
        <w:t xml:space="preserve"> hushåll i riskzonen i nästan alla hushållstyper och det oavsett om det gäller läget idag eller efter hyreshöjningar på olika nivåer. Värst ut råkar ensamstående med barn, samboende med 3 och fler barn samt ensamboende 65 år och äldre i bägge stadsdelarna. </w:t>
      </w:r>
    </w:p>
    <w:p w14:paraId="01148BBD" w14:textId="77777777" w:rsidR="0085451F" w:rsidRPr="003954D9" w:rsidRDefault="0085451F" w:rsidP="004A3345">
      <w:pPr>
        <w:spacing w:before="120"/>
      </w:pPr>
      <w:r w:rsidRPr="003954D9">
        <w:t xml:space="preserve">De största </w:t>
      </w:r>
      <w:r w:rsidRPr="003954D9">
        <w:rPr>
          <w:i/>
        </w:rPr>
        <w:t>ökningarna</w:t>
      </w:r>
      <w:r w:rsidRPr="003954D9">
        <w:t xml:space="preserve"> i jämförelse med idag sker dock i andra stadsdelar. I Västra Hisingen, Angered, Östra Göteborg och Askim-Frölunda-Högsbo ökar hushållen i riskzonen med 21 procent om hyran höjs med 50 procent. Anledningen är förstås att utgångsläget i Angered och Östra Göteborg redan är högt med en stor andel hushåll i riskzonen redan idag. </w:t>
      </w:r>
    </w:p>
    <w:p w14:paraId="0C419493" w14:textId="2D38A089" w:rsidR="0085451F" w:rsidRPr="003954D9" w:rsidRDefault="0085451F" w:rsidP="004A3345">
      <w:pPr>
        <w:spacing w:before="120"/>
      </w:pPr>
      <w:r w:rsidRPr="003954D9">
        <w:t xml:space="preserve">Vid en hyreshöjning på 50 procent hamnar ensamboende 65 år och äldre liksom ensamstående med barn i Angered på minus liksom ensamstående med barn i Västra Hisingen. I hela Göteborg </w:t>
      </w:r>
      <w:r w:rsidRPr="003954D9">
        <w:lastRenderedPageBreak/>
        <w:t>återstår för ensamstående med barn 343 kronor per person utöver skälig levnadsnivå. För ensamboende 65 år och äldre är siffran i hela Göteborg</w:t>
      </w:r>
      <w:r w:rsidR="00A459AB" w:rsidRPr="003954D9">
        <w:t xml:space="preserve"> 1 110 kr per person och månad.</w:t>
      </w:r>
      <w:r w:rsidRPr="003954D9">
        <w:t xml:space="preserve"> Medelvärdet för alla hushåll i undersökningen är 6 500 kronor per person och månad. </w:t>
      </w:r>
    </w:p>
    <w:p w14:paraId="4AED86BF" w14:textId="77777777" w:rsidR="0085451F" w:rsidRPr="003954D9" w:rsidRDefault="0085451F" w:rsidP="00282B9F">
      <w:pPr>
        <w:pStyle w:val="Rubrik3"/>
      </w:pPr>
      <w:bookmarkStart w:id="40" w:name="_Toc464828388"/>
      <w:r w:rsidRPr="003954D9">
        <w:t>Hur påverkas olika lägenhetstyper?</w:t>
      </w:r>
      <w:bookmarkEnd w:id="40"/>
    </w:p>
    <w:p w14:paraId="15572D56" w14:textId="77777777" w:rsidR="0085451F" w:rsidRPr="003954D9" w:rsidRDefault="0085451F" w:rsidP="0085451F">
      <w:pPr>
        <w:keepNext/>
        <w:keepLines/>
        <w:spacing w:before="200" w:line="276" w:lineRule="auto"/>
        <w:outlineLvl w:val="2"/>
        <w:rPr>
          <w:rFonts w:asciiTheme="majorHAnsi" w:eastAsia="MS Gothic" w:hAnsiTheme="majorHAnsi" w:cstheme="majorBidi"/>
          <w:bCs/>
          <w:color w:val="548DD4" w:themeColor="text2" w:themeTint="99"/>
          <w:sz w:val="22"/>
          <w:szCs w:val="22"/>
        </w:rPr>
      </w:pPr>
      <w:r w:rsidRPr="003954D9">
        <w:rPr>
          <w:rFonts w:asciiTheme="majorHAnsi" w:eastAsia="MS Gothic" w:hAnsiTheme="majorHAnsi" w:cstheme="majorBidi"/>
          <w:bCs/>
          <w:color w:val="548DD4" w:themeColor="text2" w:themeTint="99"/>
          <w:sz w:val="22"/>
          <w:szCs w:val="22"/>
        </w:rPr>
        <w:t>Lägenhetstyper i hela urvalet</w:t>
      </w:r>
    </w:p>
    <w:p w14:paraId="70EA516F" w14:textId="05DCDFDA" w:rsidR="0085451F" w:rsidRPr="003954D9" w:rsidRDefault="0085451F" w:rsidP="0085451F">
      <w:r w:rsidRPr="003954D9">
        <w:t>De vanligaste lägenhetstyperna i de utvalda fastigheterna är 2 rum och kök (7 400 lägenheter eller 32 procent) och 3 rum och kök (7 100 lägenheter eller 31 procent).  Lägenhetstypen med flest personer är 3 r</w:t>
      </w:r>
      <w:r w:rsidR="0038534F">
        <w:t>um och kö</w:t>
      </w:r>
      <w:r w:rsidRPr="003954D9">
        <w:t xml:space="preserve">k (19 000). </w:t>
      </w:r>
    </w:p>
    <w:p w14:paraId="68430D34" w14:textId="1C909793" w:rsidR="0085451F" w:rsidRPr="003954D9" w:rsidRDefault="0085451F" w:rsidP="004A3345">
      <w:pPr>
        <w:spacing w:before="120"/>
      </w:pPr>
      <w:r w:rsidRPr="003954D9">
        <w:t>Det högsta antalet boende per lägenhet återfinns i alla lägenhetstyper i Angered utom en (2 r</w:t>
      </w:r>
      <w:r w:rsidR="0038534F">
        <w:t xml:space="preserve">um </w:t>
      </w:r>
      <w:r w:rsidRPr="003954D9">
        <w:t>o</w:t>
      </w:r>
      <w:r w:rsidR="0038534F">
        <w:t xml:space="preserve">ch </w:t>
      </w:r>
      <w:r w:rsidRPr="003954D9">
        <w:t>k</w:t>
      </w:r>
      <w:r w:rsidR="0038534F">
        <w:t>okvrå</w:t>
      </w:r>
      <w:r w:rsidRPr="003954D9">
        <w:t xml:space="preserve"> i Östra Göteborg). Angered har också totalt sett det högsta antalet boende per lägenhet. Det lägsta antalet boende i olika lägenhetstyper varierar mellan stadsdelarna. Totalt har dock boende i Centrum det lägsta antalet personer per lägenhet.</w:t>
      </w:r>
    </w:p>
    <w:p w14:paraId="6F5E63B9" w14:textId="1C2439D1" w:rsidR="0085451F" w:rsidRPr="003954D9" w:rsidRDefault="0085451F" w:rsidP="004A3345">
      <w:pPr>
        <w:spacing w:before="120"/>
      </w:pPr>
      <w:r w:rsidRPr="003954D9">
        <w:t>2 o</w:t>
      </w:r>
      <w:r w:rsidR="0038534F">
        <w:t>ch</w:t>
      </w:r>
      <w:r w:rsidRPr="003954D9">
        <w:t xml:space="preserve"> 3 r</w:t>
      </w:r>
      <w:r w:rsidR="0038534F">
        <w:t xml:space="preserve">um </w:t>
      </w:r>
      <w:r w:rsidRPr="003954D9">
        <w:t>o</w:t>
      </w:r>
      <w:r w:rsidR="0038534F">
        <w:t xml:space="preserve">ch </w:t>
      </w:r>
      <w:r w:rsidRPr="003954D9">
        <w:t>k</w:t>
      </w:r>
      <w:r w:rsidR="0038534F">
        <w:t>ök</w:t>
      </w:r>
      <w:r w:rsidRPr="003954D9">
        <w:t xml:space="preserve"> står för över 60 procent av lägenheterna men för drygt 70 procent av </w:t>
      </w:r>
      <w:r w:rsidR="0038534F">
        <w:t xml:space="preserve">hushållen </w:t>
      </w:r>
      <w:r w:rsidRPr="003954D9">
        <w:t>i riskzonen vid en höjning på 50 procent. Andelsmässigt är också ökningen störst</w:t>
      </w:r>
      <w:r w:rsidR="0038534F">
        <w:t xml:space="preserve"> bland hushållen </w:t>
      </w:r>
      <w:r w:rsidRPr="003954D9">
        <w:t xml:space="preserve">i dessa lägenhetsstorlekar. Hushållen i de mindre bostäderna klarar sig bättre än hushållen i de medelstora bostäderna, antagligen på grund av </w:t>
      </w:r>
      <w:r w:rsidR="00DA14BB" w:rsidRPr="003954D9">
        <w:t>att de en</w:t>
      </w:r>
      <w:r w:rsidR="0038534F">
        <w:t>sam</w:t>
      </w:r>
      <w:r w:rsidR="00A459AB" w:rsidRPr="003954D9">
        <w:t xml:space="preserve">boende </w:t>
      </w:r>
      <w:r w:rsidR="00DA14BB" w:rsidRPr="003954D9">
        <w:t>framför allt återfinns i dessa lägenheter, medan barnhushållen oftare bor i de medelstora lägenheterna</w:t>
      </w:r>
      <w:r w:rsidR="00A459AB" w:rsidRPr="003954D9">
        <w:t>, men det kan också bero på prissättningen av de olika lägenhetsstorlekarna</w:t>
      </w:r>
      <w:r w:rsidRPr="00572FEE">
        <w:t>.</w:t>
      </w:r>
      <w:r w:rsidR="00A459AB" w:rsidRPr="003954D9">
        <w:t xml:space="preserve"> </w:t>
      </w:r>
      <w:r w:rsidR="004B4D17">
        <w:t>Se diagram 6:1 och 6:2.</w:t>
      </w:r>
    </w:p>
    <w:p w14:paraId="6D339F4E" w14:textId="77777777" w:rsidR="0038534F" w:rsidRDefault="0085451F" w:rsidP="0038534F">
      <w:pPr>
        <w:pStyle w:val="Rubrik5"/>
      </w:pPr>
      <w:r w:rsidRPr="003954D9">
        <w:t>Diagram 6:1</w:t>
      </w:r>
      <w:r w:rsidRPr="003954D9">
        <w:tab/>
      </w:r>
      <w:r w:rsidRPr="003954D9">
        <w:tab/>
      </w:r>
      <w:r w:rsidRPr="003954D9">
        <w:tab/>
        <w:t xml:space="preserve">           </w:t>
      </w:r>
    </w:p>
    <w:p w14:paraId="52F0DF8B" w14:textId="11AD79AB" w:rsidR="0038534F" w:rsidRDefault="00412299" w:rsidP="0038534F">
      <w:pPr>
        <w:keepNext/>
        <w:keepLines/>
        <w:outlineLvl w:val="4"/>
        <w:rPr>
          <w:rFonts w:asciiTheme="majorHAnsi" w:eastAsiaTheme="majorEastAsia" w:hAnsiTheme="majorHAnsi" w:cstheme="majorBidi"/>
          <w:color w:val="243F60" w:themeColor="accent1" w:themeShade="7F"/>
        </w:rPr>
      </w:pPr>
      <w:r w:rsidRPr="00412299">
        <w:rPr>
          <w:noProof/>
        </w:rPr>
        <w:drawing>
          <wp:inline distT="0" distB="0" distL="0" distR="0" wp14:anchorId="66F9AAC9" wp14:editId="413E64CA">
            <wp:extent cx="3981450" cy="38957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1450" cy="3895725"/>
                    </a:xfrm>
                    <a:prstGeom prst="rect">
                      <a:avLst/>
                    </a:prstGeom>
                    <a:noFill/>
                    <a:ln>
                      <a:noFill/>
                    </a:ln>
                  </pic:spPr>
                </pic:pic>
              </a:graphicData>
            </a:graphic>
          </wp:inline>
        </w:drawing>
      </w:r>
    </w:p>
    <w:p w14:paraId="56A27211" w14:textId="77777777" w:rsidR="0038534F" w:rsidRDefault="0038534F" w:rsidP="0038534F">
      <w:pPr>
        <w:pStyle w:val="Rubrik5"/>
      </w:pPr>
      <w:r>
        <w:br w:type="page"/>
      </w:r>
    </w:p>
    <w:p w14:paraId="13249643" w14:textId="4D51CFEC" w:rsidR="0085451F" w:rsidRPr="003954D9" w:rsidRDefault="0085451F" w:rsidP="0038534F">
      <w:pPr>
        <w:pStyle w:val="Rubrik5"/>
      </w:pPr>
      <w:r w:rsidRPr="003954D9">
        <w:lastRenderedPageBreak/>
        <w:t>Diagram 6:2</w:t>
      </w:r>
    </w:p>
    <w:p w14:paraId="72A163B1" w14:textId="77777777" w:rsidR="00412299" w:rsidRDefault="00412299" w:rsidP="00412299">
      <w:r w:rsidRPr="00412299">
        <w:rPr>
          <w:noProof/>
        </w:rPr>
        <w:drawing>
          <wp:inline distT="0" distB="0" distL="0" distR="0" wp14:anchorId="03B58FC8" wp14:editId="25E50022">
            <wp:extent cx="4019550" cy="39243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9550" cy="3924300"/>
                    </a:xfrm>
                    <a:prstGeom prst="rect">
                      <a:avLst/>
                    </a:prstGeom>
                    <a:noFill/>
                    <a:ln>
                      <a:noFill/>
                    </a:ln>
                  </pic:spPr>
                </pic:pic>
              </a:graphicData>
            </a:graphic>
          </wp:inline>
        </w:drawing>
      </w:r>
      <w:bookmarkStart w:id="41" w:name="_Toc464828389"/>
    </w:p>
    <w:p w14:paraId="2C7DD31A" w14:textId="77777777" w:rsidR="00412299" w:rsidRDefault="00412299" w:rsidP="00412299"/>
    <w:p w14:paraId="493EF837" w14:textId="13A7EEB8" w:rsidR="0085451F" w:rsidRPr="003954D9" w:rsidRDefault="0085451F" w:rsidP="00412299">
      <w:pPr>
        <w:pStyle w:val="Rubrik3"/>
      </w:pPr>
      <w:r w:rsidRPr="003954D9">
        <w:t>Hyreshöjningar och flyttar i andra rapporter</w:t>
      </w:r>
      <w:bookmarkEnd w:id="41"/>
    </w:p>
    <w:p w14:paraId="4E8F991E" w14:textId="2A90BA05" w:rsidR="00DA14BB" w:rsidRPr="003954D9" w:rsidRDefault="0085451F" w:rsidP="0085451F">
      <w:r w:rsidRPr="003954D9">
        <w:t>En sammanställning av hyrorna efter ombyggnad i Göteborgsområdet 2013</w:t>
      </w:r>
      <w:r w:rsidR="00A55055" w:rsidRPr="003954D9">
        <w:t xml:space="preserve"> </w:t>
      </w:r>
      <w:r w:rsidRPr="003954D9">
        <w:t>- 2015 visar att höjningarna varierade mellan 11 och 75 procent, flertalet på 45–55 procent.</w:t>
      </w:r>
      <w:r w:rsidR="00190F02">
        <w:t xml:space="preserve"> Hälften av höjningarna låg på mellan 45 och 55 procent</w:t>
      </w:r>
      <w:r w:rsidRPr="003954D9">
        <w:t xml:space="preserve">. För en trea motsvarade höjningen 2 660 kr i månaden och den nya hyran 7 805 kr. </w:t>
      </w:r>
      <w:r w:rsidR="00F224C5">
        <w:t>Uppgifterna hämtades från Hyresgästföreningens hyresdatabas.</w:t>
      </w:r>
    </w:p>
    <w:p w14:paraId="0FC532D2" w14:textId="284EA82B" w:rsidR="0085451F" w:rsidRPr="003954D9" w:rsidRDefault="0085451F" w:rsidP="00EA01C2">
      <w:pPr>
        <w:spacing w:before="120"/>
      </w:pPr>
      <w:r w:rsidRPr="003954D9">
        <w:t>En st</w:t>
      </w:r>
      <w:r w:rsidR="00DA14BB" w:rsidRPr="003954D9">
        <w:t>udie från Boverket (2014) visar</w:t>
      </w:r>
      <w:r w:rsidRPr="003954D9">
        <w:t xml:space="preserve"> att i genomsnitt 25 procent av hyresgästerna flyttade i samband med ombyggnad mot 14 procent i fastigheter som inte åtgärdades.</w:t>
      </w:r>
    </w:p>
    <w:p w14:paraId="1B3B57CA" w14:textId="6B94FCF6" w:rsidR="0085451F" w:rsidRPr="003954D9" w:rsidRDefault="0085451F" w:rsidP="00EA01C2">
      <w:pPr>
        <w:spacing w:before="120"/>
      </w:pPr>
      <w:r w:rsidRPr="003954D9">
        <w:t>Andra studier visar att ombyggnaderna kan bli segregationsdrivande både genom gentrifiering</w:t>
      </w:r>
      <w:r w:rsidR="00DA14BB" w:rsidRPr="003954D9">
        <w:t xml:space="preserve">, det vill säga att de som flyttar in i de ombyggda lägenheterna har högre inkomster än de som bodde där tidigare och </w:t>
      </w:r>
      <w:r w:rsidRPr="003954D9">
        <w:t xml:space="preserve">genom residualisering, vilket innebär att </w:t>
      </w:r>
      <w:r w:rsidR="00DA14BB" w:rsidRPr="003954D9">
        <w:t xml:space="preserve">ekonomiskt svaga hushåll tvingas flytta till områden med lägre hyror och en hög andel hushåll med låga inkomster. </w:t>
      </w:r>
      <w:r w:rsidR="00F224C5">
        <w:t>N</w:t>
      </w:r>
      <w:r w:rsidRPr="003954D9">
        <w:t xml:space="preserve">är stadsdelar i periferin rustas upp </w:t>
      </w:r>
      <w:r w:rsidR="00F224C5">
        <w:t xml:space="preserve">och </w:t>
      </w:r>
      <w:r w:rsidRPr="003954D9">
        <w:t xml:space="preserve">processen </w:t>
      </w:r>
      <w:r w:rsidR="000A79C1" w:rsidRPr="003954D9">
        <w:t>omfatta</w:t>
      </w:r>
      <w:r w:rsidR="00F224C5">
        <w:t>r</w:t>
      </w:r>
      <w:r w:rsidRPr="003954D9">
        <w:t xml:space="preserve"> allt större delar av staden</w:t>
      </w:r>
      <w:r w:rsidR="00F224C5">
        <w:t xml:space="preserve"> blir följden att </w:t>
      </w:r>
      <w:r w:rsidRPr="003954D9">
        <w:t xml:space="preserve">utsatta hushåll samlas i allt mindre delar av staden.  </w:t>
      </w:r>
    </w:p>
    <w:p w14:paraId="4EA3AE62" w14:textId="77777777" w:rsidR="0085451F" w:rsidRPr="003954D9" w:rsidRDefault="0085451F" w:rsidP="00EA01C2">
      <w:pPr>
        <w:spacing w:before="120"/>
      </w:pPr>
      <w:r w:rsidRPr="003954D9">
        <w:t xml:space="preserve">Den ökade segregationen får följder inte bara för de enskilda hushållen utan även för samhället som helhet. Den ökade bostadssegregationen medför till exempel en ökad segregation av skolorna, vilket i sin tur påverkar skolresultaten. </w:t>
      </w:r>
    </w:p>
    <w:p w14:paraId="7865C2CF" w14:textId="77777777" w:rsidR="0085451F" w:rsidRPr="003954D9" w:rsidRDefault="0085451F" w:rsidP="00282B9F">
      <w:pPr>
        <w:pStyle w:val="Rubrik3"/>
      </w:pPr>
      <w:bookmarkStart w:id="42" w:name="_Toc464828390"/>
      <w:r w:rsidRPr="003954D9">
        <w:t>Lagen och tillämpningen</w:t>
      </w:r>
      <w:bookmarkEnd w:id="42"/>
    </w:p>
    <w:p w14:paraId="72EF7DE6" w14:textId="36EE7A05" w:rsidR="0085451F" w:rsidRPr="003954D9" w:rsidRDefault="0085451F" w:rsidP="0085451F">
      <w:r w:rsidRPr="003954D9">
        <w:t xml:space="preserve">Att tala om ombyggnader och renoveringar döljer </w:t>
      </w:r>
      <w:r w:rsidR="000A79C1" w:rsidRPr="003954D9">
        <w:t xml:space="preserve">det faktum </w:t>
      </w:r>
      <w:r w:rsidRPr="003954D9">
        <w:t xml:space="preserve">att underhåll normalt sett inte ger rätt till hyreshöjningar. Underhållet ingår i hyran och hyresintäkterna täcker gott och väl kostnaderna för en upprustning. Det som ger upphov till hyreshöjningar i samband med ombyggnader och renoveringar är standardhöjande åtgärder. Man bör därför göra åtskillnad mellan underhåll och standardhöjande åtgärder.  </w:t>
      </w:r>
    </w:p>
    <w:p w14:paraId="68BDE6C0" w14:textId="1C49EA9B" w:rsidR="0085451F" w:rsidRPr="003954D9" w:rsidRDefault="0085451F" w:rsidP="0085451F">
      <w:r w:rsidRPr="003954D9">
        <w:lastRenderedPageBreak/>
        <w:t>För hyresgästernas del är problemet att det inte är möjligt att påverka omfattningen av de standardhöjande åtgärderna, trots att det sedan 2002 är lagstiftarens intention. Hyresnämnden i Götebor</w:t>
      </w:r>
      <w:r w:rsidR="00F224C5">
        <w:t xml:space="preserve">g prövade 232 ärenden från 2002 till september </w:t>
      </w:r>
      <w:r w:rsidRPr="003954D9">
        <w:t>2015</w:t>
      </w:r>
      <w:r w:rsidR="00F224C5">
        <w:t xml:space="preserve">. </w:t>
      </w:r>
      <w:r w:rsidRPr="003954D9">
        <w:t xml:space="preserve">I samtliga utom ett gavs tillstånd till de standardhöjande åtgärder hyresvärden begärt. I det enda ärende överklagade hyresvärden och fick rätt i nästa instans, som är Svea hovrätt. Också där går man regelmässigt på hyresvärdens linje.  </w:t>
      </w:r>
    </w:p>
    <w:p w14:paraId="584A39E0" w14:textId="45063FF3" w:rsidR="0085451F" w:rsidRPr="003954D9" w:rsidRDefault="0085451F" w:rsidP="0085451F">
      <w:r w:rsidRPr="003954D9">
        <w:t>Under senare år har det dock blivit allt vanligare att kommunala hyresvärdar låter hyresgäster välja mellan olika nivåer på åtgärderna. I de kommunala bostadsföretagen i Göteborgs stads och i Stockholms stads ägo är det numera regel. Det har även gjorts i Sigtuna och HSB Göteborg har valt samma förfarande</w:t>
      </w:r>
      <w:r w:rsidR="00B92C86">
        <w:t xml:space="preserve"> för sina hyreslägenheter</w:t>
      </w:r>
      <w:r w:rsidRPr="003954D9">
        <w:t xml:space="preserve">. </w:t>
      </w:r>
    </w:p>
    <w:p w14:paraId="329B3652" w14:textId="4BFEC671" w:rsidR="0085451F" w:rsidRPr="003954D9" w:rsidRDefault="0085451F" w:rsidP="0085451F">
      <w:pPr>
        <w:rPr>
          <w:szCs w:val="23"/>
        </w:rPr>
      </w:pPr>
      <w:r w:rsidRPr="003954D9">
        <w:rPr>
          <w:szCs w:val="23"/>
        </w:rPr>
        <w:t xml:space="preserve">För närvarande arbetar en </w:t>
      </w:r>
      <w:r w:rsidR="000A79C1" w:rsidRPr="003954D9">
        <w:rPr>
          <w:szCs w:val="23"/>
        </w:rPr>
        <w:t xml:space="preserve">statlig </w:t>
      </w:r>
      <w:r w:rsidRPr="003954D9">
        <w:rPr>
          <w:szCs w:val="23"/>
        </w:rPr>
        <w:t xml:space="preserve">utredning </w:t>
      </w:r>
      <w:r w:rsidR="000A79C1" w:rsidRPr="003954D9">
        <w:rPr>
          <w:szCs w:val="23"/>
        </w:rPr>
        <w:t>med</w:t>
      </w:r>
      <w:r w:rsidRPr="003954D9">
        <w:rPr>
          <w:szCs w:val="23"/>
        </w:rPr>
        <w:t xml:space="preserve"> att undersöka om det finns behov av att bättre tillgodose hyresgästers ställning. Utredaren ska undersöka om storleken på en kommande hyreshöjning tillmäts den betydelse som var avsedd 2002 och om hyresgästernas inflytande ska stärkas. </w:t>
      </w:r>
    </w:p>
    <w:p w14:paraId="077FA981" w14:textId="77777777" w:rsidR="0085451F" w:rsidRPr="003954D9" w:rsidRDefault="0085451F" w:rsidP="0085451F">
      <w:pPr>
        <w:rPr>
          <w:szCs w:val="23"/>
        </w:rPr>
      </w:pPr>
    </w:p>
    <w:p w14:paraId="2D86E01B" w14:textId="77777777" w:rsidR="00BF2C28" w:rsidRDefault="00BF2C28" w:rsidP="00DD51D3">
      <w:pPr>
        <w:pStyle w:val="Rubrik1"/>
      </w:pPr>
      <w:bookmarkStart w:id="43" w:name="_Toc333217230"/>
      <w:bookmarkStart w:id="44" w:name="_Toc333217325"/>
      <w:bookmarkStart w:id="45" w:name="_Toc333795970"/>
      <w:bookmarkStart w:id="46" w:name="_Toc333796222"/>
      <w:bookmarkStart w:id="47" w:name="_Toc333800752"/>
      <w:bookmarkStart w:id="48" w:name="_Toc333800870"/>
      <w:bookmarkStart w:id="49" w:name="_Toc463184386"/>
      <w:bookmarkStart w:id="50" w:name="_Toc464828391"/>
      <w:r>
        <w:br w:type="page"/>
      </w:r>
    </w:p>
    <w:p w14:paraId="4E945189" w14:textId="35DAFF74" w:rsidR="00A47BC7" w:rsidRPr="003954D9" w:rsidRDefault="00DD51D3" w:rsidP="00DD51D3">
      <w:pPr>
        <w:pStyle w:val="Rubrik1"/>
      </w:pPr>
      <w:bookmarkStart w:id="51" w:name="_Toc467818476"/>
      <w:bookmarkStart w:id="52" w:name="_Toc468614362"/>
      <w:r w:rsidRPr="003954D9">
        <w:lastRenderedPageBreak/>
        <w:t xml:space="preserve">1. </w:t>
      </w:r>
      <w:r w:rsidR="00A47BC7" w:rsidRPr="003954D9">
        <w:t xml:space="preserve">Hushåll </w:t>
      </w:r>
      <w:bookmarkEnd w:id="43"/>
      <w:bookmarkEnd w:id="44"/>
      <w:bookmarkEnd w:id="45"/>
      <w:bookmarkEnd w:id="46"/>
      <w:bookmarkEnd w:id="47"/>
      <w:bookmarkEnd w:id="48"/>
      <w:r w:rsidR="00315FD9" w:rsidRPr="003954D9">
        <w:t>som kan tvingas flytta som en följd av standardhöjande åtgärder i hyreshus</w:t>
      </w:r>
      <w:bookmarkEnd w:id="49"/>
      <w:bookmarkEnd w:id="50"/>
      <w:bookmarkEnd w:id="51"/>
      <w:bookmarkEnd w:id="52"/>
    </w:p>
    <w:p w14:paraId="16EF6FE6" w14:textId="37FE6401" w:rsidR="00D905A2" w:rsidRPr="003954D9" w:rsidRDefault="002B6AAB" w:rsidP="00DD51D3">
      <w:pPr>
        <w:pStyle w:val="Rubrik2"/>
      </w:pPr>
      <w:bookmarkStart w:id="53" w:name="_Toc333800753"/>
      <w:bookmarkStart w:id="54" w:name="_Toc333800871"/>
      <w:bookmarkStart w:id="55" w:name="_Toc463184387"/>
      <w:bookmarkStart w:id="56" w:name="_Toc464828392"/>
      <w:r w:rsidRPr="003954D9">
        <w:t xml:space="preserve">I hela </w:t>
      </w:r>
      <w:bookmarkEnd w:id="53"/>
      <w:bookmarkEnd w:id="54"/>
      <w:r w:rsidR="00DA7D54" w:rsidRPr="003954D9">
        <w:t>urvalet</w:t>
      </w:r>
      <w:bookmarkEnd w:id="55"/>
      <w:bookmarkEnd w:id="56"/>
    </w:p>
    <w:p w14:paraId="0A7E6A57" w14:textId="5EA7DFC8" w:rsidR="00D905A2" w:rsidRPr="003954D9" w:rsidRDefault="00A47BC7" w:rsidP="003E0635">
      <w:r w:rsidRPr="003954D9">
        <w:t xml:space="preserve">Av </w:t>
      </w:r>
      <w:r w:rsidR="00D905A2" w:rsidRPr="003954D9">
        <w:t xml:space="preserve">de </w:t>
      </w:r>
      <w:r w:rsidR="00315FD9" w:rsidRPr="003954D9">
        <w:t>23 000</w:t>
      </w:r>
      <w:r w:rsidRPr="003954D9">
        <w:t xml:space="preserve"> hushåll som ingår i undersökningen </w:t>
      </w:r>
      <w:r w:rsidR="00541290" w:rsidRPr="003954D9">
        <w:t>kommer</w:t>
      </w:r>
      <w:r w:rsidR="003E0635" w:rsidRPr="003954D9">
        <w:t xml:space="preserve"> </w:t>
      </w:r>
      <w:r w:rsidRPr="003954D9">
        <w:t xml:space="preserve">vart tredje eller 7 600 hushåll att </w:t>
      </w:r>
      <w:r w:rsidR="003E0635" w:rsidRPr="003954D9">
        <w:t>ligga</w:t>
      </w:r>
      <w:r w:rsidRPr="003954D9">
        <w:t xml:space="preserve"> under skälig levnadsnivå och riskera</w:t>
      </w:r>
      <w:r w:rsidR="003E0635" w:rsidRPr="003954D9">
        <w:t>r</w:t>
      </w:r>
      <w:r w:rsidRPr="003954D9">
        <w:t xml:space="preserve"> att tvingas flytta vid en hyreshöjning på 50 procent efter ombyggnad. </w:t>
      </w:r>
      <w:r w:rsidR="00CC33FE" w:rsidRPr="003954D9">
        <w:t xml:space="preserve">Det är en ökning med 4 220 jämfört med </w:t>
      </w:r>
      <w:r w:rsidR="00541290" w:rsidRPr="003954D9">
        <w:t>antalet</w:t>
      </w:r>
      <w:r w:rsidR="00CC33FE" w:rsidRPr="003954D9">
        <w:t xml:space="preserve"> hushåll under skälig levnadsnivå idag och mer än en fördubbling</w:t>
      </w:r>
      <w:r w:rsidR="00CF19E9">
        <w:t>.</w:t>
      </w:r>
      <w:r w:rsidR="00CC33FE" w:rsidRPr="003954D9">
        <w:t xml:space="preserve"> </w:t>
      </w:r>
      <w:r w:rsidR="007C743F" w:rsidRPr="003954D9">
        <w:t>Tillgängliga data visar att e</w:t>
      </w:r>
      <w:r w:rsidR="00541290" w:rsidRPr="003954D9">
        <w:t>n hyreshöjning på</w:t>
      </w:r>
      <w:r w:rsidR="00D905A2" w:rsidRPr="003954D9">
        <w:t xml:space="preserve"> </w:t>
      </w:r>
      <w:r w:rsidR="00541290" w:rsidRPr="003954D9">
        <w:t xml:space="preserve">50 procent </w:t>
      </w:r>
      <w:r w:rsidR="007C743F" w:rsidRPr="003954D9">
        <w:t xml:space="preserve">är en vanlig </w:t>
      </w:r>
      <w:r w:rsidR="00D905A2" w:rsidRPr="003954D9">
        <w:t xml:space="preserve">nivå på hyreshöjningar i Göteborg </w:t>
      </w:r>
      <w:r w:rsidR="007C743F" w:rsidRPr="003954D9">
        <w:t xml:space="preserve">i samband med ombyggnad </w:t>
      </w:r>
      <w:r w:rsidR="00D905A2" w:rsidRPr="003954D9">
        <w:t xml:space="preserve">(Se avsnittet </w:t>
      </w:r>
      <w:bookmarkStart w:id="57" w:name="_Toc333772924"/>
      <w:r w:rsidR="00D905A2" w:rsidRPr="003954D9">
        <w:rPr>
          <w:i/>
        </w:rPr>
        <w:t>Höjda hyror och flyttar</w:t>
      </w:r>
      <w:bookmarkEnd w:id="57"/>
      <w:r w:rsidR="002B6AAB" w:rsidRPr="003954D9">
        <w:t xml:space="preserve"> s. </w:t>
      </w:r>
      <w:r w:rsidR="00B41261">
        <w:t>40</w:t>
      </w:r>
      <w:r w:rsidR="00D905A2" w:rsidRPr="003954D9">
        <w:t xml:space="preserve">). </w:t>
      </w:r>
    </w:p>
    <w:p w14:paraId="64421833" w14:textId="77777777" w:rsidR="00CC33FE" w:rsidRPr="003954D9" w:rsidRDefault="00CC33FE" w:rsidP="003E0635"/>
    <w:p w14:paraId="40B9BB7E" w14:textId="42285D66" w:rsidR="00541290" w:rsidRPr="003954D9" w:rsidRDefault="00A47BC7" w:rsidP="003E0635">
      <w:r w:rsidRPr="003954D9">
        <w:t xml:space="preserve">Skulle hyran höjas med 25 procent </w:t>
      </w:r>
      <w:r w:rsidR="004612B9" w:rsidRPr="003954D9">
        <w:t>ligger</w:t>
      </w:r>
      <w:r w:rsidR="003E0635" w:rsidRPr="003954D9">
        <w:t xml:space="preserve"> </w:t>
      </w:r>
      <w:r w:rsidR="00CC33FE" w:rsidRPr="003954D9">
        <w:t xml:space="preserve">vart fjärde </w:t>
      </w:r>
      <w:r w:rsidRPr="003954D9">
        <w:t xml:space="preserve">eller 5 500 </w:t>
      </w:r>
      <w:r w:rsidR="007E74A3" w:rsidRPr="003954D9">
        <w:t xml:space="preserve">hushåll </w:t>
      </w:r>
      <w:r w:rsidR="003E0635" w:rsidRPr="003954D9">
        <w:t xml:space="preserve">i riskzonen för </w:t>
      </w:r>
      <w:r w:rsidRPr="003954D9">
        <w:t xml:space="preserve">att tvingas flytta. </w:t>
      </w:r>
      <w:r w:rsidR="00CC33FE" w:rsidRPr="003954D9">
        <w:t>D</w:t>
      </w:r>
      <w:r w:rsidR="007041AB" w:rsidRPr="003954D9">
        <w:t>et är en ökning med 2 100 eller 9 procentenheter</w:t>
      </w:r>
      <w:r w:rsidR="007041AB" w:rsidRPr="003954D9">
        <w:rPr>
          <w:color w:val="FF0000"/>
        </w:rPr>
        <w:t xml:space="preserve"> </w:t>
      </w:r>
      <w:r w:rsidR="00CC33FE" w:rsidRPr="003954D9">
        <w:t xml:space="preserve">jämfört med dagens situation. </w:t>
      </w:r>
      <w:r w:rsidR="00E50A88" w:rsidRPr="003954D9">
        <w:t xml:space="preserve">Man kunde vänta sig att en halvering av hyreshöjningen skulle leda till en halvering av andelen hushåll i riskzonen, men så är det inte. </w:t>
      </w:r>
      <w:r w:rsidR="007C743F" w:rsidRPr="003954D9">
        <w:t xml:space="preserve">Orsaken är att många hushåll redan idag ligger under skälig levnadsnivå. </w:t>
      </w:r>
    </w:p>
    <w:p w14:paraId="72432773" w14:textId="77777777" w:rsidR="00E50A88" w:rsidRPr="003954D9" w:rsidRDefault="00E50A88" w:rsidP="003E0635"/>
    <w:p w14:paraId="61817C12" w14:textId="77777777" w:rsidR="007041AB" w:rsidRPr="003954D9" w:rsidRDefault="00315FD9" w:rsidP="003E0635">
      <w:r w:rsidRPr="003954D9">
        <w:t xml:space="preserve">Skulle hyran höjas med </w:t>
      </w:r>
      <w:r w:rsidR="00A47BC7" w:rsidRPr="003954D9">
        <w:t xml:space="preserve">5 procent är andelen </w:t>
      </w:r>
      <w:r w:rsidR="00541290" w:rsidRPr="003954D9">
        <w:t xml:space="preserve">hushåll i riskzonen </w:t>
      </w:r>
      <w:r w:rsidR="00A47BC7" w:rsidRPr="003954D9">
        <w:t xml:space="preserve">16 procent eller </w:t>
      </w:r>
      <w:r w:rsidR="00541290" w:rsidRPr="003954D9">
        <w:t xml:space="preserve">nära </w:t>
      </w:r>
      <w:r w:rsidR="00A47BC7" w:rsidRPr="003954D9">
        <w:t xml:space="preserve">3 800 </w:t>
      </w:r>
      <w:r w:rsidR="00D905A2" w:rsidRPr="003954D9">
        <w:t>hushåll</w:t>
      </w:r>
      <w:r w:rsidR="00A47BC7" w:rsidRPr="003954D9">
        <w:t xml:space="preserve">. </w:t>
      </w:r>
      <w:r w:rsidR="00D905A2" w:rsidRPr="003954D9">
        <w:t>De</w:t>
      </w:r>
      <w:r w:rsidR="00CE0196" w:rsidRPr="003954D9">
        <w:t>t</w:t>
      </w:r>
      <w:r w:rsidR="00D905A2" w:rsidRPr="003954D9">
        <w:t xml:space="preserve"> an</w:t>
      </w:r>
      <w:r w:rsidR="00CE0196" w:rsidRPr="003954D9">
        <w:t xml:space="preserve">talet </w:t>
      </w:r>
      <w:r w:rsidR="00D905A2" w:rsidRPr="003954D9">
        <w:t>ligger nära de</w:t>
      </w:r>
      <w:r w:rsidR="00CE0196" w:rsidRPr="003954D9">
        <w:t>t</w:t>
      </w:r>
      <w:r w:rsidR="00D905A2" w:rsidRPr="003954D9">
        <w:t xml:space="preserve"> an</w:t>
      </w:r>
      <w:r w:rsidR="00CE0196" w:rsidRPr="003954D9">
        <w:t>tal</w:t>
      </w:r>
      <w:r w:rsidR="00D905A2" w:rsidRPr="003954D9">
        <w:t xml:space="preserve"> som idag inte uppnår skälig levnadsnivå </w:t>
      </w:r>
      <w:r w:rsidR="00716D62" w:rsidRPr="003954D9">
        <w:t>när</w:t>
      </w:r>
      <w:r w:rsidR="00D905A2" w:rsidRPr="003954D9">
        <w:t xml:space="preserve"> hyran är betald och som </w:t>
      </w:r>
      <w:r w:rsidR="007E74A3" w:rsidRPr="003954D9">
        <w:t xml:space="preserve">redan nu </w:t>
      </w:r>
      <w:r w:rsidR="00D905A2" w:rsidRPr="003954D9">
        <w:t>skulle behöva en lägre boendekostnad –</w:t>
      </w:r>
      <w:r w:rsidR="00CE0196" w:rsidRPr="003954D9">
        <w:t xml:space="preserve"> </w:t>
      </w:r>
      <w:r w:rsidR="00541290" w:rsidRPr="003954D9">
        <w:t xml:space="preserve">nära </w:t>
      </w:r>
      <w:r w:rsidR="00A47BC7" w:rsidRPr="003954D9">
        <w:t>3 400 hushåll</w:t>
      </w:r>
      <w:r w:rsidR="007E74A3" w:rsidRPr="003954D9">
        <w:t xml:space="preserve">. </w:t>
      </w:r>
    </w:p>
    <w:p w14:paraId="6B7FFEBC" w14:textId="0A5DDEC1" w:rsidR="007041AB" w:rsidRPr="003954D9" w:rsidRDefault="007041AB" w:rsidP="007041AB">
      <w:r w:rsidRPr="003954D9">
        <w:t xml:space="preserve">Vid en hyreshöjning på 5 procent ligger ökningen på drygt 400 hushåll eller knappt 2 procentenheter. </w:t>
      </w:r>
      <w:r w:rsidR="0020437F" w:rsidRPr="003954D9">
        <w:t xml:space="preserve">De stora förändringarna sker från 5 procent till 25 procent och från 25 till 50 procent. </w:t>
      </w:r>
      <w:r w:rsidRPr="003954D9">
        <w:t>Se diagram 1:1 och 1:2!</w:t>
      </w:r>
    </w:p>
    <w:p w14:paraId="008126A3" w14:textId="77777777" w:rsidR="0038534F" w:rsidRDefault="00107780" w:rsidP="00107780">
      <w:pPr>
        <w:pStyle w:val="Rubrik5"/>
      </w:pPr>
      <w:r w:rsidRPr="003954D9">
        <w:t>Diagram 1:1</w:t>
      </w:r>
      <w:r w:rsidRPr="003954D9">
        <w:tab/>
      </w:r>
      <w:r w:rsidRPr="003954D9">
        <w:tab/>
        <w:t xml:space="preserve">                                       </w:t>
      </w:r>
    </w:p>
    <w:p w14:paraId="5AA34BC0" w14:textId="65B45F52" w:rsidR="0038534F" w:rsidRDefault="0038534F" w:rsidP="0038534F">
      <w:pPr>
        <w:pStyle w:val="Rubrik5"/>
        <w:spacing w:before="0"/>
      </w:pPr>
      <w:r w:rsidRPr="005556DD">
        <w:rPr>
          <w:noProof/>
        </w:rPr>
        <w:drawing>
          <wp:inline distT="0" distB="0" distL="0" distR="0" wp14:anchorId="53B9C9C5" wp14:editId="197E6382">
            <wp:extent cx="3752850" cy="1962150"/>
            <wp:effectExtent l="0" t="0" r="0" b="0"/>
            <wp:docPr id="105" name="Bildobjekt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1962150"/>
                    </a:xfrm>
                    <a:prstGeom prst="rect">
                      <a:avLst/>
                    </a:prstGeom>
                    <a:noFill/>
                    <a:ln>
                      <a:noFill/>
                    </a:ln>
                  </pic:spPr>
                </pic:pic>
              </a:graphicData>
            </a:graphic>
          </wp:inline>
        </w:drawing>
      </w:r>
    </w:p>
    <w:p w14:paraId="2925FBA0" w14:textId="4D2F49B9" w:rsidR="00D114F5" w:rsidRPr="003954D9" w:rsidRDefault="00107780" w:rsidP="00107780">
      <w:pPr>
        <w:pStyle w:val="Rubrik5"/>
      </w:pPr>
      <w:r w:rsidRPr="003954D9">
        <w:t>Diagram 1:2</w:t>
      </w:r>
    </w:p>
    <w:p w14:paraId="08A5DA37" w14:textId="2E13D54B" w:rsidR="004612B9" w:rsidRPr="003954D9" w:rsidRDefault="006B02F2" w:rsidP="003E0635">
      <w:r w:rsidRPr="005556DD">
        <w:rPr>
          <w:noProof/>
        </w:rPr>
        <w:drawing>
          <wp:inline distT="0" distB="0" distL="0" distR="0" wp14:anchorId="49EA7A1C" wp14:editId="435B522C">
            <wp:extent cx="3733800" cy="1981200"/>
            <wp:effectExtent l="0" t="0" r="0" b="0"/>
            <wp:docPr id="106" name="Bildobjekt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1981200"/>
                    </a:xfrm>
                    <a:prstGeom prst="rect">
                      <a:avLst/>
                    </a:prstGeom>
                    <a:noFill/>
                    <a:ln>
                      <a:noFill/>
                    </a:ln>
                  </pic:spPr>
                </pic:pic>
              </a:graphicData>
            </a:graphic>
          </wp:inline>
        </w:drawing>
      </w:r>
    </w:p>
    <w:p w14:paraId="0381DE70" w14:textId="77777777" w:rsidR="004612B9" w:rsidRPr="003954D9" w:rsidRDefault="004612B9" w:rsidP="00DD51D3">
      <w:pPr>
        <w:pStyle w:val="Rubrik2"/>
      </w:pPr>
      <w:bookmarkStart w:id="58" w:name="_Toc463184388"/>
      <w:bookmarkStart w:id="59" w:name="_Toc464828393"/>
      <w:r w:rsidRPr="003954D9">
        <w:lastRenderedPageBreak/>
        <w:t>I Göteborgs stadsdelar</w:t>
      </w:r>
      <w:bookmarkEnd w:id="58"/>
      <w:bookmarkEnd w:id="59"/>
    </w:p>
    <w:p w14:paraId="283F1A4C" w14:textId="118E253E" w:rsidR="004612B9" w:rsidRPr="003954D9" w:rsidRDefault="004612B9" w:rsidP="004612B9">
      <w:pPr>
        <w:autoSpaceDE w:val="0"/>
        <w:autoSpaceDN w:val="0"/>
        <w:adjustRightInd w:val="0"/>
      </w:pPr>
      <w:r w:rsidRPr="003954D9">
        <w:t xml:space="preserve">Det finns betydande skillnader mellan stadsdelarna (stadsdelsnämndsområden) när det gäller risken för flytt. </w:t>
      </w:r>
      <w:r w:rsidR="00107780" w:rsidRPr="003954D9">
        <w:t xml:space="preserve">De största </w:t>
      </w:r>
      <w:r w:rsidR="00107780" w:rsidRPr="003954D9">
        <w:rPr>
          <w:i/>
        </w:rPr>
        <w:t>antalen</w:t>
      </w:r>
      <w:r w:rsidR="00107780" w:rsidRPr="003954D9">
        <w:t xml:space="preserve"> med risk att flytta finns i Angered och Östra Göteborg. I Västra Göteborg är antalet väldigt lågt</w:t>
      </w:r>
      <w:r w:rsidR="007E74A3" w:rsidRPr="003954D9">
        <w:t>,</w:t>
      </w:r>
      <w:r w:rsidR="00107780" w:rsidRPr="003954D9">
        <w:t xml:space="preserve"> </w:t>
      </w:r>
      <w:r w:rsidR="007E74A3" w:rsidRPr="003954D9">
        <w:t>v</w:t>
      </w:r>
      <w:r w:rsidR="00107780" w:rsidRPr="003954D9">
        <w:t>ilket delvis beror på att antalet hushåll i urvalet från Västra Göteborg är mycket lågt.</w:t>
      </w:r>
      <w:r w:rsidR="00037F21" w:rsidRPr="003954D9">
        <w:t xml:space="preserve"> Se diagram 1:3!</w:t>
      </w:r>
      <w:r w:rsidR="007E74A3" w:rsidRPr="003954D9">
        <w:t xml:space="preserve"> </w:t>
      </w:r>
    </w:p>
    <w:p w14:paraId="33F774FA" w14:textId="7992C08D" w:rsidR="007E74A3" w:rsidRPr="003954D9" w:rsidRDefault="007E74A3" w:rsidP="004F7ECC">
      <w:pPr>
        <w:autoSpaceDE w:val="0"/>
        <w:autoSpaceDN w:val="0"/>
        <w:adjustRightInd w:val="0"/>
      </w:pPr>
      <w:r w:rsidRPr="003954D9">
        <w:t>En redogörelse för sammansättningen av hushållen i undersökning</w:t>
      </w:r>
      <w:r w:rsidR="00CF19E9">
        <w:t>en</w:t>
      </w:r>
      <w:r w:rsidRPr="003954D9">
        <w:t xml:space="preserve"> finns i </w:t>
      </w:r>
      <w:r w:rsidR="004F7ECC" w:rsidRPr="003954D9">
        <w:t xml:space="preserve">avsnitt </w:t>
      </w:r>
      <w:r w:rsidRPr="003954D9">
        <w:t xml:space="preserve">12. </w:t>
      </w:r>
      <w:r w:rsidRPr="003954D9">
        <w:rPr>
          <w:i/>
        </w:rPr>
        <w:t>Hur bor de som ingår i undersökningen?</w:t>
      </w:r>
      <w:r w:rsidR="004F7ECC" w:rsidRPr="003954D9">
        <w:rPr>
          <w:i/>
        </w:rPr>
        <w:t xml:space="preserve"> </w:t>
      </w:r>
      <w:r w:rsidR="004F7ECC" w:rsidRPr="003954D9">
        <w:t>s</w:t>
      </w:r>
      <w:r w:rsidR="000A0471" w:rsidRPr="003954D9">
        <w:t>.</w:t>
      </w:r>
      <w:r w:rsidR="004F7ECC" w:rsidRPr="003954D9">
        <w:t xml:space="preserve"> </w:t>
      </w:r>
      <w:r w:rsidR="000A0471" w:rsidRPr="003954D9">
        <w:t>48</w:t>
      </w:r>
      <w:r w:rsidR="004F7ECC" w:rsidRPr="003954D9">
        <w:t xml:space="preserve">. </w:t>
      </w:r>
    </w:p>
    <w:p w14:paraId="084D7DA2" w14:textId="77777777" w:rsidR="0085451F" w:rsidRPr="003954D9" w:rsidRDefault="0085451F" w:rsidP="0085451F">
      <w:pPr>
        <w:autoSpaceDE w:val="0"/>
        <w:autoSpaceDN w:val="0"/>
        <w:adjustRightInd w:val="0"/>
      </w:pPr>
      <w:r w:rsidRPr="003954D9">
        <w:t xml:space="preserve">Bilden blir ungefär densamma för </w:t>
      </w:r>
      <w:r w:rsidRPr="003954D9">
        <w:rPr>
          <w:i/>
        </w:rPr>
        <w:t>andelen</w:t>
      </w:r>
      <w:r w:rsidRPr="003954D9">
        <w:t xml:space="preserve"> hushåll i varje stadsdel som hamnar i riskzonen för att tvingas flytta om hyrorna höjs p.g.a. ombyggnad.</w:t>
      </w:r>
    </w:p>
    <w:p w14:paraId="1FD959F7" w14:textId="77777777" w:rsidR="0085451F" w:rsidRPr="003954D9" w:rsidRDefault="0085451F" w:rsidP="0085451F">
      <w:pPr>
        <w:autoSpaceDE w:val="0"/>
        <w:autoSpaceDN w:val="0"/>
        <w:adjustRightInd w:val="0"/>
      </w:pPr>
      <w:r w:rsidRPr="003954D9">
        <w:t>De högsta andelarna finns i Angered och Östra Göteborg följt av Västra Hisingen. Västra Göteborg och Majorna-Linnéstaden har de lägsta andelarna.  Se diagram 1:4!</w:t>
      </w:r>
    </w:p>
    <w:p w14:paraId="1537816F" w14:textId="0D6D44DC" w:rsidR="007E74A3" w:rsidRPr="003954D9" w:rsidRDefault="007E74A3" w:rsidP="004612B9">
      <w:pPr>
        <w:autoSpaceDE w:val="0"/>
        <w:autoSpaceDN w:val="0"/>
        <w:adjustRightInd w:val="0"/>
      </w:pPr>
    </w:p>
    <w:p w14:paraId="41B028B4" w14:textId="4DD70661" w:rsidR="006B02F2" w:rsidRDefault="00DD6FC6" w:rsidP="00DD6FC6">
      <w:pPr>
        <w:pStyle w:val="Rubrik5"/>
        <w:spacing w:before="0"/>
      </w:pPr>
      <w:r w:rsidRPr="003954D9">
        <w:t xml:space="preserve"> </w:t>
      </w:r>
      <w:r w:rsidR="00C75ED8" w:rsidRPr="003954D9">
        <w:t>Diagram 1</w:t>
      </w:r>
      <w:r w:rsidR="00107780" w:rsidRPr="003954D9">
        <w:t>:3</w:t>
      </w:r>
      <w:r w:rsidR="00C75ED8" w:rsidRPr="003954D9">
        <w:t xml:space="preserve"> </w:t>
      </w:r>
      <w:r w:rsidR="0085451F" w:rsidRPr="003954D9">
        <w:tab/>
      </w:r>
      <w:r w:rsidR="0085451F" w:rsidRPr="003954D9">
        <w:tab/>
        <w:t xml:space="preserve">           </w:t>
      </w:r>
    </w:p>
    <w:p w14:paraId="678B0217" w14:textId="35252490" w:rsidR="006B02F2" w:rsidRDefault="00EA0F8B" w:rsidP="00DD6FC6">
      <w:pPr>
        <w:pStyle w:val="Rubrik5"/>
        <w:spacing w:before="0"/>
      </w:pPr>
      <w:r w:rsidRPr="00EA0F8B">
        <w:rPr>
          <w:noProof/>
        </w:rPr>
        <w:drawing>
          <wp:inline distT="0" distB="0" distL="0" distR="0" wp14:anchorId="4B34CC61" wp14:editId="000AB096">
            <wp:extent cx="4019550" cy="5124450"/>
            <wp:effectExtent l="0" t="0" r="0" b="0"/>
            <wp:docPr id="134" name="Bildobjekt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9550" cy="5124450"/>
                    </a:xfrm>
                    <a:prstGeom prst="rect">
                      <a:avLst/>
                    </a:prstGeom>
                    <a:noFill/>
                    <a:ln>
                      <a:noFill/>
                    </a:ln>
                  </pic:spPr>
                </pic:pic>
              </a:graphicData>
            </a:graphic>
          </wp:inline>
        </w:drawing>
      </w:r>
    </w:p>
    <w:p w14:paraId="48D83E54" w14:textId="77777777" w:rsidR="006B02F2" w:rsidRDefault="006B02F2" w:rsidP="00DD6FC6">
      <w:pPr>
        <w:pStyle w:val="Rubrik5"/>
        <w:spacing w:before="0"/>
      </w:pPr>
      <w:r>
        <w:br w:type="page"/>
      </w:r>
    </w:p>
    <w:p w14:paraId="4AD0D012" w14:textId="6DD6145E" w:rsidR="00750E22" w:rsidRPr="003954D9" w:rsidRDefault="0085451F" w:rsidP="00DD6FC6">
      <w:pPr>
        <w:pStyle w:val="Rubrik5"/>
        <w:spacing w:before="0"/>
      </w:pPr>
      <w:r w:rsidRPr="003954D9">
        <w:lastRenderedPageBreak/>
        <w:t>Diagram 1:4</w:t>
      </w:r>
    </w:p>
    <w:p w14:paraId="57AD79CC" w14:textId="5D873E8A" w:rsidR="00AC1554" w:rsidRPr="003954D9" w:rsidRDefault="00EA0F8B" w:rsidP="004612B9">
      <w:pPr>
        <w:autoSpaceDE w:val="0"/>
        <w:autoSpaceDN w:val="0"/>
        <w:adjustRightInd w:val="0"/>
      </w:pPr>
      <w:r w:rsidRPr="00EA0F8B">
        <w:rPr>
          <w:noProof/>
        </w:rPr>
        <w:drawing>
          <wp:inline distT="0" distB="0" distL="0" distR="0" wp14:anchorId="58DC6FD0" wp14:editId="317B2D57">
            <wp:extent cx="4229100" cy="5143500"/>
            <wp:effectExtent l="0" t="0" r="0" b="0"/>
            <wp:docPr id="135" name="Bildobjek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9100" cy="5143500"/>
                    </a:xfrm>
                    <a:prstGeom prst="rect">
                      <a:avLst/>
                    </a:prstGeom>
                    <a:noFill/>
                    <a:ln>
                      <a:noFill/>
                    </a:ln>
                  </pic:spPr>
                </pic:pic>
              </a:graphicData>
            </a:graphic>
          </wp:inline>
        </w:drawing>
      </w:r>
    </w:p>
    <w:p w14:paraId="17E0A483" w14:textId="77777777" w:rsidR="004612B9" w:rsidRPr="003954D9" w:rsidRDefault="004612B9" w:rsidP="00DD51D3">
      <w:pPr>
        <w:pStyle w:val="Rubrik3"/>
      </w:pPr>
      <w:bookmarkStart w:id="60" w:name="_Toc463184389"/>
      <w:bookmarkStart w:id="61" w:name="_Toc464828394"/>
      <w:r w:rsidRPr="003954D9">
        <w:t>Höjning 50 procent</w:t>
      </w:r>
      <w:bookmarkEnd w:id="60"/>
      <w:bookmarkEnd w:id="61"/>
    </w:p>
    <w:p w14:paraId="06798693" w14:textId="7F2C71B7" w:rsidR="00FA5446" w:rsidRPr="003954D9" w:rsidRDefault="00FA5446" w:rsidP="00DD51D3">
      <w:pPr>
        <w:pStyle w:val="Rubrik4"/>
      </w:pPr>
      <w:r w:rsidRPr="003954D9">
        <w:t>Nivå totalt</w:t>
      </w:r>
    </w:p>
    <w:p w14:paraId="2013F355" w14:textId="2B02D3AE" w:rsidR="004612B9" w:rsidRPr="003954D9" w:rsidRDefault="004612B9" w:rsidP="004612B9">
      <w:pPr>
        <w:autoSpaceDE w:val="0"/>
        <w:autoSpaceDN w:val="0"/>
        <w:adjustRightInd w:val="0"/>
      </w:pPr>
      <w:r w:rsidRPr="003954D9">
        <w:t>I Angered och Östra Göteborg riskerar cirka 40 procent av hushållen att tvingas flytta vid en 50</w:t>
      </w:r>
      <w:r w:rsidR="00FD3008" w:rsidRPr="003954D9">
        <w:t>-</w:t>
      </w:r>
      <w:r w:rsidRPr="003954D9">
        <w:t xml:space="preserve">procentig hyreshöjning. I Västra Hisingen, Askim-Frölunda-Högsbo och Norra Hisingen ligger andelen på </w:t>
      </w:r>
      <w:r w:rsidR="00365C66" w:rsidRPr="003954D9">
        <w:t>38–31</w:t>
      </w:r>
      <w:r w:rsidRPr="003954D9">
        <w:t xml:space="preserve"> procent och i Centrum, Lundby, Majorna-Linnéstaden, Örgryte-Härlanda och Västra Göteborg på </w:t>
      </w:r>
      <w:r w:rsidR="00365C66" w:rsidRPr="003954D9">
        <w:t>27–23</w:t>
      </w:r>
      <w:r w:rsidRPr="003954D9">
        <w:t xml:space="preserve"> procent</w:t>
      </w:r>
      <w:r w:rsidR="00E50A88" w:rsidRPr="003954D9">
        <w:t>.</w:t>
      </w:r>
      <w:r w:rsidR="006619AC" w:rsidRPr="003954D9">
        <w:t xml:space="preserve"> </w:t>
      </w:r>
    </w:p>
    <w:p w14:paraId="60469B76" w14:textId="77777777" w:rsidR="00A30148" w:rsidRPr="003954D9" w:rsidRDefault="004612B9" w:rsidP="004612B9">
      <w:pPr>
        <w:autoSpaceDE w:val="0"/>
        <w:autoSpaceDN w:val="0"/>
        <w:adjustRightInd w:val="0"/>
      </w:pPr>
      <w:r w:rsidRPr="003954D9">
        <w:t xml:space="preserve">Antalsmässigt rör det sig </w:t>
      </w:r>
      <w:r w:rsidR="006619AC" w:rsidRPr="003954D9">
        <w:t xml:space="preserve">totalt </w:t>
      </w:r>
      <w:r w:rsidRPr="003954D9">
        <w:t xml:space="preserve">om nära 1 900 hushåll i Angered och i Östra Göteborg om nära </w:t>
      </w:r>
    </w:p>
    <w:p w14:paraId="1AE60757" w14:textId="1581DEA9" w:rsidR="00861DEB" w:rsidRPr="003954D9" w:rsidRDefault="004612B9" w:rsidP="004612B9">
      <w:pPr>
        <w:autoSpaceDE w:val="0"/>
        <w:autoSpaceDN w:val="0"/>
        <w:adjustRightInd w:val="0"/>
      </w:pPr>
      <w:r w:rsidRPr="003954D9">
        <w:t>1 400 hushåll samt i Västra Hisingen om drygt 1000 hushåll</w:t>
      </w:r>
      <w:r w:rsidR="004B2624" w:rsidRPr="003954D9">
        <w:t xml:space="preserve"> som ligger i riskzonen</w:t>
      </w:r>
      <w:r w:rsidR="00E04DE8" w:rsidRPr="003954D9">
        <w:t xml:space="preserve"> vid en hyreshöjning på 50 procent. I</w:t>
      </w:r>
      <w:r w:rsidRPr="003954D9">
        <w:t xml:space="preserve"> Askim-Frölunda-Högsbo, Majorna-Linnéstaden, Örgryte-Härlanda, Centrum och Norra Hisingen </w:t>
      </w:r>
      <w:r w:rsidR="004B2624" w:rsidRPr="003954D9">
        <w:t xml:space="preserve">rör det sig om </w:t>
      </w:r>
      <w:r w:rsidRPr="003954D9">
        <w:t xml:space="preserve">ca </w:t>
      </w:r>
      <w:r w:rsidR="00365C66" w:rsidRPr="003954D9">
        <w:t>800–400</w:t>
      </w:r>
      <w:r w:rsidRPr="003954D9">
        <w:t xml:space="preserve"> hushåll. I Lundby och Västra Göteborg är antalet sammantaget drygt 300</w:t>
      </w:r>
      <w:r w:rsidR="00E04DE8" w:rsidRPr="003954D9">
        <w:t xml:space="preserve">. </w:t>
      </w:r>
    </w:p>
    <w:p w14:paraId="67138226" w14:textId="7274D1A1" w:rsidR="00FA5446" w:rsidRPr="003954D9" w:rsidRDefault="00FA5446" w:rsidP="00DD51D3">
      <w:pPr>
        <w:pStyle w:val="Rubrik4"/>
      </w:pPr>
      <w:r w:rsidRPr="003954D9">
        <w:t>Ökning jämfört med idag</w:t>
      </w:r>
    </w:p>
    <w:p w14:paraId="386AD121" w14:textId="626B9DDA" w:rsidR="004612B9" w:rsidRPr="003954D9" w:rsidRDefault="00E04DE8" w:rsidP="004612B9">
      <w:pPr>
        <w:autoSpaceDE w:val="0"/>
        <w:autoSpaceDN w:val="0"/>
        <w:adjustRightInd w:val="0"/>
      </w:pPr>
      <w:r w:rsidRPr="003954D9">
        <w:t>O</w:t>
      </w:r>
      <w:r w:rsidR="004B2624" w:rsidRPr="003954D9">
        <w:t xml:space="preserve">m man jämför ökningen </w:t>
      </w:r>
      <w:r w:rsidR="00861DEB" w:rsidRPr="003954D9">
        <w:t xml:space="preserve">av antalet hushåll i riskzonen </w:t>
      </w:r>
      <w:r w:rsidR="001A2E99" w:rsidRPr="003954D9">
        <w:t xml:space="preserve">vid en hyreshöjning på 50 </w:t>
      </w:r>
      <w:r w:rsidR="00475673" w:rsidRPr="003954D9">
        <w:t>procent</w:t>
      </w:r>
      <w:r w:rsidR="001A2E99" w:rsidRPr="003954D9">
        <w:t xml:space="preserve"> </w:t>
      </w:r>
      <w:r w:rsidR="004B2624" w:rsidRPr="003954D9">
        <w:t xml:space="preserve">med </w:t>
      </w:r>
      <w:r w:rsidR="004472F1" w:rsidRPr="003954D9">
        <w:t xml:space="preserve">läget idag </w:t>
      </w:r>
      <w:r w:rsidR="001A2E99" w:rsidRPr="003954D9">
        <w:t>blir</w:t>
      </w:r>
      <w:r w:rsidR="004472F1" w:rsidRPr="003954D9">
        <w:t xml:space="preserve"> </w:t>
      </w:r>
      <w:r w:rsidR="004B2624" w:rsidRPr="003954D9">
        <w:t xml:space="preserve">bilden </w:t>
      </w:r>
      <w:r w:rsidR="004472F1" w:rsidRPr="003954D9">
        <w:t xml:space="preserve">oförändrad </w:t>
      </w:r>
      <w:r w:rsidR="004472F1" w:rsidRPr="003954D9">
        <w:softHyphen/>
      </w:r>
      <w:r w:rsidR="004472F1" w:rsidRPr="003954D9">
        <w:softHyphen/>
        <w:t xml:space="preserve">– </w:t>
      </w:r>
      <w:r w:rsidRPr="003954D9">
        <w:t>Angered, Östra Göteborg och Västra Hisingen drabbas hårdast följda av Askim-Frölunda</w:t>
      </w:r>
      <w:r w:rsidR="004472F1" w:rsidRPr="003954D9">
        <w:t>-Högsbo, Majorna-</w:t>
      </w:r>
      <w:r w:rsidR="00861DEB" w:rsidRPr="003954D9">
        <w:t>Linnéstaden</w:t>
      </w:r>
      <w:r w:rsidR="004472F1" w:rsidRPr="003954D9">
        <w:t>, Örgryte-Härlanda</w:t>
      </w:r>
      <w:r w:rsidR="001A2E99" w:rsidRPr="003954D9">
        <w:t xml:space="preserve">, </w:t>
      </w:r>
      <w:r w:rsidR="004472F1" w:rsidRPr="003954D9">
        <w:t xml:space="preserve">Centrum och norra Hisingen medan följderna är mer begränsade i Lundby och </w:t>
      </w:r>
      <w:r w:rsidR="001A2E99" w:rsidRPr="003954D9">
        <w:t xml:space="preserve">Västra </w:t>
      </w:r>
      <w:r w:rsidR="004472F1" w:rsidRPr="003954D9">
        <w:t>Göteborg. Man kan alltså dra slutsatsen att de stadsdelar som drabbas hårdast redan idag har e</w:t>
      </w:r>
      <w:r w:rsidR="00E229CF" w:rsidRPr="003954D9">
        <w:t>tt</w:t>
      </w:r>
      <w:r w:rsidR="004472F1" w:rsidRPr="003954D9">
        <w:t xml:space="preserve"> stor</w:t>
      </w:r>
      <w:r w:rsidR="00E229CF" w:rsidRPr="003954D9">
        <w:t>t</w:t>
      </w:r>
      <w:r w:rsidR="004472F1" w:rsidRPr="003954D9">
        <w:t xml:space="preserve"> </w:t>
      </w:r>
      <w:r w:rsidR="00E229CF" w:rsidRPr="003954D9">
        <w:t xml:space="preserve">antal </w:t>
      </w:r>
      <w:r w:rsidR="004472F1" w:rsidRPr="003954D9">
        <w:t xml:space="preserve">hushåll </w:t>
      </w:r>
      <w:r w:rsidR="001A2E99" w:rsidRPr="003954D9">
        <w:t xml:space="preserve">som befinner sig i riskzonen. </w:t>
      </w:r>
      <w:r w:rsidR="00EA0F8B">
        <w:t>Se tabell 1:1.</w:t>
      </w:r>
    </w:p>
    <w:p w14:paraId="5831996C" w14:textId="3D330FBE" w:rsidR="00132997" w:rsidRPr="003954D9" w:rsidRDefault="001A2E99" w:rsidP="00EA0F8B">
      <w:pPr>
        <w:pStyle w:val="Rubrik5"/>
      </w:pPr>
      <w:bookmarkStart w:id="62" w:name="_Toc333795973"/>
      <w:bookmarkStart w:id="63" w:name="_Toc333796225"/>
      <w:r w:rsidRPr="003954D9">
        <w:lastRenderedPageBreak/>
        <w:t>Tabell 1:</w:t>
      </w:r>
      <w:r w:rsidR="00132997" w:rsidRPr="003954D9">
        <w:t>1 Ökning av antalet hushåll i riskzonen efter hyreshöjning</w:t>
      </w:r>
      <w:bookmarkEnd w:id="62"/>
      <w:bookmarkEnd w:id="63"/>
      <w:r w:rsidR="00132997" w:rsidRPr="003954D9">
        <w:t xml:space="preserve"> på 50 procent jämfört med idag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851"/>
        <w:gridCol w:w="708"/>
        <w:gridCol w:w="567"/>
      </w:tblGrid>
      <w:tr w:rsidR="00132997" w:rsidRPr="003954D9" w14:paraId="012B78E3" w14:textId="77777777" w:rsidTr="00132997">
        <w:trPr>
          <w:trHeight w:val="227"/>
        </w:trPr>
        <w:tc>
          <w:tcPr>
            <w:tcW w:w="1873" w:type="dxa"/>
            <w:vMerge w:val="restart"/>
          </w:tcPr>
          <w:p w14:paraId="01D7A100"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851" w:type="dxa"/>
          </w:tcPr>
          <w:p w14:paraId="48482B88"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Idag</w:t>
            </w:r>
          </w:p>
        </w:tc>
        <w:tc>
          <w:tcPr>
            <w:tcW w:w="1275" w:type="dxa"/>
            <w:gridSpan w:val="2"/>
          </w:tcPr>
          <w:p w14:paraId="13BAD288" w14:textId="7ECF4CEA"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Ökning </w:t>
            </w:r>
            <w:r w:rsidR="003954D9" w:rsidRPr="003954D9">
              <w:rPr>
                <w:rFonts w:ascii="Calibri" w:hAnsi="Calibri" w:cs="Calibri"/>
                <w:b/>
                <w:bCs/>
                <w:color w:val="000000"/>
                <w:sz w:val="16"/>
                <w:szCs w:val="16"/>
              </w:rPr>
              <w:t>vid 50</w:t>
            </w:r>
            <w:r w:rsidRPr="003954D9">
              <w:rPr>
                <w:rFonts w:ascii="Calibri" w:hAnsi="Calibri" w:cs="Calibri"/>
                <w:b/>
                <w:bCs/>
                <w:color w:val="000000"/>
                <w:sz w:val="16"/>
                <w:szCs w:val="16"/>
              </w:rPr>
              <w:t xml:space="preserve"> </w:t>
            </w:r>
            <w:r w:rsidR="00F32099" w:rsidRPr="003954D9">
              <w:rPr>
                <w:rFonts w:ascii="Calibri" w:hAnsi="Calibri" w:cs="Calibri"/>
                <w:b/>
                <w:bCs/>
                <w:color w:val="000000"/>
                <w:sz w:val="16"/>
                <w:szCs w:val="16"/>
              </w:rPr>
              <w:t>%</w:t>
            </w:r>
          </w:p>
        </w:tc>
      </w:tr>
      <w:tr w:rsidR="00132997" w:rsidRPr="003954D9" w14:paraId="24C807CE" w14:textId="77777777" w:rsidTr="00132997">
        <w:trPr>
          <w:trHeight w:val="227"/>
        </w:trPr>
        <w:tc>
          <w:tcPr>
            <w:tcW w:w="1873" w:type="dxa"/>
            <w:vMerge/>
          </w:tcPr>
          <w:p w14:paraId="7BC948E5" w14:textId="77777777" w:rsidR="00132997" w:rsidRPr="003954D9" w:rsidRDefault="00132997" w:rsidP="00132997">
            <w:pPr>
              <w:autoSpaceDE w:val="0"/>
              <w:autoSpaceDN w:val="0"/>
              <w:adjustRightInd w:val="0"/>
              <w:jc w:val="right"/>
              <w:rPr>
                <w:rFonts w:ascii="Calibri" w:hAnsi="Calibri" w:cs="Calibri"/>
                <w:b/>
                <w:bCs/>
                <w:color w:val="000000"/>
                <w:sz w:val="16"/>
                <w:szCs w:val="16"/>
              </w:rPr>
            </w:pPr>
          </w:p>
        </w:tc>
        <w:tc>
          <w:tcPr>
            <w:tcW w:w="851" w:type="dxa"/>
          </w:tcPr>
          <w:p w14:paraId="73FE6E61" w14:textId="77777777" w:rsidR="00132997" w:rsidRPr="003954D9" w:rsidRDefault="00132997"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708" w:type="dxa"/>
          </w:tcPr>
          <w:p w14:paraId="02DD67EB" w14:textId="77777777" w:rsidR="00132997" w:rsidRPr="003954D9" w:rsidRDefault="00132997"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567" w:type="dxa"/>
          </w:tcPr>
          <w:p w14:paraId="02E84C69" w14:textId="2AF54359" w:rsidR="00132997" w:rsidRPr="003954D9" w:rsidRDefault="00F32099"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w:t>
            </w:r>
          </w:p>
        </w:tc>
      </w:tr>
      <w:tr w:rsidR="00132997" w:rsidRPr="003954D9" w14:paraId="35A410D6" w14:textId="77777777" w:rsidTr="00132997">
        <w:trPr>
          <w:trHeight w:val="227"/>
        </w:trPr>
        <w:tc>
          <w:tcPr>
            <w:tcW w:w="1873" w:type="dxa"/>
          </w:tcPr>
          <w:p w14:paraId="28E02207"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51" w:type="dxa"/>
          </w:tcPr>
          <w:p w14:paraId="39864195"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862</w:t>
            </w:r>
          </w:p>
        </w:tc>
        <w:tc>
          <w:tcPr>
            <w:tcW w:w="708" w:type="dxa"/>
          </w:tcPr>
          <w:p w14:paraId="6E8EBF34"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959</w:t>
            </w:r>
          </w:p>
        </w:tc>
        <w:tc>
          <w:tcPr>
            <w:tcW w:w="567" w:type="dxa"/>
          </w:tcPr>
          <w:p w14:paraId="754A1211"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111</w:t>
            </w:r>
          </w:p>
        </w:tc>
      </w:tr>
      <w:tr w:rsidR="00132997" w:rsidRPr="003954D9" w14:paraId="76B36918" w14:textId="77777777" w:rsidTr="00132997">
        <w:trPr>
          <w:trHeight w:val="227"/>
        </w:trPr>
        <w:tc>
          <w:tcPr>
            <w:tcW w:w="1873" w:type="dxa"/>
          </w:tcPr>
          <w:p w14:paraId="7226A28D"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851" w:type="dxa"/>
          </w:tcPr>
          <w:p w14:paraId="4F36FFFF"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636</w:t>
            </w:r>
          </w:p>
        </w:tc>
        <w:tc>
          <w:tcPr>
            <w:tcW w:w="708" w:type="dxa"/>
          </w:tcPr>
          <w:p w14:paraId="0C07AE62"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748</w:t>
            </w:r>
          </w:p>
        </w:tc>
        <w:tc>
          <w:tcPr>
            <w:tcW w:w="567" w:type="dxa"/>
          </w:tcPr>
          <w:p w14:paraId="1DB9A9C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118</w:t>
            </w:r>
          </w:p>
        </w:tc>
      </w:tr>
      <w:tr w:rsidR="00132997" w:rsidRPr="003954D9" w14:paraId="0DCA9DA5" w14:textId="77777777" w:rsidTr="00132997">
        <w:trPr>
          <w:trHeight w:val="227"/>
        </w:trPr>
        <w:tc>
          <w:tcPr>
            <w:tcW w:w="1873" w:type="dxa"/>
          </w:tcPr>
          <w:p w14:paraId="5BD3BF32"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51" w:type="dxa"/>
          </w:tcPr>
          <w:p w14:paraId="655AB635"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434</w:t>
            </w:r>
          </w:p>
        </w:tc>
        <w:tc>
          <w:tcPr>
            <w:tcW w:w="708" w:type="dxa"/>
          </w:tcPr>
          <w:p w14:paraId="640CEF4F"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601</w:t>
            </w:r>
          </w:p>
        </w:tc>
        <w:tc>
          <w:tcPr>
            <w:tcW w:w="567" w:type="dxa"/>
          </w:tcPr>
          <w:p w14:paraId="5F45A4A8"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w:t>
            </w:r>
          </w:p>
        </w:tc>
      </w:tr>
      <w:tr w:rsidR="00132997" w:rsidRPr="003954D9" w14:paraId="4502C4FE" w14:textId="77777777" w:rsidTr="00132997">
        <w:trPr>
          <w:trHeight w:val="227"/>
        </w:trPr>
        <w:tc>
          <w:tcPr>
            <w:tcW w:w="1873" w:type="dxa"/>
          </w:tcPr>
          <w:p w14:paraId="310E89E6"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51" w:type="dxa"/>
          </w:tcPr>
          <w:p w14:paraId="15CD16EC"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708" w:type="dxa"/>
          </w:tcPr>
          <w:p w14:paraId="77F51174"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491</w:t>
            </w:r>
          </w:p>
        </w:tc>
        <w:tc>
          <w:tcPr>
            <w:tcW w:w="567" w:type="dxa"/>
          </w:tcPr>
          <w:p w14:paraId="0FAB986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r>
      <w:tr w:rsidR="00132997" w:rsidRPr="003954D9" w14:paraId="5D926624" w14:textId="77777777" w:rsidTr="00132997">
        <w:trPr>
          <w:trHeight w:val="227"/>
        </w:trPr>
        <w:tc>
          <w:tcPr>
            <w:tcW w:w="1873" w:type="dxa"/>
          </w:tcPr>
          <w:p w14:paraId="164C1DBE"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851" w:type="dxa"/>
          </w:tcPr>
          <w:p w14:paraId="011DB0DC"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289</w:t>
            </w:r>
          </w:p>
        </w:tc>
        <w:tc>
          <w:tcPr>
            <w:tcW w:w="708" w:type="dxa"/>
          </w:tcPr>
          <w:p w14:paraId="6B168930"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567" w:type="dxa"/>
          </w:tcPr>
          <w:p w14:paraId="5A99E927"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129</w:t>
            </w:r>
          </w:p>
        </w:tc>
      </w:tr>
      <w:tr w:rsidR="00132997" w:rsidRPr="003954D9" w14:paraId="3BC8C4F5" w14:textId="77777777" w:rsidTr="00132997">
        <w:trPr>
          <w:trHeight w:val="227"/>
        </w:trPr>
        <w:tc>
          <w:tcPr>
            <w:tcW w:w="1873" w:type="dxa"/>
          </w:tcPr>
          <w:p w14:paraId="54655F46"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Pr>
          <w:p w14:paraId="5004E55C"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255</w:t>
            </w:r>
          </w:p>
        </w:tc>
        <w:tc>
          <w:tcPr>
            <w:tcW w:w="708" w:type="dxa"/>
          </w:tcPr>
          <w:p w14:paraId="66DFC799"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342</w:t>
            </w:r>
          </w:p>
        </w:tc>
        <w:tc>
          <w:tcPr>
            <w:tcW w:w="567" w:type="dxa"/>
          </w:tcPr>
          <w:p w14:paraId="31F915DE"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134</w:t>
            </w:r>
          </w:p>
        </w:tc>
      </w:tr>
      <w:tr w:rsidR="00132997" w:rsidRPr="003954D9" w14:paraId="2BF41BE6" w14:textId="77777777" w:rsidTr="00132997">
        <w:trPr>
          <w:trHeight w:val="227"/>
        </w:trPr>
        <w:tc>
          <w:tcPr>
            <w:tcW w:w="1873" w:type="dxa"/>
          </w:tcPr>
          <w:p w14:paraId="2038C6A5"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851" w:type="dxa"/>
          </w:tcPr>
          <w:p w14:paraId="3D29610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708" w:type="dxa"/>
          </w:tcPr>
          <w:p w14:paraId="777C7FD7"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314</w:t>
            </w:r>
          </w:p>
        </w:tc>
        <w:tc>
          <w:tcPr>
            <w:tcW w:w="567" w:type="dxa"/>
          </w:tcPr>
          <w:p w14:paraId="7E4158AF"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131</w:t>
            </w:r>
          </w:p>
        </w:tc>
      </w:tr>
      <w:tr w:rsidR="00132997" w:rsidRPr="003954D9" w14:paraId="313AB4ED" w14:textId="77777777" w:rsidTr="00132997">
        <w:trPr>
          <w:trHeight w:val="227"/>
        </w:trPr>
        <w:tc>
          <w:tcPr>
            <w:tcW w:w="1873" w:type="dxa"/>
          </w:tcPr>
          <w:p w14:paraId="4EDF16CD"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51" w:type="dxa"/>
          </w:tcPr>
          <w:p w14:paraId="5F7AA4E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193</w:t>
            </w:r>
          </w:p>
        </w:tc>
        <w:tc>
          <w:tcPr>
            <w:tcW w:w="708" w:type="dxa"/>
          </w:tcPr>
          <w:p w14:paraId="7F159B2B"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232</w:t>
            </w:r>
          </w:p>
        </w:tc>
        <w:tc>
          <w:tcPr>
            <w:tcW w:w="567" w:type="dxa"/>
          </w:tcPr>
          <w:p w14:paraId="7AEEAB9E"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120</w:t>
            </w:r>
          </w:p>
        </w:tc>
      </w:tr>
      <w:tr w:rsidR="00132997" w:rsidRPr="003954D9" w14:paraId="72219874" w14:textId="77777777" w:rsidTr="00132997">
        <w:trPr>
          <w:trHeight w:val="227"/>
        </w:trPr>
        <w:tc>
          <w:tcPr>
            <w:tcW w:w="1873" w:type="dxa"/>
          </w:tcPr>
          <w:p w14:paraId="343BAA8F"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51" w:type="dxa"/>
          </w:tcPr>
          <w:p w14:paraId="700B0E35"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708" w:type="dxa"/>
          </w:tcPr>
          <w:p w14:paraId="732CF46C"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113</w:t>
            </w:r>
          </w:p>
        </w:tc>
        <w:tc>
          <w:tcPr>
            <w:tcW w:w="567" w:type="dxa"/>
          </w:tcPr>
          <w:p w14:paraId="1EA9C61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90</w:t>
            </w:r>
          </w:p>
        </w:tc>
      </w:tr>
      <w:tr w:rsidR="00132997" w:rsidRPr="003954D9" w14:paraId="735C5598" w14:textId="77777777" w:rsidTr="00132997">
        <w:trPr>
          <w:trHeight w:val="227"/>
        </w:trPr>
        <w:tc>
          <w:tcPr>
            <w:tcW w:w="1873" w:type="dxa"/>
          </w:tcPr>
          <w:p w14:paraId="0DE27F26"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51" w:type="dxa"/>
          </w:tcPr>
          <w:p w14:paraId="45348296"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708" w:type="dxa"/>
          </w:tcPr>
          <w:p w14:paraId="0A828DA9"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47</w:t>
            </w:r>
          </w:p>
        </w:tc>
        <w:tc>
          <w:tcPr>
            <w:tcW w:w="567" w:type="dxa"/>
          </w:tcPr>
          <w:p w14:paraId="4D8145B7"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181</w:t>
            </w:r>
          </w:p>
        </w:tc>
      </w:tr>
    </w:tbl>
    <w:p w14:paraId="70E0E086" w14:textId="208048E0" w:rsidR="004472F1" w:rsidRPr="003954D9" w:rsidRDefault="004472F1" w:rsidP="00DD51D3">
      <w:pPr>
        <w:pStyle w:val="Rubrik3"/>
      </w:pPr>
      <w:bookmarkStart w:id="64" w:name="_Toc463184390"/>
      <w:bookmarkStart w:id="65" w:name="_Toc464828395"/>
      <w:r w:rsidRPr="003954D9">
        <w:t>Höjning 25 procent</w:t>
      </w:r>
      <w:bookmarkEnd w:id="64"/>
      <w:bookmarkEnd w:id="65"/>
    </w:p>
    <w:p w14:paraId="069B07ED" w14:textId="048BBB16" w:rsidR="00FA5446" w:rsidRPr="003954D9" w:rsidRDefault="00FA5446" w:rsidP="00DD51D3">
      <w:pPr>
        <w:pStyle w:val="Rubrik4"/>
      </w:pPr>
      <w:r w:rsidRPr="003954D9">
        <w:t>Nivå totalt</w:t>
      </w:r>
    </w:p>
    <w:p w14:paraId="3F75B06A" w14:textId="62136B3E" w:rsidR="009A20A3" w:rsidRPr="003954D9" w:rsidRDefault="00A81559" w:rsidP="007F3844">
      <w:pPr>
        <w:autoSpaceDE w:val="0"/>
        <w:autoSpaceDN w:val="0"/>
        <w:adjustRightInd w:val="0"/>
      </w:pPr>
      <w:r w:rsidRPr="003954D9">
        <w:t xml:space="preserve">Angered är </w:t>
      </w:r>
      <w:r w:rsidR="00430B97" w:rsidRPr="003954D9">
        <w:t xml:space="preserve">den enda stadsdelen där </w:t>
      </w:r>
      <w:r w:rsidRPr="003954D9">
        <w:t xml:space="preserve">andelen som riskerar att tvingas flytta </w:t>
      </w:r>
      <w:r w:rsidR="00430B97" w:rsidRPr="003954D9">
        <w:t xml:space="preserve">är </w:t>
      </w:r>
      <w:r w:rsidRPr="003954D9">
        <w:t>högre än 30 procent</w:t>
      </w:r>
      <w:r w:rsidR="007F3844" w:rsidRPr="003954D9">
        <w:t xml:space="preserve">. I Östra Göteborg, Västra Hisingen, Askim-Frölunda-Högsbo och Norra Hisingen ligger andelen på mellan 30 procent och 20 procent. I Lundby, Centrum, Majorna-Linnéstaden, Örgryte-Härlanda och Västra Göteborg ligger andelen på mellan 20 och 15 procent. </w:t>
      </w:r>
    </w:p>
    <w:p w14:paraId="3F67BCE4" w14:textId="1834AEA1" w:rsidR="009A20A3" w:rsidRPr="003954D9" w:rsidRDefault="00A30148" w:rsidP="007F3844">
      <w:pPr>
        <w:autoSpaceDE w:val="0"/>
        <w:autoSpaceDN w:val="0"/>
        <w:adjustRightInd w:val="0"/>
      </w:pPr>
      <w:r w:rsidRPr="003954D9">
        <w:t>Förändringarna jämfört med en hyreshöjning på 50 procent är marginella</w:t>
      </w:r>
      <w:r w:rsidR="00430B97" w:rsidRPr="003954D9">
        <w:t xml:space="preserve"> – d</w:t>
      </w:r>
      <w:r w:rsidR="00F736CE" w:rsidRPr="003954D9">
        <w:t xml:space="preserve">e mest utsatta stadsdelarna är desamma och Västra Göteborg kommer bäst ut. Det är i mellangruppen tågordningen förändras. Lundby och Norra Hisingen byter plats med Majorna-Linnéstaden och Örgryte Härlanda. </w:t>
      </w:r>
    </w:p>
    <w:p w14:paraId="6A906DEA" w14:textId="09C653BE" w:rsidR="00E00F9D" w:rsidRPr="003954D9" w:rsidRDefault="00705C77" w:rsidP="007F3844">
      <w:pPr>
        <w:autoSpaceDE w:val="0"/>
        <w:autoSpaceDN w:val="0"/>
        <w:adjustRightInd w:val="0"/>
      </w:pPr>
      <w:r w:rsidRPr="003954D9">
        <w:t xml:space="preserve">Ser man till antalet är ordningen densamma som vid 50 procents hyreshöjning. I Angered och Östra Göteborg ligger antalet på nära 1 400 respektive drygt tusen. Västra Hisingen ligger i intervallet 1000 – 500 hushåll medan Majorna-Linnestaden, Örgryte-Härlanda, Centrum och Norra Hisingen och Lundby ligger under 500 och Västra Göteborg som väntat under 100. </w:t>
      </w:r>
    </w:p>
    <w:p w14:paraId="7F94E001" w14:textId="77777777" w:rsidR="00FA5446" w:rsidRPr="003954D9" w:rsidRDefault="00FA5446" w:rsidP="007F3844">
      <w:pPr>
        <w:autoSpaceDE w:val="0"/>
        <w:autoSpaceDN w:val="0"/>
        <w:adjustRightInd w:val="0"/>
      </w:pPr>
    </w:p>
    <w:p w14:paraId="0D627C3B" w14:textId="65D44D82" w:rsidR="00FA5446" w:rsidRPr="003954D9" w:rsidRDefault="00FA5446" w:rsidP="00DD51D3">
      <w:pPr>
        <w:pStyle w:val="Rubrik4"/>
      </w:pPr>
      <w:r w:rsidRPr="003954D9">
        <w:t xml:space="preserve">Jämfört med 50 </w:t>
      </w:r>
      <w:r w:rsidR="00475673" w:rsidRPr="003954D9">
        <w:t>procent</w:t>
      </w:r>
    </w:p>
    <w:p w14:paraId="72DD349D" w14:textId="77777777" w:rsidR="0020437F" w:rsidRPr="003954D9" w:rsidRDefault="009A20A3" w:rsidP="00F37E3B">
      <w:pPr>
        <w:autoSpaceDE w:val="0"/>
        <w:autoSpaceDN w:val="0"/>
        <w:adjustRightInd w:val="0"/>
      </w:pPr>
      <w:r w:rsidRPr="003954D9">
        <w:t xml:space="preserve">Intressant är att </w:t>
      </w:r>
      <w:r w:rsidR="00F37E3B" w:rsidRPr="003954D9">
        <w:t xml:space="preserve">en halvering av hyreshöjningen inte leder till en halvering av antalet som hamnar i riskzonen. Vid 25 procents hyreshöjning är antalet som tvingas flytta ungefär tre fjärdedelar av antalet som riskerar att tvingas flytta vid 50 </w:t>
      </w:r>
      <w:r w:rsidR="00475673" w:rsidRPr="003954D9">
        <w:t>procent</w:t>
      </w:r>
      <w:r w:rsidR="00F37E3B" w:rsidRPr="003954D9">
        <w:t xml:space="preserve"> hyreshöjning. </w:t>
      </w:r>
      <w:r w:rsidR="00484059" w:rsidRPr="003954D9">
        <w:t xml:space="preserve">I Angered ligger antalet som </w:t>
      </w:r>
      <w:r w:rsidR="00F37E3B" w:rsidRPr="003954D9">
        <w:t xml:space="preserve">högst på </w:t>
      </w:r>
      <w:r w:rsidR="00484059" w:rsidRPr="003954D9">
        <w:t xml:space="preserve">76 procent </w:t>
      </w:r>
      <w:r w:rsidR="00C42B04" w:rsidRPr="003954D9">
        <w:t xml:space="preserve">och </w:t>
      </w:r>
      <w:r w:rsidR="00B760A2" w:rsidRPr="003954D9">
        <w:t>bara tre stadsdelar ligger under 70 procent. Örgryte-Härlanda och Västra</w:t>
      </w:r>
      <w:r w:rsidR="00E00F9D" w:rsidRPr="003954D9">
        <w:t xml:space="preserve"> Göteborg ligger på 67 procent </w:t>
      </w:r>
      <w:r w:rsidR="00B760A2" w:rsidRPr="003954D9">
        <w:t>samt Centrum på 43 procent.</w:t>
      </w:r>
    </w:p>
    <w:p w14:paraId="2D0A3EB7" w14:textId="3E80E373" w:rsidR="00C8268E" w:rsidRPr="003954D9" w:rsidRDefault="0020437F" w:rsidP="00F37E3B">
      <w:pPr>
        <w:autoSpaceDE w:val="0"/>
        <w:autoSpaceDN w:val="0"/>
        <w:adjustRightInd w:val="0"/>
      </w:pPr>
      <w:r w:rsidRPr="003954D9">
        <w:t xml:space="preserve">Redan vid 25 procent finns många hushåll i riskzonen. Toleransnivån för hyreshöjningar kan förmodas ligga betydligt lägre än 25 procent.   </w:t>
      </w:r>
      <w:r w:rsidR="00EA0F8B">
        <w:t>Se tabell 1:2.</w:t>
      </w:r>
      <w:r w:rsidR="000A0471" w:rsidRPr="003954D9">
        <w:t xml:space="preserve"> </w:t>
      </w:r>
    </w:p>
    <w:p w14:paraId="137F7C2C" w14:textId="77777777" w:rsidR="00132997" w:rsidRPr="003954D9" w:rsidRDefault="00132997" w:rsidP="00132997">
      <w:pPr>
        <w:pStyle w:val="Rubrik5"/>
        <w:spacing w:before="0"/>
        <w:rPr>
          <w:rFonts w:asciiTheme="minorHAnsi" w:eastAsiaTheme="minorEastAsia" w:hAnsiTheme="minorHAnsi" w:cstheme="minorBidi"/>
          <w:color w:val="auto"/>
        </w:rPr>
      </w:pPr>
    </w:p>
    <w:p w14:paraId="27E9F271" w14:textId="46610812" w:rsidR="00132997" w:rsidRPr="003954D9" w:rsidRDefault="00132997" w:rsidP="00132997">
      <w:pPr>
        <w:pStyle w:val="Rubrik5"/>
        <w:spacing w:before="0"/>
        <w:rPr>
          <w:sz w:val="23"/>
        </w:rPr>
      </w:pPr>
      <w:r w:rsidRPr="003954D9">
        <w:rPr>
          <w:sz w:val="23"/>
        </w:rPr>
        <w:t xml:space="preserve">Tabell 1:2 Hushåll som ligger i riskzonen vid 25 och 50 procents hyreshöjning </w:t>
      </w:r>
    </w:p>
    <w:tbl>
      <w:tblPr>
        <w:tblW w:w="0" w:type="auto"/>
        <w:tblInd w:w="70" w:type="dxa"/>
        <w:tblLayout w:type="fixed"/>
        <w:tblCellMar>
          <w:left w:w="70" w:type="dxa"/>
          <w:right w:w="70" w:type="dxa"/>
        </w:tblCellMar>
        <w:tblLook w:val="0000" w:firstRow="0" w:lastRow="0" w:firstColumn="0" w:lastColumn="0" w:noHBand="0" w:noVBand="0"/>
      </w:tblPr>
      <w:tblGrid>
        <w:gridCol w:w="1765"/>
        <w:gridCol w:w="851"/>
        <w:gridCol w:w="850"/>
        <w:gridCol w:w="1134"/>
      </w:tblGrid>
      <w:tr w:rsidR="00132997" w:rsidRPr="003954D9" w14:paraId="0DE58F41" w14:textId="77777777" w:rsidTr="002F06B1">
        <w:trPr>
          <w:trHeight w:val="227"/>
        </w:trPr>
        <w:tc>
          <w:tcPr>
            <w:tcW w:w="1765" w:type="dxa"/>
            <w:vMerge w:val="restart"/>
            <w:tcBorders>
              <w:top w:val="single" w:sz="6" w:space="0" w:color="auto"/>
              <w:left w:val="single" w:sz="6" w:space="0" w:color="auto"/>
              <w:right w:val="single" w:sz="6" w:space="0" w:color="auto"/>
            </w:tcBorders>
          </w:tcPr>
          <w:p w14:paraId="55069657"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851" w:type="dxa"/>
            <w:tcBorders>
              <w:top w:val="single" w:sz="6" w:space="0" w:color="auto"/>
              <w:left w:val="single" w:sz="6" w:space="0" w:color="auto"/>
              <w:bottom w:val="single" w:sz="6" w:space="0" w:color="auto"/>
              <w:right w:val="single" w:sz="6" w:space="0" w:color="auto"/>
            </w:tcBorders>
          </w:tcPr>
          <w:p w14:paraId="78C277C5" w14:textId="7456CDB0"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Höjning 25</w:t>
            </w:r>
            <w:r w:rsidR="00577187" w:rsidRPr="003954D9">
              <w:rPr>
                <w:rFonts w:ascii="Calibri" w:hAnsi="Calibri" w:cs="Calibri"/>
                <w:b/>
                <w:bCs/>
                <w:color w:val="000000"/>
                <w:sz w:val="16"/>
                <w:szCs w:val="16"/>
              </w:rPr>
              <w:t xml:space="preserve"> %</w:t>
            </w:r>
          </w:p>
        </w:tc>
        <w:tc>
          <w:tcPr>
            <w:tcW w:w="850" w:type="dxa"/>
            <w:tcBorders>
              <w:top w:val="single" w:sz="6" w:space="0" w:color="auto"/>
              <w:left w:val="single" w:sz="6" w:space="0" w:color="auto"/>
              <w:bottom w:val="single" w:sz="6" w:space="0" w:color="auto"/>
              <w:right w:val="single" w:sz="6" w:space="0" w:color="auto"/>
            </w:tcBorders>
          </w:tcPr>
          <w:p w14:paraId="5779BD8C" w14:textId="6696E8E5"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Höjning 50</w:t>
            </w:r>
            <w:r w:rsidR="00577187" w:rsidRPr="003954D9">
              <w:rPr>
                <w:rFonts w:ascii="Calibri" w:hAnsi="Calibri" w:cs="Calibri"/>
                <w:b/>
                <w:bCs/>
                <w:color w:val="000000"/>
                <w:sz w:val="16"/>
                <w:szCs w:val="16"/>
              </w:rPr>
              <w:t xml:space="preserve"> %</w:t>
            </w:r>
          </w:p>
        </w:tc>
        <w:tc>
          <w:tcPr>
            <w:tcW w:w="1134" w:type="dxa"/>
            <w:tcBorders>
              <w:top w:val="single" w:sz="6" w:space="0" w:color="auto"/>
              <w:left w:val="single" w:sz="6" w:space="0" w:color="auto"/>
              <w:bottom w:val="single" w:sz="6" w:space="0" w:color="auto"/>
              <w:right w:val="single" w:sz="6" w:space="0" w:color="auto"/>
            </w:tcBorders>
          </w:tcPr>
          <w:p w14:paraId="5C3FE735" w14:textId="7515AE9A" w:rsidR="00577187" w:rsidRPr="003954D9" w:rsidRDefault="0057718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Höjning</w:t>
            </w:r>
            <w:r w:rsidR="00B978BC">
              <w:rPr>
                <w:rFonts w:ascii="Calibri" w:hAnsi="Calibri" w:cs="Calibri"/>
                <w:b/>
                <w:bCs/>
                <w:color w:val="000000"/>
                <w:sz w:val="16"/>
                <w:szCs w:val="16"/>
              </w:rPr>
              <w:t xml:space="preserve"> </w:t>
            </w:r>
            <w:r w:rsidR="00132997" w:rsidRPr="003954D9">
              <w:rPr>
                <w:rFonts w:ascii="Calibri" w:hAnsi="Calibri" w:cs="Calibri"/>
                <w:b/>
                <w:bCs/>
                <w:color w:val="000000"/>
                <w:sz w:val="16"/>
                <w:szCs w:val="16"/>
              </w:rPr>
              <w:t>25</w:t>
            </w:r>
            <w:r w:rsidRPr="003954D9">
              <w:rPr>
                <w:rFonts w:ascii="Calibri" w:hAnsi="Calibri" w:cs="Calibri"/>
                <w:b/>
                <w:bCs/>
                <w:color w:val="000000"/>
                <w:sz w:val="16"/>
                <w:szCs w:val="16"/>
              </w:rPr>
              <w:t xml:space="preserve"> </w:t>
            </w:r>
            <w:r w:rsidR="003954D9" w:rsidRPr="003954D9">
              <w:rPr>
                <w:rFonts w:ascii="Calibri" w:hAnsi="Calibri" w:cs="Calibri"/>
                <w:b/>
                <w:bCs/>
                <w:color w:val="000000"/>
                <w:sz w:val="16"/>
                <w:szCs w:val="16"/>
              </w:rPr>
              <w:t>%</w:t>
            </w:r>
            <w:r w:rsidR="00B978BC">
              <w:rPr>
                <w:rFonts w:ascii="Calibri" w:hAnsi="Calibri" w:cs="Calibri"/>
                <w:b/>
                <w:bCs/>
                <w:color w:val="000000"/>
                <w:sz w:val="16"/>
                <w:szCs w:val="16"/>
              </w:rPr>
              <w:t>/</w:t>
            </w:r>
          </w:p>
          <w:p w14:paraId="74697CCC" w14:textId="3FFA016E" w:rsidR="00132997" w:rsidRPr="003954D9" w:rsidRDefault="00B978BC"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w:t>
            </w:r>
            <w:r w:rsidR="00577187" w:rsidRPr="003954D9">
              <w:rPr>
                <w:rFonts w:ascii="Calibri" w:hAnsi="Calibri" w:cs="Calibri"/>
                <w:b/>
                <w:bCs/>
                <w:color w:val="000000"/>
                <w:sz w:val="16"/>
                <w:szCs w:val="16"/>
              </w:rPr>
              <w:t>öjning</w:t>
            </w:r>
            <w:r>
              <w:rPr>
                <w:rFonts w:ascii="Calibri" w:hAnsi="Calibri" w:cs="Calibri"/>
                <w:b/>
                <w:bCs/>
                <w:color w:val="000000"/>
                <w:sz w:val="16"/>
                <w:szCs w:val="16"/>
              </w:rPr>
              <w:t xml:space="preserve"> </w:t>
            </w:r>
            <w:r w:rsidR="00132997" w:rsidRPr="003954D9">
              <w:rPr>
                <w:rFonts w:ascii="Calibri" w:hAnsi="Calibri" w:cs="Calibri"/>
                <w:b/>
                <w:bCs/>
                <w:color w:val="000000"/>
                <w:sz w:val="16"/>
                <w:szCs w:val="16"/>
              </w:rPr>
              <w:t>50</w:t>
            </w:r>
            <w:r w:rsidR="00577187" w:rsidRPr="003954D9">
              <w:rPr>
                <w:rFonts w:ascii="Calibri" w:hAnsi="Calibri" w:cs="Calibri"/>
                <w:b/>
                <w:bCs/>
                <w:color w:val="000000"/>
                <w:sz w:val="16"/>
                <w:szCs w:val="16"/>
              </w:rPr>
              <w:t xml:space="preserve"> %</w:t>
            </w:r>
          </w:p>
        </w:tc>
      </w:tr>
      <w:tr w:rsidR="00132997" w:rsidRPr="003954D9" w14:paraId="7A896B9C" w14:textId="77777777" w:rsidTr="002F06B1">
        <w:trPr>
          <w:trHeight w:val="227"/>
        </w:trPr>
        <w:tc>
          <w:tcPr>
            <w:tcW w:w="1765" w:type="dxa"/>
            <w:vMerge/>
            <w:tcBorders>
              <w:left w:val="single" w:sz="6" w:space="0" w:color="auto"/>
              <w:bottom w:val="single" w:sz="6" w:space="0" w:color="auto"/>
              <w:right w:val="single" w:sz="6" w:space="0" w:color="auto"/>
            </w:tcBorders>
          </w:tcPr>
          <w:p w14:paraId="3AB56EE1" w14:textId="77777777" w:rsidR="00132997" w:rsidRPr="003954D9" w:rsidRDefault="00132997" w:rsidP="00132997">
            <w:pPr>
              <w:autoSpaceDE w:val="0"/>
              <w:autoSpaceDN w:val="0"/>
              <w:adjustRightInd w:val="0"/>
              <w:jc w:val="right"/>
              <w:rPr>
                <w:rFonts w:ascii="Calibri" w:hAnsi="Calibri" w:cs="Calibri"/>
                <w:color w:val="000000"/>
                <w:sz w:val="22"/>
                <w:szCs w:val="22"/>
              </w:rPr>
            </w:pPr>
          </w:p>
        </w:tc>
        <w:tc>
          <w:tcPr>
            <w:tcW w:w="851" w:type="dxa"/>
            <w:tcBorders>
              <w:top w:val="single" w:sz="6" w:space="0" w:color="auto"/>
              <w:left w:val="single" w:sz="6" w:space="0" w:color="auto"/>
              <w:bottom w:val="single" w:sz="6" w:space="0" w:color="auto"/>
              <w:right w:val="single" w:sz="6" w:space="0" w:color="auto"/>
            </w:tcBorders>
          </w:tcPr>
          <w:p w14:paraId="5D6B8567" w14:textId="77777777" w:rsidR="00132997" w:rsidRPr="003954D9" w:rsidRDefault="00132997"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850" w:type="dxa"/>
            <w:tcBorders>
              <w:top w:val="single" w:sz="6" w:space="0" w:color="auto"/>
              <w:left w:val="single" w:sz="6" w:space="0" w:color="auto"/>
              <w:bottom w:val="single" w:sz="6" w:space="0" w:color="auto"/>
              <w:right w:val="single" w:sz="6" w:space="0" w:color="auto"/>
            </w:tcBorders>
          </w:tcPr>
          <w:p w14:paraId="00E9AE31" w14:textId="77777777" w:rsidR="00132997" w:rsidRPr="003954D9" w:rsidRDefault="00132997"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1134" w:type="dxa"/>
            <w:tcBorders>
              <w:top w:val="single" w:sz="6" w:space="0" w:color="auto"/>
              <w:left w:val="single" w:sz="6" w:space="0" w:color="auto"/>
              <w:bottom w:val="single" w:sz="6" w:space="0" w:color="auto"/>
              <w:right w:val="single" w:sz="6" w:space="0" w:color="auto"/>
            </w:tcBorders>
          </w:tcPr>
          <w:p w14:paraId="1FCC4540" w14:textId="78B161C6" w:rsidR="00132997" w:rsidRPr="003954D9" w:rsidRDefault="00577187"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w:t>
            </w:r>
          </w:p>
        </w:tc>
      </w:tr>
      <w:tr w:rsidR="00132997" w:rsidRPr="003954D9" w14:paraId="70152B9B" w14:textId="77777777" w:rsidTr="002F06B1">
        <w:trPr>
          <w:trHeight w:val="227"/>
        </w:trPr>
        <w:tc>
          <w:tcPr>
            <w:tcW w:w="1765" w:type="dxa"/>
            <w:tcBorders>
              <w:top w:val="single" w:sz="6" w:space="0" w:color="auto"/>
              <w:left w:val="single" w:sz="6" w:space="0" w:color="auto"/>
              <w:bottom w:val="single" w:sz="6" w:space="0" w:color="auto"/>
              <w:right w:val="single" w:sz="6" w:space="0" w:color="auto"/>
            </w:tcBorders>
          </w:tcPr>
          <w:p w14:paraId="04F23055"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51" w:type="dxa"/>
            <w:tcBorders>
              <w:top w:val="single" w:sz="6" w:space="0" w:color="auto"/>
              <w:left w:val="single" w:sz="6" w:space="0" w:color="auto"/>
              <w:bottom w:val="single" w:sz="6" w:space="0" w:color="auto"/>
              <w:right w:val="single" w:sz="6" w:space="0" w:color="auto"/>
            </w:tcBorders>
          </w:tcPr>
          <w:p w14:paraId="5A34D0EB"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1385</w:t>
            </w:r>
          </w:p>
        </w:tc>
        <w:tc>
          <w:tcPr>
            <w:tcW w:w="850" w:type="dxa"/>
            <w:tcBorders>
              <w:top w:val="single" w:sz="6" w:space="0" w:color="auto"/>
              <w:left w:val="single" w:sz="6" w:space="0" w:color="auto"/>
              <w:bottom w:val="single" w:sz="6" w:space="0" w:color="auto"/>
              <w:right w:val="single" w:sz="6" w:space="0" w:color="auto"/>
            </w:tcBorders>
          </w:tcPr>
          <w:p w14:paraId="373FAF5F"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1 821</w:t>
            </w:r>
          </w:p>
        </w:tc>
        <w:tc>
          <w:tcPr>
            <w:tcW w:w="1134" w:type="dxa"/>
            <w:tcBorders>
              <w:top w:val="single" w:sz="6" w:space="0" w:color="auto"/>
              <w:left w:val="single" w:sz="6" w:space="0" w:color="auto"/>
              <w:bottom w:val="single" w:sz="6" w:space="0" w:color="auto"/>
              <w:right w:val="single" w:sz="6" w:space="0" w:color="auto"/>
            </w:tcBorders>
          </w:tcPr>
          <w:p w14:paraId="2137ADD9"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76</w:t>
            </w:r>
          </w:p>
        </w:tc>
      </w:tr>
      <w:tr w:rsidR="00132997" w:rsidRPr="003954D9" w14:paraId="220D7566" w14:textId="77777777" w:rsidTr="002F06B1">
        <w:trPr>
          <w:trHeight w:val="227"/>
        </w:trPr>
        <w:tc>
          <w:tcPr>
            <w:tcW w:w="1765" w:type="dxa"/>
            <w:tcBorders>
              <w:top w:val="single" w:sz="6" w:space="0" w:color="auto"/>
              <w:left w:val="single" w:sz="6" w:space="0" w:color="auto"/>
              <w:bottom w:val="single" w:sz="6" w:space="0" w:color="auto"/>
              <w:right w:val="single" w:sz="6" w:space="0" w:color="auto"/>
            </w:tcBorders>
          </w:tcPr>
          <w:p w14:paraId="7736C7FA"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51" w:type="dxa"/>
            <w:tcBorders>
              <w:top w:val="single" w:sz="6" w:space="0" w:color="auto"/>
              <w:left w:val="single" w:sz="6" w:space="0" w:color="auto"/>
              <w:bottom w:val="single" w:sz="6" w:space="0" w:color="auto"/>
              <w:right w:val="single" w:sz="6" w:space="0" w:color="auto"/>
            </w:tcBorders>
          </w:tcPr>
          <w:p w14:paraId="0BA2A69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178</w:t>
            </w:r>
          </w:p>
        </w:tc>
        <w:tc>
          <w:tcPr>
            <w:tcW w:w="850" w:type="dxa"/>
            <w:tcBorders>
              <w:top w:val="single" w:sz="6" w:space="0" w:color="auto"/>
              <w:left w:val="single" w:sz="6" w:space="0" w:color="auto"/>
              <w:bottom w:val="single" w:sz="6" w:space="0" w:color="auto"/>
              <w:right w:val="single" w:sz="6" w:space="0" w:color="auto"/>
            </w:tcBorders>
          </w:tcPr>
          <w:p w14:paraId="79DE2142"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238</w:t>
            </w:r>
          </w:p>
        </w:tc>
        <w:tc>
          <w:tcPr>
            <w:tcW w:w="1134" w:type="dxa"/>
            <w:tcBorders>
              <w:top w:val="single" w:sz="6" w:space="0" w:color="auto"/>
              <w:left w:val="single" w:sz="6" w:space="0" w:color="auto"/>
              <w:bottom w:val="single" w:sz="6" w:space="0" w:color="auto"/>
              <w:right w:val="single" w:sz="6" w:space="0" w:color="auto"/>
            </w:tcBorders>
          </w:tcPr>
          <w:p w14:paraId="59AECD79"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75</w:t>
            </w:r>
          </w:p>
        </w:tc>
      </w:tr>
      <w:tr w:rsidR="00132997" w:rsidRPr="003954D9" w14:paraId="25B76702" w14:textId="77777777" w:rsidTr="002F06B1">
        <w:trPr>
          <w:trHeight w:val="227"/>
        </w:trPr>
        <w:tc>
          <w:tcPr>
            <w:tcW w:w="1765" w:type="dxa"/>
            <w:tcBorders>
              <w:top w:val="single" w:sz="6" w:space="0" w:color="auto"/>
              <w:left w:val="single" w:sz="6" w:space="0" w:color="auto"/>
              <w:bottom w:val="single" w:sz="6" w:space="0" w:color="auto"/>
              <w:right w:val="single" w:sz="6" w:space="0" w:color="auto"/>
            </w:tcBorders>
          </w:tcPr>
          <w:p w14:paraId="795D86BE"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851" w:type="dxa"/>
            <w:tcBorders>
              <w:top w:val="single" w:sz="6" w:space="0" w:color="auto"/>
              <w:left w:val="single" w:sz="6" w:space="0" w:color="auto"/>
              <w:bottom w:val="single" w:sz="6" w:space="0" w:color="auto"/>
              <w:right w:val="single" w:sz="6" w:space="0" w:color="auto"/>
            </w:tcBorders>
          </w:tcPr>
          <w:p w14:paraId="14072C2D"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1028</w:t>
            </w:r>
          </w:p>
        </w:tc>
        <w:tc>
          <w:tcPr>
            <w:tcW w:w="850" w:type="dxa"/>
            <w:tcBorders>
              <w:top w:val="single" w:sz="6" w:space="0" w:color="auto"/>
              <w:left w:val="single" w:sz="6" w:space="0" w:color="auto"/>
              <w:bottom w:val="single" w:sz="6" w:space="0" w:color="auto"/>
              <w:right w:val="single" w:sz="6" w:space="0" w:color="auto"/>
            </w:tcBorders>
          </w:tcPr>
          <w:p w14:paraId="72366547"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1 384</w:t>
            </w:r>
          </w:p>
        </w:tc>
        <w:tc>
          <w:tcPr>
            <w:tcW w:w="1134" w:type="dxa"/>
            <w:tcBorders>
              <w:top w:val="single" w:sz="6" w:space="0" w:color="auto"/>
              <w:left w:val="single" w:sz="6" w:space="0" w:color="auto"/>
              <w:bottom w:val="single" w:sz="6" w:space="0" w:color="auto"/>
              <w:right w:val="single" w:sz="6" w:space="0" w:color="auto"/>
            </w:tcBorders>
          </w:tcPr>
          <w:p w14:paraId="2BD85812"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74</w:t>
            </w:r>
          </w:p>
        </w:tc>
      </w:tr>
      <w:tr w:rsidR="00132997" w:rsidRPr="003954D9" w14:paraId="4BD04B7B" w14:textId="77777777" w:rsidTr="002F06B1">
        <w:trPr>
          <w:trHeight w:val="227"/>
        </w:trPr>
        <w:tc>
          <w:tcPr>
            <w:tcW w:w="1765" w:type="dxa"/>
            <w:tcBorders>
              <w:top w:val="single" w:sz="6" w:space="0" w:color="auto"/>
              <w:left w:val="single" w:sz="6" w:space="0" w:color="auto"/>
              <w:bottom w:val="single" w:sz="6" w:space="0" w:color="auto"/>
              <w:right w:val="single" w:sz="6" w:space="0" w:color="auto"/>
            </w:tcBorders>
          </w:tcPr>
          <w:p w14:paraId="07F7819C"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851" w:type="dxa"/>
            <w:tcBorders>
              <w:top w:val="single" w:sz="6" w:space="0" w:color="auto"/>
              <w:left w:val="single" w:sz="6" w:space="0" w:color="auto"/>
              <w:bottom w:val="single" w:sz="6" w:space="0" w:color="auto"/>
              <w:right w:val="single" w:sz="6" w:space="0" w:color="auto"/>
            </w:tcBorders>
          </w:tcPr>
          <w:p w14:paraId="3D33F4E5"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480</w:t>
            </w:r>
          </w:p>
        </w:tc>
        <w:tc>
          <w:tcPr>
            <w:tcW w:w="850" w:type="dxa"/>
            <w:tcBorders>
              <w:top w:val="single" w:sz="6" w:space="0" w:color="auto"/>
              <w:left w:val="single" w:sz="6" w:space="0" w:color="auto"/>
              <w:bottom w:val="single" w:sz="6" w:space="0" w:color="auto"/>
              <w:right w:val="single" w:sz="6" w:space="0" w:color="auto"/>
            </w:tcBorders>
          </w:tcPr>
          <w:p w14:paraId="0D46CA03"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662</w:t>
            </w:r>
          </w:p>
        </w:tc>
        <w:tc>
          <w:tcPr>
            <w:tcW w:w="1134" w:type="dxa"/>
            <w:tcBorders>
              <w:top w:val="single" w:sz="6" w:space="0" w:color="auto"/>
              <w:left w:val="single" w:sz="6" w:space="0" w:color="auto"/>
              <w:bottom w:val="single" w:sz="6" w:space="0" w:color="auto"/>
              <w:right w:val="single" w:sz="6" w:space="0" w:color="auto"/>
            </w:tcBorders>
          </w:tcPr>
          <w:p w14:paraId="6FC0A03E"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w:t>
            </w:r>
          </w:p>
        </w:tc>
      </w:tr>
      <w:tr w:rsidR="00132997" w:rsidRPr="003954D9" w14:paraId="7ECA0DF3" w14:textId="77777777" w:rsidTr="002F06B1">
        <w:trPr>
          <w:trHeight w:val="227"/>
        </w:trPr>
        <w:tc>
          <w:tcPr>
            <w:tcW w:w="1765" w:type="dxa"/>
            <w:tcBorders>
              <w:top w:val="single" w:sz="6" w:space="0" w:color="auto"/>
              <w:left w:val="single" w:sz="6" w:space="0" w:color="auto"/>
              <w:bottom w:val="single" w:sz="6" w:space="0" w:color="auto"/>
              <w:right w:val="single" w:sz="6" w:space="0" w:color="auto"/>
            </w:tcBorders>
          </w:tcPr>
          <w:p w14:paraId="10EC8953"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51" w:type="dxa"/>
            <w:tcBorders>
              <w:top w:val="single" w:sz="6" w:space="0" w:color="auto"/>
              <w:left w:val="single" w:sz="6" w:space="0" w:color="auto"/>
              <w:bottom w:val="single" w:sz="6" w:space="0" w:color="auto"/>
              <w:right w:val="single" w:sz="6" w:space="0" w:color="auto"/>
            </w:tcBorders>
          </w:tcPr>
          <w:p w14:paraId="5D5CEE3F"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306</w:t>
            </w:r>
          </w:p>
        </w:tc>
        <w:tc>
          <w:tcPr>
            <w:tcW w:w="850" w:type="dxa"/>
            <w:tcBorders>
              <w:top w:val="single" w:sz="6" w:space="0" w:color="auto"/>
              <w:left w:val="single" w:sz="6" w:space="0" w:color="auto"/>
              <w:bottom w:val="single" w:sz="6" w:space="0" w:color="auto"/>
              <w:right w:val="single" w:sz="6" w:space="0" w:color="auto"/>
            </w:tcBorders>
          </w:tcPr>
          <w:p w14:paraId="512CD076"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425</w:t>
            </w:r>
          </w:p>
        </w:tc>
        <w:tc>
          <w:tcPr>
            <w:tcW w:w="1134" w:type="dxa"/>
            <w:tcBorders>
              <w:top w:val="single" w:sz="6" w:space="0" w:color="auto"/>
              <w:left w:val="single" w:sz="6" w:space="0" w:color="auto"/>
              <w:bottom w:val="single" w:sz="6" w:space="0" w:color="auto"/>
              <w:right w:val="single" w:sz="6" w:space="0" w:color="auto"/>
            </w:tcBorders>
          </w:tcPr>
          <w:p w14:paraId="3F461616"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w:t>
            </w:r>
          </w:p>
        </w:tc>
      </w:tr>
      <w:tr w:rsidR="00132997" w:rsidRPr="003954D9" w14:paraId="1289DD00" w14:textId="77777777" w:rsidTr="002F06B1">
        <w:trPr>
          <w:trHeight w:val="227"/>
        </w:trPr>
        <w:tc>
          <w:tcPr>
            <w:tcW w:w="1765" w:type="dxa"/>
            <w:tcBorders>
              <w:top w:val="single" w:sz="6" w:space="0" w:color="auto"/>
              <w:left w:val="single" w:sz="6" w:space="0" w:color="auto"/>
              <w:bottom w:val="single" w:sz="6" w:space="0" w:color="auto"/>
              <w:right w:val="single" w:sz="6" w:space="0" w:color="auto"/>
            </w:tcBorders>
          </w:tcPr>
          <w:p w14:paraId="288619D1"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51" w:type="dxa"/>
            <w:tcBorders>
              <w:top w:val="single" w:sz="6" w:space="0" w:color="auto"/>
              <w:left w:val="single" w:sz="6" w:space="0" w:color="auto"/>
              <w:bottom w:val="single" w:sz="6" w:space="0" w:color="auto"/>
              <w:right w:val="single" w:sz="6" w:space="0" w:color="auto"/>
            </w:tcBorders>
          </w:tcPr>
          <w:p w14:paraId="3B992830"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579</w:t>
            </w:r>
          </w:p>
        </w:tc>
        <w:tc>
          <w:tcPr>
            <w:tcW w:w="850" w:type="dxa"/>
            <w:tcBorders>
              <w:top w:val="single" w:sz="6" w:space="0" w:color="auto"/>
              <w:left w:val="single" w:sz="6" w:space="0" w:color="auto"/>
              <w:bottom w:val="single" w:sz="6" w:space="0" w:color="auto"/>
              <w:right w:val="single" w:sz="6" w:space="0" w:color="auto"/>
            </w:tcBorders>
          </w:tcPr>
          <w:p w14:paraId="7DA79B4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813</w:t>
            </w:r>
          </w:p>
        </w:tc>
        <w:tc>
          <w:tcPr>
            <w:tcW w:w="1134" w:type="dxa"/>
            <w:tcBorders>
              <w:top w:val="single" w:sz="6" w:space="0" w:color="auto"/>
              <w:left w:val="single" w:sz="6" w:space="0" w:color="auto"/>
              <w:bottom w:val="single" w:sz="6" w:space="0" w:color="auto"/>
              <w:right w:val="single" w:sz="6" w:space="0" w:color="auto"/>
            </w:tcBorders>
          </w:tcPr>
          <w:p w14:paraId="21FD6EA1"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71</w:t>
            </w:r>
          </w:p>
        </w:tc>
      </w:tr>
      <w:tr w:rsidR="00132997" w:rsidRPr="003954D9" w14:paraId="0995B4EA" w14:textId="77777777" w:rsidTr="002F06B1">
        <w:trPr>
          <w:trHeight w:val="227"/>
        </w:trPr>
        <w:tc>
          <w:tcPr>
            <w:tcW w:w="1765" w:type="dxa"/>
            <w:tcBorders>
              <w:top w:val="single" w:sz="6" w:space="0" w:color="auto"/>
              <w:left w:val="single" w:sz="6" w:space="0" w:color="auto"/>
              <w:bottom w:val="single" w:sz="6" w:space="0" w:color="auto"/>
              <w:right w:val="single" w:sz="6" w:space="0" w:color="auto"/>
            </w:tcBorders>
          </w:tcPr>
          <w:p w14:paraId="4DEFF98E"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51" w:type="dxa"/>
            <w:tcBorders>
              <w:top w:val="single" w:sz="6" w:space="0" w:color="auto"/>
              <w:left w:val="single" w:sz="6" w:space="0" w:color="auto"/>
              <w:bottom w:val="single" w:sz="6" w:space="0" w:color="auto"/>
              <w:right w:val="single" w:sz="6" w:space="0" w:color="auto"/>
            </w:tcBorders>
          </w:tcPr>
          <w:p w14:paraId="0A458B0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727</w:t>
            </w:r>
          </w:p>
        </w:tc>
        <w:tc>
          <w:tcPr>
            <w:tcW w:w="850" w:type="dxa"/>
            <w:tcBorders>
              <w:top w:val="single" w:sz="6" w:space="0" w:color="auto"/>
              <w:left w:val="single" w:sz="6" w:space="0" w:color="auto"/>
              <w:bottom w:val="single" w:sz="6" w:space="0" w:color="auto"/>
              <w:right w:val="single" w:sz="6" w:space="0" w:color="auto"/>
            </w:tcBorders>
          </w:tcPr>
          <w:p w14:paraId="28F3B8EE"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1 035</w:t>
            </w:r>
          </w:p>
        </w:tc>
        <w:tc>
          <w:tcPr>
            <w:tcW w:w="1134" w:type="dxa"/>
            <w:tcBorders>
              <w:top w:val="single" w:sz="6" w:space="0" w:color="auto"/>
              <w:left w:val="single" w:sz="6" w:space="0" w:color="auto"/>
              <w:bottom w:val="single" w:sz="6" w:space="0" w:color="auto"/>
              <w:right w:val="single" w:sz="6" w:space="0" w:color="auto"/>
            </w:tcBorders>
          </w:tcPr>
          <w:p w14:paraId="290A4214"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r>
      <w:tr w:rsidR="00132997" w:rsidRPr="003954D9" w14:paraId="2276E5B5" w14:textId="77777777" w:rsidTr="002F06B1">
        <w:trPr>
          <w:trHeight w:val="227"/>
        </w:trPr>
        <w:tc>
          <w:tcPr>
            <w:tcW w:w="1765" w:type="dxa"/>
            <w:tcBorders>
              <w:top w:val="single" w:sz="6" w:space="0" w:color="auto"/>
              <w:left w:val="single" w:sz="6" w:space="0" w:color="auto"/>
              <w:bottom w:val="single" w:sz="6" w:space="0" w:color="auto"/>
              <w:right w:val="single" w:sz="6" w:space="0" w:color="auto"/>
            </w:tcBorders>
          </w:tcPr>
          <w:p w14:paraId="4F4A1899"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689E8A22"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401</w:t>
            </w:r>
          </w:p>
        </w:tc>
        <w:tc>
          <w:tcPr>
            <w:tcW w:w="850" w:type="dxa"/>
            <w:tcBorders>
              <w:top w:val="single" w:sz="6" w:space="0" w:color="auto"/>
              <w:left w:val="single" w:sz="6" w:space="0" w:color="auto"/>
              <w:bottom w:val="single" w:sz="6" w:space="0" w:color="auto"/>
              <w:right w:val="single" w:sz="6" w:space="0" w:color="auto"/>
            </w:tcBorders>
          </w:tcPr>
          <w:p w14:paraId="2526316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597</w:t>
            </w:r>
          </w:p>
        </w:tc>
        <w:tc>
          <w:tcPr>
            <w:tcW w:w="1134" w:type="dxa"/>
            <w:tcBorders>
              <w:top w:val="single" w:sz="6" w:space="0" w:color="auto"/>
              <w:left w:val="single" w:sz="6" w:space="0" w:color="auto"/>
              <w:bottom w:val="single" w:sz="6" w:space="0" w:color="auto"/>
              <w:right w:val="single" w:sz="6" w:space="0" w:color="auto"/>
            </w:tcBorders>
          </w:tcPr>
          <w:p w14:paraId="45427B09"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67</w:t>
            </w:r>
          </w:p>
        </w:tc>
      </w:tr>
      <w:tr w:rsidR="00132997" w:rsidRPr="003954D9" w14:paraId="71AC646F" w14:textId="77777777" w:rsidTr="002F06B1">
        <w:trPr>
          <w:trHeight w:val="227"/>
        </w:trPr>
        <w:tc>
          <w:tcPr>
            <w:tcW w:w="1765" w:type="dxa"/>
            <w:tcBorders>
              <w:top w:val="single" w:sz="6" w:space="0" w:color="auto"/>
              <w:left w:val="single" w:sz="6" w:space="0" w:color="auto"/>
              <w:bottom w:val="single" w:sz="6" w:space="0" w:color="auto"/>
              <w:right w:val="single" w:sz="6" w:space="0" w:color="auto"/>
            </w:tcBorders>
          </w:tcPr>
          <w:p w14:paraId="465717A3"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51" w:type="dxa"/>
            <w:tcBorders>
              <w:top w:val="single" w:sz="6" w:space="0" w:color="auto"/>
              <w:left w:val="single" w:sz="6" w:space="0" w:color="auto"/>
              <w:bottom w:val="single" w:sz="6" w:space="0" w:color="auto"/>
              <w:right w:val="single" w:sz="6" w:space="0" w:color="auto"/>
            </w:tcBorders>
          </w:tcPr>
          <w:p w14:paraId="16329B9D"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w:t>
            </w:r>
          </w:p>
        </w:tc>
        <w:tc>
          <w:tcPr>
            <w:tcW w:w="850" w:type="dxa"/>
            <w:tcBorders>
              <w:top w:val="single" w:sz="6" w:space="0" w:color="auto"/>
              <w:left w:val="single" w:sz="6" w:space="0" w:color="auto"/>
              <w:bottom w:val="single" w:sz="6" w:space="0" w:color="auto"/>
              <w:right w:val="single" w:sz="6" w:space="0" w:color="auto"/>
            </w:tcBorders>
          </w:tcPr>
          <w:p w14:paraId="2E888FE2"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73</w:t>
            </w:r>
          </w:p>
        </w:tc>
        <w:tc>
          <w:tcPr>
            <w:tcW w:w="1134" w:type="dxa"/>
            <w:tcBorders>
              <w:top w:val="single" w:sz="6" w:space="0" w:color="auto"/>
              <w:left w:val="single" w:sz="6" w:space="0" w:color="auto"/>
              <w:bottom w:val="single" w:sz="6" w:space="0" w:color="auto"/>
              <w:right w:val="single" w:sz="6" w:space="0" w:color="auto"/>
            </w:tcBorders>
          </w:tcPr>
          <w:p w14:paraId="48048D45"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67</w:t>
            </w:r>
          </w:p>
        </w:tc>
      </w:tr>
      <w:tr w:rsidR="00132997" w:rsidRPr="003954D9" w14:paraId="67DCE6A7" w14:textId="77777777" w:rsidTr="002F06B1">
        <w:trPr>
          <w:trHeight w:val="227"/>
        </w:trPr>
        <w:tc>
          <w:tcPr>
            <w:tcW w:w="1765" w:type="dxa"/>
            <w:tcBorders>
              <w:top w:val="single" w:sz="6" w:space="0" w:color="auto"/>
              <w:left w:val="single" w:sz="6" w:space="0" w:color="auto"/>
              <w:bottom w:val="single" w:sz="6" w:space="0" w:color="auto"/>
              <w:right w:val="single" w:sz="6" w:space="0" w:color="auto"/>
            </w:tcBorders>
          </w:tcPr>
          <w:p w14:paraId="7D95E464"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851" w:type="dxa"/>
            <w:tcBorders>
              <w:top w:val="single" w:sz="6" w:space="0" w:color="auto"/>
              <w:left w:val="single" w:sz="6" w:space="0" w:color="auto"/>
              <w:bottom w:val="single" w:sz="6" w:space="0" w:color="auto"/>
              <w:right w:val="single" w:sz="6" w:space="0" w:color="auto"/>
            </w:tcBorders>
          </w:tcPr>
          <w:p w14:paraId="7A67CA15"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850" w:type="dxa"/>
            <w:tcBorders>
              <w:top w:val="single" w:sz="6" w:space="0" w:color="auto"/>
              <w:left w:val="single" w:sz="6" w:space="0" w:color="auto"/>
              <w:bottom w:val="single" w:sz="6" w:space="0" w:color="auto"/>
              <w:right w:val="single" w:sz="6" w:space="0" w:color="auto"/>
            </w:tcBorders>
          </w:tcPr>
          <w:p w14:paraId="7AC08E46"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553</w:t>
            </w:r>
          </w:p>
        </w:tc>
        <w:tc>
          <w:tcPr>
            <w:tcW w:w="1134" w:type="dxa"/>
            <w:tcBorders>
              <w:top w:val="single" w:sz="6" w:space="0" w:color="auto"/>
              <w:left w:val="single" w:sz="6" w:space="0" w:color="auto"/>
              <w:bottom w:val="single" w:sz="6" w:space="0" w:color="auto"/>
              <w:right w:val="single" w:sz="6" w:space="0" w:color="auto"/>
            </w:tcBorders>
          </w:tcPr>
          <w:p w14:paraId="481EFD01"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w:t>
            </w:r>
          </w:p>
        </w:tc>
      </w:tr>
    </w:tbl>
    <w:p w14:paraId="6EE15257" w14:textId="77777777" w:rsidR="00FA5446" w:rsidRDefault="00FA5446" w:rsidP="00F37E3B"/>
    <w:p w14:paraId="6373CBAC" w14:textId="6E20E0A4" w:rsidR="00FA5446" w:rsidRPr="003954D9" w:rsidRDefault="00FA5446" w:rsidP="00DD51D3">
      <w:pPr>
        <w:pStyle w:val="Rubrik4"/>
      </w:pPr>
      <w:r w:rsidRPr="003954D9">
        <w:lastRenderedPageBreak/>
        <w:t>Jämfört med idag</w:t>
      </w:r>
    </w:p>
    <w:p w14:paraId="51B3D724" w14:textId="44B4DC00" w:rsidR="00F37E3B" w:rsidRDefault="00F37E3B" w:rsidP="00F37E3B">
      <w:r w:rsidRPr="003954D9">
        <w:t xml:space="preserve">Om man jämför med dagsläget </w:t>
      </w:r>
      <w:r w:rsidR="00107444" w:rsidRPr="003954D9">
        <w:t>kan man se samma mönster som vid en ökning på 50 procent. Det är de stadsdelar som redan har ett stort anta</w:t>
      </w:r>
      <w:r w:rsidR="00FC31CA" w:rsidRPr="003954D9">
        <w:t xml:space="preserve">l </w:t>
      </w:r>
      <w:r w:rsidR="00107444" w:rsidRPr="003954D9">
        <w:t xml:space="preserve">hushåll i riskzonen som har den största ökningen. Liksom vid ökningen på 50 </w:t>
      </w:r>
      <w:r w:rsidR="00475673" w:rsidRPr="003954D9">
        <w:t>procent</w:t>
      </w:r>
      <w:r w:rsidR="00107444" w:rsidRPr="003954D9">
        <w:t xml:space="preserve"> sker dock andelsmässigt en större ökning i Västra Hisingen, Askim-Frölunda-Högsbo och i Majorna-Linnéstaden. Det tyder på att de i dessa stadsdelar </w:t>
      </w:r>
      <w:r w:rsidR="00F010EB" w:rsidRPr="003954D9">
        <w:t xml:space="preserve">finns en relativt sett större grupp som idag ligger nära gränsen för skälig levnadsnivå. </w:t>
      </w:r>
      <w:r w:rsidR="00107444" w:rsidRPr="003954D9">
        <w:t xml:space="preserve"> </w:t>
      </w:r>
      <w:r w:rsidR="00C8268E" w:rsidRPr="003954D9">
        <w:t>Se tabell 1</w:t>
      </w:r>
      <w:r w:rsidR="006B02F2">
        <w:t>:3.</w:t>
      </w:r>
    </w:p>
    <w:p w14:paraId="5AE1E86D" w14:textId="77777777" w:rsidR="00A30148" w:rsidRPr="003954D9" w:rsidRDefault="00A30148" w:rsidP="00FD4E5F">
      <w:pPr>
        <w:pStyle w:val="Rubrik5"/>
        <w:spacing w:before="0"/>
        <w:jc w:val="center"/>
      </w:pPr>
    </w:p>
    <w:p w14:paraId="32140341" w14:textId="4893F976" w:rsidR="00132997" w:rsidRPr="003954D9" w:rsidRDefault="00132997" w:rsidP="00132997">
      <w:pPr>
        <w:keepNext/>
        <w:keepLines/>
        <w:outlineLvl w:val="4"/>
        <w:rPr>
          <w:rFonts w:asciiTheme="majorHAnsi" w:eastAsiaTheme="majorEastAsia" w:hAnsiTheme="majorHAnsi" w:cstheme="majorBidi"/>
          <w:color w:val="243F60" w:themeColor="accent1" w:themeShade="7F"/>
          <w:sz w:val="23"/>
        </w:rPr>
      </w:pPr>
      <w:r w:rsidRPr="003954D9">
        <w:rPr>
          <w:rFonts w:asciiTheme="majorHAnsi" w:eastAsiaTheme="majorEastAsia" w:hAnsiTheme="majorHAnsi" w:cstheme="majorBidi"/>
          <w:color w:val="243F60" w:themeColor="accent1" w:themeShade="7F"/>
          <w:sz w:val="23"/>
        </w:rPr>
        <w:t>Tabell 1:3 Ökning av antalet hushåll i riskzonen efter hyreshöjning på 25 procent jämfört med idag</w:t>
      </w:r>
    </w:p>
    <w:tbl>
      <w:tblPr>
        <w:tblW w:w="0" w:type="auto"/>
        <w:tblInd w:w="-38" w:type="dxa"/>
        <w:tblLayout w:type="fixed"/>
        <w:tblCellMar>
          <w:left w:w="70" w:type="dxa"/>
          <w:right w:w="70" w:type="dxa"/>
        </w:tblCellMar>
        <w:tblLook w:val="0000" w:firstRow="0" w:lastRow="0" w:firstColumn="0" w:lastColumn="0" w:noHBand="0" w:noVBand="0"/>
      </w:tblPr>
      <w:tblGrid>
        <w:gridCol w:w="1873"/>
        <w:gridCol w:w="709"/>
        <w:gridCol w:w="709"/>
        <w:gridCol w:w="567"/>
      </w:tblGrid>
      <w:tr w:rsidR="00132997" w:rsidRPr="003954D9" w14:paraId="0BB273A1" w14:textId="77777777" w:rsidTr="002B6D36">
        <w:trPr>
          <w:trHeight w:val="227"/>
        </w:trPr>
        <w:tc>
          <w:tcPr>
            <w:tcW w:w="1873" w:type="dxa"/>
            <w:tcBorders>
              <w:top w:val="single" w:sz="6" w:space="0" w:color="auto"/>
              <w:left w:val="single" w:sz="6" w:space="0" w:color="auto"/>
              <w:bottom w:val="nil"/>
              <w:right w:val="single" w:sz="6" w:space="0" w:color="auto"/>
            </w:tcBorders>
          </w:tcPr>
          <w:p w14:paraId="44CDA28A"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709" w:type="dxa"/>
            <w:tcBorders>
              <w:top w:val="single" w:sz="6" w:space="0" w:color="auto"/>
              <w:left w:val="single" w:sz="6" w:space="0" w:color="auto"/>
              <w:bottom w:val="single" w:sz="6" w:space="0" w:color="auto"/>
              <w:right w:val="single" w:sz="6" w:space="0" w:color="auto"/>
            </w:tcBorders>
          </w:tcPr>
          <w:p w14:paraId="1FE15E61"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Idag</w:t>
            </w:r>
          </w:p>
        </w:tc>
        <w:tc>
          <w:tcPr>
            <w:tcW w:w="1276" w:type="dxa"/>
            <w:gridSpan w:val="2"/>
            <w:tcBorders>
              <w:top w:val="single" w:sz="6" w:space="0" w:color="auto"/>
              <w:left w:val="single" w:sz="6" w:space="0" w:color="auto"/>
              <w:bottom w:val="single" w:sz="6" w:space="0" w:color="auto"/>
              <w:right w:val="single" w:sz="6" w:space="0" w:color="auto"/>
            </w:tcBorders>
          </w:tcPr>
          <w:p w14:paraId="23EE6557" w14:textId="528AAFC0"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Ökning </w:t>
            </w:r>
            <w:r w:rsidR="003954D9" w:rsidRPr="003954D9">
              <w:rPr>
                <w:rFonts w:ascii="Calibri" w:hAnsi="Calibri" w:cs="Calibri"/>
                <w:b/>
                <w:bCs/>
                <w:color w:val="000000"/>
                <w:sz w:val="16"/>
                <w:szCs w:val="16"/>
              </w:rPr>
              <w:t>vid 50 %</w:t>
            </w:r>
          </w:p>
        </w:tc>
      </w:tr>
      <w:tr w:rsidR="00132997" w:rsidRPr="003954D9" w14:paraId="4F38A186" w14:textId="77777777" w:rsidTr="002B6D36">
        <w:trPr>
          <w:trHeight w:val="227"/>
        </w:trPr>
        <w:tc>
          <w:tcPr>
            <w:tcW w:w="1873" w:type="dxa"/>
            <w:tcBorders>
              <w:top w:val="nil"/>
              <w:left w:val="single" w:sz="6" w:space="0" w:color="auto"/>
              <w:bottom w:val="single" w:sz="6" w:space="0" w:color="auto"/>
              <w:right w:val="single" w:sz="6" w:space="0" w:color="auto"/>
            </w:tcBorders>
          </w:tcPr>
          <w:p w14:paraId="580AA3BB" w14:textId="77777777" w:rsidR="00132997" w:rsidRPr="003954D9" w:rsidRDefault="00132997" w:rsidP="00132997">
            <w:pPr>
              <w:autoSpaceDE w:val="0"/>
              <w:autoSpaceDN w:val="0"/>
              <w:adjustRightInd w:val="0"/>
              <w:jc w:val="right"/>
              <w:rPr>
                <w:rFonts w:ascii="Calibri" w:hAnsi="Calibri" w:cs="Calibr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2B381846" w14:textId="77777777" w:rsidR="00132997" w:rsidRPr="003954D9" w:rsidRDefault="00132997"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709" w:type="dxa"/>
            <w:tcBorders>
              <w:top w:val="single" w:sz="6" w:space="0" w:color="auto"/>
              <w:left w:val="single" w:sz="6" w:space="0" w:color="auto"/>
              <w:bottom w:val="single" w:sz="6" w:space="0" w:color="auto"/>
              <w:right w:val="single" w:sz="6" w:space="0" w:color="auto"/>
            </w:tcBorders>
          </w:tcPr>
          <w:p w14:paraId="2207F904" w14:textId="77777777" w:rsidR="00132997" w:rsidRPr="003954D9" w:rsidRDefault="00132997"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26E8E226" w14:textId="68BA0737" w:rsidR="00132997" w:rsidRPr="003954D9" w:rsidRDefault="002F06B1"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w:t>
            </w:r>
          </w:p>
        </w:tc>
      </w:tr>
      <w:tr w:rsidR="00132997" w:rsidRPr="003954D9" w14:paraId="3BA2FAC7" w14:textId="77777777" w:rsidTr="002B6D36">
        <w:trPr>
          <w:trHeight w:val="227"/>
        </w:trPr>
        <w:tc>
          <w:tcPr>
            <w:tcW w:w="1873" w:type="dxa"/>
            <w:tcBorders>
              <w:top w:val="single" w:sz="6" w:space="0" w:color="auto"/>
              <w:left w:val="single" w:sz="6" w:space="0" w:color="auto"/>
              <w:bottom w:val="single" w:sz="6" w:space="0" w:color="auto"/>
              <w:right w:val="single" w:sz="6" w:space="0" w:color="auto"/>
            </w:tcBorders>
          </w:tcPr>
          <w:p w14:paraId="4A9963BA"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709" w:type="dxa"/>
            <w:tcBorders>
              <w:top w:val="single" w:sz="6" w:space="0" w:color="auto"/>
              <w:left w:val="single" w:sz="6" w:space="0" w:color="auto"/>
              <w:bottom w:val="single" w:sz="6" w:space="0" w:color="auto"/>
              <w:right w:val="single" w:sz="6" w:space="0" w:color="auto"/>
            </w:tcBorders>
          </w:tcPr>
          <w:p w14:paraId="7993AC6F"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862</w:t>
            </w:r>
          </w:p>
        </w:tc>
        <w:tc>
          <w:tcPr>
            <w:tcW w:w="709" w:type="dxa"/>
            <w:tcBorders>
              <w:top w:val="single" w:sz="6" w:space="0" w:color="auto"/>
              <w:left w:val="single" w:sz="6" w:space="0" w:color="auto"/>
              <w:bottom w:val="single" w:sz="6" w:space="0" w:color="auto"/>
              <w:right w:val="single" w:sz="6" w:space="0" w:color="auto"/>
            </w:tcBorders>
          </w:tcPr>
          <w:p w14:paraId="314B24AC"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959</w:t>
            </w:r>
          </w:p>
        </w:tc>
        <w:tc>
          <w:tcPr>
            <w:tcW w:w="567" w:type="dxa"/>
            <w:tcBorders>
              <w:top w:val="single" w:sz="6" w:space="0" w:color="auto"/>
              <w:left w:val="single" w:sz="6" w:space="0" w:color="auto"/>
              <w:bottom w:val="single" w:sz="6" w:space="0" w:color="auto"/>
              <w:right w:val="single" w:sz="6" w:space="0" w:color="auto"/>
            </w:tcBorders>
          </w:tcPr>
          <w:p w14:paraId="2ACAA830"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111</w:t>
            </w:r>
          </w:p>
        </w:tc>
      </w:tr>
      <w:tr w:rsidR="00132997" w:rsidRPr="003954D9" w14:paraId="58AF2EFB" w14:textId="77777777" w:rsidTr="002B6D36">
        <w:trPr>
          <w:trHeight w:val="227"/>
        </w:trPr>
        <w:tc>
          <w:tcPr>
            <w:tcW w:w="1873" w:type="dxa"/>
            <w:tcBorders>
              <w:top w:val="single" w:sz="6" w:space="0" w:color="auto"/>
              <w:left w:val="single" w:sz="6" w:space="0" w:color="auto"/>
              <w:bottom w:val="single" w:sz="6" w:space="0" w:color="auto"/>
              <w:right w:val="single" w:sz="6" w:space="0" w:color="auto"/>
            </w:tcBorders>
          </w:tcPr>
          <w:p w14:paraId="767B66C0"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709" w:type="dxa"/>
            <w:tcBorders>
              <w:top w:val="single" w:sz="6" w:space="0" w:color="auto"/>
              <w:left w:val="single" w:sz="6" w:space="0" w:color="auto"/>
              <w:bottom w:val="single" w:sz="6" w:space="0" w:color="auto"/>
              <w:right w:val="single" w:sz="6" w:space="0" w:color="auto"/>
            </w:tcBorders>
          </w:tcPr>
          <w:p w14:paraId="7721D85F"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636</w:t>
            </w:r>
          </w:p>
        </w:tc>
        <w:tc>
          <w:tcPr>
            <w:tcW w:w="709" w:type="dxa"/>
            <w:tcBorders>
              <w:top w:val="single" w:sz="6" w:space="0" w:color="auto"/>
              <w:left w:val="single" w:sz="6" w:space="0" w:color="auto"/>
              <w:bottom w:val="single" w:sz="6" w:space="0" w:color="auto"/>
              <w:right w:val="single" w:sz="6" w:space="0" w:color="auto"/>
            </w:tcBorders>
          </w:tcPr>
          <w:p w14:paraId="6876A1D4"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748</w:t>
            </w:r>
          </w:p>
        </w:tc>
        <w:tc>
          <w:tcPr>
            <w:tcW w:w="567" w:type="dxa"/>
            <w:tcBorders>
              <w:top w:val="single" w:sz="6" w:space="0" w:color="auto"/>
              <w:left w:val="single" w:sz="6" w:space="0" w:color="auto"/>
              <w:bottom w:val="single" w:sz="6" w:space="0" w:color="auto"/>
              <w:right w:val="single" w:sz="6" w:space="0" w:color="auto"/>
            </w:tcBorders>
          </w:tcPr>
          <w:p w14:paraId="2A2B42D2"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118</w:t>
            </w:r>
          </w:p>
        </w:tc>
      </w:tr>
      <w:tr w:rsidR="00132997" w:rsidRPr="003954D9" w14:paraId="4F9800F3" w14:textId="77777777" w:rsidTr="002B6D36">
        <w:trPr>
          <w:trHeight w:val="227"/>
        </w:trPr>
        <w:tc>
          <w:tcPr>
            <w:tcW w:w="1873" w:type="dxa"/>
            <w:tcBorders>
              <w:top w:val="single" w:sz="6" w:space="0" w:color="auto"/>
              <w:left w:val="single" w:sz="6" w:space="0" w:color="auto"/>
              <w:bottom w:val="single" w:sz="6" w:space="0" w:color="auto"/>
              <w:right w:val="single" w:sz="6" w:space="0" w:color="auto"/>
            </w:tcBorders>
          </w:tcPr>
          <w:p w14:paraId="53AA31F8"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09" w:type="dxa"/>
            <w:tcBorders>
              <w:top w:val="single" w:sz="6" w:space="0" w:color="auto"/>
              <w:left w:val="single" w:sz="6" w:space="0" w:color="auto"/>
              <w:bottom w:val="single" w:sz="6" w:space="0" w:color="auto"/>
              <w:right w:val="single" w:sz="6" w:space="0" w:color="auto"/>
            </w:tcBorders>
          </w:tcPr>
          <w:p w14:paraId="434BC851"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434</w:t>
            </w:r>
          </w:p>
        </w:tc>
        <w:tc>
          <w:tcPr>
            <w:tcW w:w="709" w:type="dxa"/>
            <w:tcBorders>
              <w:top w:val="single" w:sz="6" w:space="0" w:color="auto"/>
              <w:left w:val="single" w:sz="6" w:space="0" w:color="auto"/>
              <w:bottom w:val="single" w:sz="6" w:space="0" w:color="auto"/>
              <w:right w:val="single" w:sz="6" w:space="0" w:color="auto"/>
            </w:tcBorders>
          </w:tcPr>
          <w:p w14:paraId="4D50A15E"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601</w:t>
            </w:r>
          </w:p>
        </w:tc>
        <w:tc>
          <w:tcPr>
            <w:tcW w:w="567" w:type="dxa"/>
            <w:tcBorders>
              <w:top w:val="single" w:sz="6" w:space="0" w:color="auto"/>
              <w:left w:val="single" w:sz="6" w:space="0" w:color="auto"/>
              <w:bottom w:val="single" w:sz="6" w:space="0" w:color="auto"/>
              <w:right w:val="single" w:sz="6" w:space="0" w:color="auto"/>
            </w:tcBorders>
          </w:tcPr>
          <w:p w14:paraId="294B7A1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w:t>
            </w:r>
          </w:p>
        </w:tc>
      </w:tr>
      <w:tr w:rsidR="00132997" w:rsidRPr="003954D9" w14:paraId="5B5E97FB" w14:textId="77777777" w:rsidTr="002B6D36">
        <w:trPr>
          <w:trHeight w:val="227"/>
        </w:trPr>
        <w:tc>
          <w:tcPr>
            <w:tcW w:w="1873" w:type="dxa"/>
            <w:tcBorders>
              <w:top w:val="single" w:sz="6" w:space="0" w:color="auto"/>
              <w:left w:val="single" w:sz="6" w:space="0" w:color="auto"/>
              <w:bottom w:val="single" w:sz="6" w:space="0" w:color="auto"/>
              <w:right w:val="single" w:sz="6" w:space="0" w:color="auto"/>
            </w:tcBorders>
          </w:tcPr>
          <w:p w14:paraId="15694B63"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09" w:type="dxa"/>
            <w:tcBorders>
              <w:top w:val="single" w:sz="6" w:space="0" w:color="auto"/>
              <w:left w:val="single" w:sz="6" w:space="0" w:color="auto"/>
              <w:bottom w:val="single" w:sz="6" w:space="0" w:color="auto"/>
              <w:right w:val="single" w:sz="6" w:space="0" w:color="auto"/>
            </w:tcBorders>
          </w:tcPr>
          <w:p w14:paraId="037DD808"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709" w:type="dxa"/>
            <w:tcBorders>
              <w:top w:val="single" w:sz="6" w:space="0" w:color="auto"/>
              <w:left w:val="single" w:sz="6" w:space="0" w:color="auto"/>
              <w:bottom w:val="single" w:sz="6" w:space="0" w:color="auto"/>
              <w:right w:val="single" w:sz="6" w:space="0" w:color="auto"/>
            </w:tcBorders>
          </w:tcPr>
          <w:p w14:paraId="0DD54DD4"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491</w:t>
            </w:r>
          </w:p>
        </w:tc>
        <w:tc>
          <w:tcPr>
            <w:tcW w:w="567" w:type="dxa"/>
            <w:tcBorders>
              <w:top w:val="single" w:sz="6" w:space="0" w:color="auto"/>
              <w:left w:val="single" w:sz="6" w:space="0" w:color="auto"/>
              <w:bottom w:val="single" w:sz="6" w:space="0" w:color="auto"/>
              <w:right w:val="single" w:sz="6" w:space="0" w:color="auto"/>
            </w:tcBorders>
          </w:tcPr>
          <w:p w14:paraId="4B1763DB"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r>
      <w:tr w:rsidR="00132997" w:rsidRPr="003954D9" w14:paraId="6B08E170" w14:textId="77777777" w:rsidTr="002B6D36">
        <w:trPr>
          <w:trHeight w:val="227"/>
        </w:trPr>
        <w:tc>
          <w:tcPr>
            <w:tcW w:w="1873" w:type="dxa"/>
            <w:tcBorders>
              <w:top w:val="single" w:sz="6" w:space="0" w:color="auto"/>
              <w:left w:val="single" w:sz="6" w:space="0" w:color="auto"/>
              <w:bottom w:val="single" w:sz="6" w:space="0" w:color="auto"/>
              <w:right w:val="single" w:sz="6" w:space="0" w:color="auto"/>
            </w:tcBorders>
          </w:tcPr>
          <w:p w14:paraId="56F966B4"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709" w:type="dxa"/>
            <w:tcBorders>
              <w:top w:val="single" w:sz="6" w:space="0" w:color="auto"/>
              <w:left w:val="single" w:sz="6" w:space="0" w:color="auto"/>
              <w:bottom w:val="single" w:sz="6" w:space="0" w:color="auto"/>
              <w:right w:val="single" w:sz="6" w:space="0" w:color="auto"/>
            </w:tcBorders>
          </w:tcPr>
          <w:p w14:paraId="38E5DE29"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289</w:t>
            </w:r>
          </w:p>
        </w:tc>
        <w:tc>
          <w:tcPr>
            <w:tcW w:w="709" w:type="dxa"/>
            <w:tcBorders>
              <w:top w:val="single" w:sz="6" w:space="0" w:color="auto"/>
              <w:left w:val="single" w:sz="6" w:space="0" w:color="auto"/>
              <w:bottom w:val="single" w:sz="6" w:space="0" w:color="auto"/>
              <w:right w:val="single" w:sz="6" w:space="0" w:color="auto"/>
            </w:tcBorders>
          </w:tcPr>
          <w:p w14:paraId="65888B68"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567" w:type="dxa"/>
            <w:tcBorders>
              <w:top w:val="single" w:sz="6" w:space="0" w:color="auto"/>
              <w:left w:val="single" w:sz="6" w:space="0" w:color="auto"/>
              <w:bottom w:val="single" w:sz="6" w:space="0" w:color="auto"/>
              <w:right w:val="single" w:sz="6" w:space="0" w:color="auto"/>
            </w:tcBorders>
          </w:tcPr>
          <w:p w14:paraId="4258FDAE"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129</w:t>
            </w:r>
          </w:p>
        </w:tc>
      </w:tr>
      <w:tr w:rsidR="00132997" w:rsidRPr="003954D9" w14:paraId="3EE2053A" w14:textId="77777777" w:rsidTr="002B6D36">
        <w:trPr>
          <w:trHeight w:val="227"/>
        </w:trPr>
        <w:tc>
          <w:tcPr>
            <w:tcW w:w="1873" w:type="dxa"/>
            <w:tcBorders>
              <w:top w:val="single" w:sz="6" w:space="0" w:color="auto"/>
              <w:left w:val="single" w:sz="6" w:space="0" w:color="auto"/>
              <w:bottom w:val="single" w:sz="6" w:space="0" w:color="auto"/>
              <w:right w:val="single" w:sz="6" w:space="0" w:color="auto"/>
            </w:tcBorders>
          </w:tcPr>
          <w:p w14:paraId="4EBD6EBD"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709" w:type="dxa"/>
            <w:tcBorders>
              <w:top w:val="single" w:sz="6" w:space="0" w:color="auto"/>
              <w:left w:val="single" w:sz="6" w:space="0" w:color="auto"/>
              <w:bottom w:val="single" w:sz="6" w:space="0" w:color="auto"/>
              <w:right w:val="single" w:sz="6" w:space="0" w:color="auto"/>
            </w:tcBorders>
          </w:tcPr>
          <w:p w14:paraId="544E159C"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255</w:t>
            </w:r>
          </w:p>
        </w:tc>
        <w:tc>
          <w:tcPr>
            <w:tcW w:w="709" w:type="dxa"/>
            <w:tcBorders>
              <w:top w:val="single" w:sz="6" w:space="0" w:color="auto"/>
              <w:left w:val="single" w:sz="6" w:space="0" w:color="auto"/>
              <w:bottom w:val="single" w:sz="6" w:space="0" w:color="auto"/>
              <w:right w:val="single" w:sz="6" w:space="0" w:color="auto"/>
            </w:tcBorders>
          </w:tcPr>
          <w:p w14:paraId="529FF06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342</w:t>
            </w:r>
          </w:p>
        </w:tc>
        <w:tc>
          <w:tcPr>
            <w:tcW w:w="567" w:type="dxa"/>
            <w:tcBorders>
              <w:top w:val="single" w:sz="6" w:space="0" w:color="auto"/>
              <w:left w:val="single" w:sz="6" w:space="0" w:color="auto"/>
              <w:bottom w:val="single" w:sz="6" w:space="0" w:color="auto"/>
              <w:right w:val="single" w:sz="6" w:space="0" w:color="auto"/>
            </w:tcBorders>
          </w:tcPr>
          <w:p w14:paraId="5CD6FE2E"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134</w:t>
            </w:r>
          </w:p>
        </w:tc>
      </w:tr>
      <w:tr w:rsidR="00132997" w:rsidRPr="003954D9" w14:paraId="5CECE57A" w14:textId="77777777" w:rsidTr="002B6D36">
        <w:trPr>
          <w:trHeight w:val="227"/>
        </w:trPr>
        <w:tc>
          <w:tcPr>
            <w:tcW w:w="1873" w:type="dxa"/>
            <w:tcBorders>
              <w:top w:val="single" w:sz="6" w:space="0" w:color="auto"/>
              <w:left w:val="single" w:sz="6" w:space="0" w:color="auto"/>
              <w:bottom w:val="single" w:sz="6" w:space="0" w:color="auto"/>
              <w:right w:val="single" w:sz="6" w:space="0" w:color="auto"/>
            </w:tcBorders>
          </w:tcPr>
          <w:p w14:paraId="7FEF45BA"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9" w:type="dxa"/>
            <w:tcBorders>
              <w:top w:val="single" w:sz="6" w:space="0" w:color="auto"/>
              <w:left w:val="single" w:sz="6" w:space="0" w:color="auto"/>
              <w:bottom w:val="single" w:sz="6" w:space="0" w:color="auto"/>
              <w:right w:val="single" w:sz="6" w:space="0" w:color="auto"/>
            </w:tcBorders>
          </w:tcPr>
          <w:p w14:paraId="1952F199"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709" w:type="dxa"/>
            <w:tcBorders>
              <w:top w:val="single" w:sz="6" w:space="0" w:color="auto"/>
              <w:left w:val="single" w:sz="6" w:space="0" w:color="auto"/>
              <w:bottom w:val="single" w:sz="6" w:space="0" w:color="auto"/>
              <w:right w:val="single" w:sz="6" w:space="0" w:color="auto"/>
            </w:tcBorders>
          </w:tcPr>
          <w:p w14:paraId="1E0B4C55"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314</w:t>
            </w:r>
          </w:p>
        </w:tc>
        <w:tc>
          <w:tcPr>
            <w:tcW w:w="567" w:type="dxa"/>
            <w:tcBorders>
              <w:top w:val="single" w:sz="6" w:space="0" w:color="auto"/>
              <w:left w:val="single" w:sz="6" w:space="0" w:color="auto"/>
              <w:bottom w:val="single" w:sz="6" w:space="0" w:color="auto"/>
              <w:right w:val="single" w:sz="6" w:space="0" w:color="auto"/>
            </w:tcBorders>
          </w:tcPr>
          <w:p w14:paraId="327C12E0"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131</w:t>
            </w:r>
          </w:p>
        </w:tc>
      </w:tr>
      <w:tr w:rsidR="00132997" w:rsidRPr="003954D9" w14:paraId="274E7A92" w14:textId="77777777" w:rsidTr="002B6D36">
        <w:trPr>
          <w:trHeight w:val="227"/>
        </w:trPr>
        <w:tc>
          <w:tcPr>
            <w:tcW w:w="1873" w:type="dxa"/>
            <w:tcBorders>
              <w:top w:val="single" w:sz="6" w:space="0" w:color="auto"/>
              <w:left w:val="single" w:sz="6" w:space="0" w:color="auto"/>
              <w:bottom w:val="single" w:sz="6" w:space="0" w:color="auto"/>
              <w:right w:val="single" w:sz="6" w:space="0" w:color="auto"/>
            </w:tcBorders>
          </w:tcPr>
          <w:p w14:paraId="072C6BD1"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09" w:type="dxa"/>
            <w:tcBorders>
              <w:top w:val="single" w:sz="6" w:space="0" w:color="auto"/>
              <w:left w:val="single" w:sz="6" w:space="0" w:color="auto"/>
              <w:bottom w:val="single" w:sz="6" w:space="0" w:color="auto"/>
              <w:right w:val="single" w:sz="6" w:space="0" w:color="auto"/>
            </w:tcBorders>
          </w:tcPr>
          <w:p w14:paraId="4E30D305"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193</w:t>
            </w:r>
          </w:p>
        </w:tc>
        <w:tc>
          <w:tcPr>
            <w:tcW w:w="709" w:type="dxa"/>
            <w:tcBorders>
              <w:top w:val="single" w:sz="6" w:space="0" w:color="auto"/>
              <w:left w:val="single" w:sz="6" w:space="0" w:color="auto"/>
              <w:bottom w:val="single" w:sz="6" w:space="0" w:color="auto"/>
              <w:right w:val="single" w:sz="6" w:space="0" w:color="auto"/>
            </w:tcBorders>
          </w:tcPr>
          <w:p w14:paraId="421C3318"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232</w:t>
            </w:r>
          </w:p>
        </w:tc>
        <w:tc>
          <w:tcPr>
            <w:tcW w:w="567" w:type="dxa"/>
            <w:tcBorders>
              <w:top w:val="single" w:sz="6" w:space="0" w:color="auto"/>
              <w:left w:val="single" w:sz="6" w:space="0" w:color="auto"/>
              <w:bottom w:val="single" w:sz="6" w:space="0" w:color="auto"/>
              <w:right w:val="single" w:sz="6" w:space="0" w:color="auto"/>
            </w:tcBorders>
          </w:tcPr>
          <w:p w14:paraId="4EE0F61C"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120</w:t>
            </w:r>
          </w:p>
        </w:tc>
      </w:tr>
      <w:tr w:rsidR="00132997" w:rsidRPr="003954D9" w14:paraId="2822EFFA" w14:textId="77777777" w:rsidTr="002B6D36">
        <w:trPr>
          <w:trHeight w:val="227"/>
        </w:trPr>
        <w:tc>
          <w:tcPr>
            <w:tcW w:w="1873" w:type="dxa"/>
            <w:tcBorders>
              <w:top w:val="single" w:sz="6" w:space="0" w:color="auto"/>
              <w:left w:val="single" w:sz="6" w:space="0" w:color="auto"/>
              <w:bottom w:val="single" w:sz="6" w:space="0" w:color="auto"/>
              <w:right w:val="single" w:sz="6" w:space="0" w:color="auto"/>
            </w:tcBorders>
          </w:tcPr>
          <w:p w14:paraId="08C10A2F"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709" w:type="dxa"/>
            <w:tcBorders>
              <w:top w:val="single" w:sz="6" w:space="0" w:color="auto"/>
              <w:left w:val="single" w:sz="6" w:space="0" w:color="auto"/>
              <w:bottom w:val="single" w:sz="6" w:space="0" w:color="auto"/>
              <w:right w:val="single" w:sz="6" w:space="0" w:color="auto"/>
            </w:tcBorders>
          </w:tcPr>
          <w:p w14:paraId="70B06A10"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709" w:type="dxa"/>
            <w:tcBorders>
              <w:top w:val="single" w:sz="6" w:space="0" w:color="auto"/>
              <w:left w:val="single" w:sz="6" w:space="0" w:color="auto"/>
              <w:bottom w:val="single" w:sz="6" w:space="0" w:color="auto"/>
              <w:right w:val="single" w:sz="6" w:space="0" w:color="auto"/>
            </w:tcBorders>
          </w:tcPr>
          <w:p w14:paraId="3AE1E279"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113</w:t>
            </w:r>
          </w:p>
        </w:tc>
        <w:tc>
          <w:tcPr>
            <w:tcW w:w="567" w:type="dxa"/>
            <w:tcBorders>
              <w:top w:val="single" w:sz="6" w:space="0" w:color="auto"/>
              <w:left w:val="single" w:sz="6" w:space="0" w:color="auto"/>
              <w:bottom w:val="single" w:sz="6" w:space="0" w:color="auto"/>
              <w:right w:val="single" w:sz="6" w:space="0" w:color="auto"/>
            </w:tcBorders>
          </w:tcPr>
          <w:p w14:paraId="06B9FCC6"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90</w:t>
            </w:r>
          </w:p>
        </w:tc>
      </w:tr>
      <w:tr w:rsidR="00132997" w:rsidRPr="003954D9" w14:paraId="539E3594" w14:textId="77777777" w:rsidTr="002B6D36">
        <w:trPr>
          <w:trHeight w:val="227"/>
        </w:trPr>
        <w:tc>
          <w:tcPr>
            <w:tcW w:w="1873" w:type="dxa"/>
            <w:tcBorders>
              <w:top w:val="single" w:sz="6" w:space="0" w:color="auto"/>
              <w:left w:val="single" w:sz="6" w:space="0" w:color="auto"/>
              <w:bottom w:val="single" w:sz="6" w:space="0" w:color="auto"/>
              <w:right w:val="single" w:sz="6" w:space="0" w:color="auto"/>
            </w:tcBorders>
          </w:tcPr>
          <w:p w14:paraId="5F5D1E90"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709" w:type="dxa"/>
            <w:tcBorders>
              <w:top w:val="single" w:sz="6" w:space="0" w:color="auto"/>
              <w:left w:val="single" w:sz="6" w:space="0" w:color="auto"/>
              <w:bottom w:val="single" w:sz="6" w:space="0" w:color="auto"/>
              <w:right w:val="single" w:sz="6" w:space="0" w:color="auto"/>
            </w:tcBorders>
          </w:tcPr>
          <w:p w14:paraId="126A64DD"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709" w:type="dxa"/>
            <w:tcBorders>
              <w:top w:val="single" w:sz="6" w:space="0" w:color="auto"/>
              <w:left w:val="single" w:sz="6" w:space="0" w:color="auto"/>
              <w:bottom w:val="single" w:sz="6" w:space="0" w:color="auto"/>
              <w:right w:val="single" w:sz="6" w:space="0" w:color="auto"/>
            </w:tcBorders>
          </w:tcPr>
          <w:p w14:paraId="16AC3101"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47</w:t>
            </w:r>
          </w:p>
        </w:tc>
        <w:tc>
          <w:tcPr>
            <w:tcW w:w="567" w:type="dxa"/>
            <w:tcBorders>
              <w:top w:val="single" w:sz="6" w:space="0" w:color="auto"/>
              <w:left w:val="single" w:sz="6" w:space="0" w:color="auto"/>
              <w:bottom w:val="single" w:sz="6" w:space="0" w:color="auto"/>
              <w:right w:val="single" w:sz="6" w:space="0" w:color="auto"/>
            </w:tcBorders>
          </w:tcPr>
          <w:p w14:paraId="66E0A81C"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181</w:t>
            </w:r>
          </w:p>
        </w:tc>
      </w:tr>
    </w:tbl>
    <w:p w14:paraId="5ADE5C02" w14:textId="1367AF0E" w:rsidR="00F010EB" w:rsidRPr="003954D9" w:rsidRDefault="00750E22" w:rsidP="00DD51D3">
      <w:pPr>
        <w:pStyle w:val="Rubrik3"/>
      </w:pPr>
      <w:bookmarkStart w:id="66" w:name="_Toc463184391"/>
      <w:bookmarkStart w:id="67" w:name="_Toc464828396"/>
      <w:r w:rsidRPr="003954D9">
        <w:t>H</w:t>
      </w:r>
      <w:r w:rsidR="00F010EB" w:rsidRPr="003954D9">
        <w:t>öjning 5 procent</w:t>
      </w:r>
      <w:bookmarkEnd w:id="66"/>
      <w:bookmarkEnd w:id="67"/>
    </w:p>
    <w:p w14:paraId="5CB6E7F2" w14:textId="6FED1E8E" w:rsidR="00E87C75" w:rsidRPr="003954D9" w:rsidRDefault="00E87C75" w:rsidP="00DD51D3">
      <w:pPr>
        <w:pStyle w:val="Rubrik4"/>
      </w:pPr>
      <w:r w:rsidRPr="003954D9">
        <w:t>Nivå totalt</w:t>
      </w:r>
    </w:p>
    <w:p w14:paraId="7C43F051" w14:textId="77777777" w:rsidR="0020437F" w:rsidRPr="003954D9" w:rsidRDefault="002C3C97" w:rsidP="0020437F">
      <w:pPr>
        <w:autoSpaceDE w:val="0"/>
        <w:autoSpaceDN w:val="0"/>
        <w:adjustRightInd w:val="0"/>
      </w:pPr>
      <w:r w:rsidRPr="003954D9">
        <w:t xml:space="preserve">Vid en hyreshöjning på fem procent har bilden tydligt förändrats. Skillnaden mellan situationen idag och efter hyreshöjningen är i förhållandevis liten – det sker en ökning med bara 1,8 procentenheter av alla i den undersökta gruppen jämfört med mer än en fördubbling vid en hyreshöjning på 50 procent. </w:t>
      </w:r>
      <w:r w:rsidR="0020437F" w:rsidRPr="003954D9">
        <w:t xml:space="preserve">Redan vid 25 procent finns många hushåll i riskzonen. Toleransnivån för hyreshöjningar kan förmodas ligga betydligt lägre än 25 procent.   </w:t>
      </w:r>
    </w:p>
    <w:p w14:paraId="42039B76" w14:textId="66FC747D" w:rsidR="002C3C97" w:rsidRPr="003954D9" w:rsidRDefault="002C3C97" w:rsidP="002C3C97"/>
    <w:p w14:paraId="1F7C8F7F" w14:textId="3D137C4A" w:rsidR="00F010EB" w:rsidRPr="003954D9" w:rsidRDefault="00F010EB" w:rsidP="00750E22">
      <w:r w:rsidRPr="003954D9">
        <w:t xml:space="preserve">Bara i Angered är andelen som riskerar att tvingas flytta högre än </w:t>
      </w:r>
      <w:r w:rsidR="002C3C97" w:rsidRPr="003954D9">
        <w:t>2</w:t>
      </w:r>
      <w:r w:rsidRPr="003954D9">
        <w:t xml:space="preserve">0 procent. I Östra Göteborg, Västra Hisingen, </w:t>
      </w:r>
      <w:r w:rsidR="00142516" w:rsidRPr="003954D9">
        <w:t xml:space="preserve">Norra Hisingen, </w:t>
      </w:r>
      <w:r w:rsidRPr="003954D9">
        <w:t xml:space="preserve">Askim-Frölunda-Högsbo </w:t>
      </w:r>
      <w:r w:rsidR="00142516" w:rsidRPr="003954D9">
        <w:t xml:space="preserve">och Lundby </w:t>
      </w:r>
      <w:r w:rsidRPr="003954D9">
        <w:t xml:space="preserve">ligger andelen på </w:t>
      </w:r>
      <w:r w:rsidR="00365C66" w:rsidRPr="003954D9">
        <w:t>15–20</w:t>
      </w:r>
      <w:r w:rsidRPr="003954D9">
        <w:t xml:space="preserve"> procent. I Centrum, Majorna-Linnéstaden, Örgryte-Härlanda och Västra Göteborg ligger andelen på mellan 20 och 15 procent. </w:t>
      </w:r>
      <w:r w:rsidR="00134657" w:rsidRPr="003954D9">
        <w:t>Ser man till antalet är ordningen densamma som vid 25 procent</w:t>
      </w:r>
      <w:r w:rsidR="00F1146D">
        <w:t>s</w:t>
      </w:r>
      <w:r w:rsidR="00134657" w:rsidRPr="003954D9">
        <w:t xml:space="preserve"> och 50 procents hyreshöjning. Angered ligger på nära 1 000, Östra Göteborg på drygt 700 och Västra Hisingen på n</w:t>
      </w:r>
      <w:r w:rsidR="0012175C" w:rsidRPr="003954D9">
        <w:t xml:space="preserve">ära 500. Askim-Frölunda-Högsbo och Majorna-Linnéstaden på mellan </w:t>
      </w:r>
      <w:r w:rsidR="00365C66" w:rsidRPr="003954D9">
        <w:t>400–300</w:t>
      </w:r>
      <w:r w:rsidR="0012175C" w:rsidRPr="003954D9">
        <w:t xml:space="preserve"> och Örgryte-Härlanda, Centrum och Norra Hisingen på </w:t>
      </w:r>
      <w:r w:rsidR="00365C66" w:rsidRPr="003954D9">
        <w:t>300–200</w:t>
      </w:r>
      <w:r w:rsidR="0012175C" w:rsidRPr="003954D9">
        <w:t xml:space="preserve"> följda av Lundby och Västra Göteborg.  </w:t>
      </w:r>
      <w:r w:rsidR="00134657" w:rsidRPr="003954D9">
        <w:t xml:space="preserve">   </w:t>
      </w:r>
    </w:p>
    <w:p w14:paraId="1A88C81F" w14:textId="77777777" w:rsidR="00E87C75" w:rsidRPr="003954D9" w:rsidRDefault="00E87C75" w:rsidP="00F010EB">
      <w:pPr>
        <w:autoSpaceDE w:val="0"/>
        <w:autoSpaceDN w:val="0"/>
        <w:adjustRightInd w:val="0"/>
      </w:pPr>
    </w:p>
    <w:p w14:paraId="0C71FC78" w14:textId="7DD35F91" w:rsidR="00E87C75" w:rsidRPr="003954D9" w:rsidRDefault="00E87C75" w:rsidP="00DD51D3">
      <w:pPr>
        <w:pStyle w:val="Rubrik4"/>
      </w:pPr>
      <w:r w:rsidRPr="003954D9">
        <w:t>Jämfört med 25 procent</w:t>
      </w:r>
    </w:p>
    <w:p w14:paraId="0CC6ECA0" w14:textId="1A120137" w:rsidR="0012175C" w:rsidRDefault="0012175C" w:rsidP="00F010EB">
      <w:pPr>
        <w:autoSpaceDE w:val="0"/>
        <w:autoSpaceDN w:val="0"/>
        <w:adjustRightInd w:val="0"/>
      </w:pPr>
      <w:r w:rsidRPr="003954D9">
        <w:t>I Angered är ökningen av antalet hushåll i riskzonen andelsmässigt lägre än mellan 25</w:t>
      </w:r>
      <w:r w:rsidR="00A30148" w:rsidRPr="003954D9">
        <w:t xml:space="preserve"> </w:t>
      </w:r>
      <w:r w:rsidR="00FC31CA" w:rsidRPr="003954D9">
        <w:t>procent</w:t>
      </w:r>
      <w:r w:rsidRPr="003954D9">
        <w:t xml:space="preserve"> och 50 procent och Lundby hamnar högst, men antalet är så litet att det saknar betydelse. </w:t>
      </w:r>
      <w:r w:rsidR="00787929" w:rsidRPr="003954D9">
        <w:t>I Centrum ser vi en andelsmässig ökning jämfört med steget mellan 25</w:t>
      </w:r>
      <w:r w:rsidR="00A30148" w:rsidRPr="003954D9">
        <w:t xml:space="preserve"> </w:t>
      </w:r>
      <w:r w:rsidR="00475673" w:rsidRPr="003954D9">
        <w:t>procent</w:t>
      </w:r>
      <w:r w:rsidR="00787929" w:rsidRPr="003954D9">
        <w:t xml:space="preserve"> och 50</w:t>
      </w:r>
      <w:r w:rsidR="00A30148" w:rsidRPr="003954D9">
        <w:t xml:space="preserve"> </w:t>
      </w:r>
      <w:r w:rsidR="00475673" w:rsidRPr="003954D9">
        <w:t>procent</w:t>
      </w:r>
      <w:r w:rsidR="00787929" w:rsidRPr="003954D9">
        <w:t xml:space="preserve">.  </w:t>
      </w:r>
      <w:r w:rsidR="006B02F2">
        <w:t>Se tabell 1:4.</w:t>
      </w:r>
    </w:p>
    <w:p w14:paraId="7D28BB2A" w14:textId="77777777" w:rsidR="00FF7B9D" w:rsidRPr="003954D9" w:rsidRDefault="00FF7B9D" w:rsidP="00F010EB">
      <w:pPr>
        <w:autoSpaceDE w:val="0"/>
        <w:autoSpaceDN w:val="0"/>
        <w:adjustRightInd w:val="0"/>
      </w:pPr>
    </w:p>
    <w:p w14:paraId="18CBC714" w14:textId="77777777" w:rsidR="006B02F2" w:rsidRDefault="006B02F2" w:rsidP="00132997">
      <w:pPr>
        <w:keepNext/>
        <w:keepLines/>
        <w:outlineLvl w:val="4"/>
        <w:rPr>
          <w:rFonts w:asciiTheme="majorHAnsi" w:eastAsiaTheme="majorEastAsia" w:hAnsiTheme="majorHAnsi" w:cstheme="majorBidi"/>
          <w:color w:val="243F60" w:themeColor="accent1" w:themeShade="7F"/>
          <w:sz w:val="23"/>
        </w:rPr>
      </w:pPr>
      <w:r>
        <w:rPr>
          <w:rFonts w:asciiTheme="majorHAnsi" w:eastAsiaTheme="majorEastAsia" w:hAnsiTheme="majorHAnsi" w:cstheme="majorBidi"/>
          <w:color w:val="243F60" w:themeColor="accent1" w:themeShade="7F"/>
          <w:sz w:val="23"/>
        </w:rPr>
        <w:br w:type="page"/>
      </w:r>
    </w:p>
    <w:p w14:paraId="697076BA" w14:textId="3EB74B2D" w:rsidR="00132997" w:rsidRPr="003954D9" w:rsidRDefault="00132997" w:rsidP="00132997">
      <w:pPr>
        <w:keepNext/>
        <w:keepLines/>
        <w:outlineLvl w:val="4"/>
        <w:rPr>
          <w:rFonts w:asciiTheme="majorHAnsi" w:eastAsiaTheme="majorEastAsia" w:hAnsiTheme="majorHAnsi" w:cstheme="majorBidi"/>
          <w:color w:val="243F60" w:themeColor="accent1" w:themeShade="7F"/>
          <w:sz w:val="23"/>
        </w:rPr>
      </w:pPr>
      <w:r w:rsidRPr="003954D9">
        <w:rPr>
          <w:rFonts w:asciiTheme="majorHAnsi" w:eastAsiaTheme="majorEastAsia" w:hAnsiTheme="majorHAnsi" w:cstheme="majorBidi"/>
          <w:color w:val="243F60" w:themeColor="accent1" w:themeShade="7F"/>
          <w:sz w:val="23"/>
        </w:rPr>
        <w:lastRenderedPageBreak/>
        <w:t xml:space="preserve">Tabell 1:4 Hushåll som ligger i riskzonen vid 5 och 25 procents hyreshöjning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8"/>
        <w:gridCol w:w="751"/>
        <w:gridCol w:w="708"/>
        <w:gridCol w:w="1560"/>
      </w:tblGrid>
      <w:tr w:rsidR="00132997" w:rsidRPr="003954D9" w14:paraId="37612F27" w14:textId="77777777" w:rsidTr="002F06B1">
        <w:trPr>
          <w:trHeight w:val="227"/>
        </w:trPr>
        <w:tc>
          <w:tcPr>
            <w:tcW w:w="1868" w:type="dxa"/>
            <w:vMerge w:val="restart"/>
          </w:tcPr>
          <w:p w14:paraId="1A87A426" w14:textId="77777777" w:rsidR="00132997" w:rsidRPr="003954D9" w:rsidRDefault="00132997"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751" w:type="dxa"/>
          </w:tcPr>
          <w:p w14:paraId="60B112D4" w14:textId="4673046D" w:rsidR="00132997" w:rsidRPr="003954D9" w:rsidRDefault="00132997"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Höjning 5</w:t>
            </w:r>
            <w:r w:rsidR="002F06B1" w:rsidRPr="003954D9">
              <w:rPr>
                <w:rFonts w:ascii="Calibri" w:hAnsi="Calibri" w:cs="Calibri"/>
                <w:b/>
                <w:bCs/>
                <w:color w:val="000000"/>
                <w:sz w:val="16"/>
                <w:szCs w:val="16"/>
              </w:rPr>
              <w:t xml:space="preserve"> %</w:t>
            </w:r>
          </w:p>
        </w:tc>
        <w:tc>
          <w:tcPr>
            <w:tcW w:w="708" w:type="dxa"/>
          </w:tcPr>
          <w:p w14:paraId="042C44BB" w14:textId="50EDD37A" w:rsidR="00132997" w:rsidRPr="003954D9" w:rsidRDefault="00132997"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Höjning 25</w:t>
            </w:r>
            <w:r w:rsidR="002F06B1" w:rsidRPr="003954D9">
              <w:rPr>
                <w:rFonts w:ascii="Calibri" w:hAnsi="Calibri" w:cs="Calibri"/>
                <w:b/>
                <w:bCs/>
                <w:color w:val="000000"/>
                <w:sz w:val="16"/>
                <w:szCs w:val="16"/>
              </w:rPr>
              <w:t xml:space="preserve"> %</w:t>
            </w:r>
          </w:p>
        </w:tc>
        <w:tc>
          <w:tcPr>
            <w:tcW w:w="1560" w:type="dxa"/>
          </w:tcPr>
          <w:p w14:paraId="559515FD" w14:textId="77777777" w:rsidR="00B978BC" w:rsidRDefault="002F06B1"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 xml:space="preserve">Höjning </w:t>
            </w:r>
            <w:r w:rsidR="00132997" w:rsidRPr="003954D9">
              <w:rPr>
                <w:rFonts w:ascii="Calibri" w:hAnsi="Calibri" w:cs="Calibri"/>
                <w:b/>
                <w:bCs/>
                <w:color w:val="000000"/>
                <w:sz w:val="16"/>
                <w:szCs w:val="16"/>
              </w:rPr>
              <w:t>5</w:t>
            </w:r>
            <w:r w:rsidR="003954D9" w:rsidRPr="003954D9">
              <w:rPr>
                <w:rFonts w:ascii="Calibri" w:hAnsi="Calibri" w:cs="Calibri"/>
                <w:b/>
                <w:bCs/>
                <w:color w:val="000000"/>
                <w:sz w:val="16"/>
                <w:szCs w:val="16"/>
              </w:rPr>
              <w:t xml:space="preserve"> % </w:t>
            </w:r>
            <w:r w:rsidR="00B978BC">
              <w:rPr>
                <w:rFonts w:ascii="Calibri" w:hAnsi="Calibri" w:cs="Calibri"/>
                <w:b/>
                <w:bCs/>
                <w:color w:val="000000"/>
                <w:sz w:val="16"/>
                <w:szCs w:val="16"/>
              </w:rPr>
              <w:t>/</w:t>
            </w:r>
          </w:p>
          <w:p w14:paraId="31557B1F" w14:textId="116B1F1B" w:rsidR="00132997" w:rsidRPr="003954D9" w:rsidRDefault="003954D9"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höjning</w:t>
            </w:r>
            <w:r w:rsidR="002F06B1" w:rsidRPr="003954D9">
              <w:rPr>
                <w:rFonts w:ascii="Calibri" w:hAnsi="Calibri" w:cs="Calibri"/>
                <w:b/>
                <w:bCs/>
                <w:color w:val="000000"/>
                <w:sz w:val="16"/>
                <w:szCs w:val="16"/>
              </w:rPr>
              <w:t xml:space="preserve"> </w:t>
            </w:r>
            <w:r w:rsidR="00132997" w:rsidRPr="003954D9">
              <w:rPr>
                <w:rFonts w:ascii="Calibri" w:hAnsi="Calibri" w:cs="Calibri"/>
                <w:b/>
                <w:bCs/>
                <w:color w:val="000000"/>
                <w:sz w:val="16"/>
                <w:szCs w:val="16"/>
              </w:rPr>
              <w:t>25</w:t>
            </w:r>
            <w:r w:rsidR="00F32099" w:rsidRPr="003954D9">
              <w:rPr>
                <w:rFonts w:ascii="Calibri" w:hAnsi="Calibri" w:cs="Calibri"/>
                <w:b/>
                <w:bCs/>
                <w:color w:val="000000"/>
                <w:sz w:val="16"/>
                <w:szCs w:val="16"/>
              </w:rPr>
              <w:t xml:space="preserve"> %</w:t>
            </w:r>
          </w:p>
        </w:tc>
      </w:tr>
      <w:tr w:rsidR="00132997" w:rsidRPr="003954D9" w14:paraId="65782381" w14:textId="77777777" w:rsidTr="002F06B1">
        <w:trPr>
          <w:trHeight w:val="227"/>
        </w:trPr>
        <w:tc>
          <w:tcPr>
            <w:tcW w:w="1868" w:type="dxa"/>
            <w:vMerge/>
          </w:tcPr>
          <w:p w14:paraId="265AAB4F" w14:textId="53797A2E" w:rsidR="00132997" w:rsidRPr="003954D9" w:rsidRDefault="00132997" w:rsidP="00132997">
            <w:pPr>
              <w:autoSpaceDE w:val="0"/>
              <w:autoSpaceDN w:val="0"/>
              <w:adjustRightInd w:val="0"/>
              <w:ind w:left="172" w:hanging="142"/>
              <w:jc w:val="right"/>
              <w:rPr>
                <w:rFonts w:ascii="Calibri" w:hAnsi="Calibri" w:cs="Calibri"/>
                <w:b/>
                <w:bCs/>
                <w:color w:val="000000"/>
                <w:sz w:val="22"/>
                <w:szCs w:val="22"/>
              </w:rPr>
            </w:pPr>
          </w:p>
        </w:tc>
        <w:tc>
          <w:tcPr>
            <w:tcW w:w="751" w:type="dxa"/>
          </w:tcPr>
          <w:p w14:paraId="7F6ABBC1" w14:textId="77777777" w:rsidR="00132997" w:rsidRPr="003954D9" w:rsidRDefault="00132997" w:rsidP="00132997">
            <w:pPr>
              <w:autoSpaceDE w:val="0"/>
              <w:autoSpaceDN w:val="0"/>
              <w:adjustRightInd w:val="0"/>
              <w:ind w:left="172" w:hanging="142"/>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708" w:type="dxa"/>
          </w:tcPr>
          <w:p w14:paraId="3CB1D4F2" w14:textId="77777777" w:rsidR="00132997" w:rsidRPr="003954D9" w:rsidRDefault="00132997" w:rsidP="00132997">
            <w:pPr>
              <w:autoSpaceDE w:val="0"/>
              <w:autoSpaceDN w:val="0"/>
              <w:adjustRightInd w:val="0"/>
              <w:ind w:left="172" w:hanging="142"/>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1560" w:type="dxa"/>
          </w:tcPr>
          <w:p w14:paraId="0D432F3E" w14:textId="35EF3C1A" w:rsidR="00132997" w:rsidRPr="003954D9" w:rsidRDefault="002F06B1" w:rsidP="00132997">
            <w:pPr>
              <w:autoSpaceDE w:val="0"/>
              <w:autoSpaceDN w:val="0"/>
              <w:adjustRightInd w:val="0"/>
              <w:ind w:left="172" w:hanging="142"/>
              <w:jc w:val="right"/>
              <w:rPr>
                <w:rFonts w:ascii="Calibri" w:hAnsi="Calibri" w:cs="Calibri"/>
                <w:b/>
                <w:bCs/>
                <w:color w:val="000000"/>
                <w:sz w:val="16"/>
                <w:szCs w:val="16"/>
              </w:rPr>
            </w:pPr>
            <w:r w:rsidRPr="003954D9">
              <w:rPr>
                <w:rFonts w:ascii="Calibri" w:hAnsi="Calibri" w:cs="Calibri"/>
                <w:b/>
                <w:bCs/>
                <w:color w:val="000000"/>
                <w:sz w:val="16"/>
                <w:szCs w:val="16"/>
              </w:rPr>
              <w:t>%</w:t>
            </w:r>
          </w:p>
        </w:tc>
      </w:tr>
      <w:tr w:rsidR="00132997" w:rsidRPr="003954D9" w14:paraId="62AA3FE5" w14:textId="77777777" w:rsidTr="002F06B1">
        <w:trPr>
          <w:trHeight w:val="227"/>
        </w:trPr>
        <w:tc>
          <w:tcPr>
            <w:tcW w:w="1868" w:type="dxa"/>
          </w:tcPr>
          <w:p w14:paraId="4CF6FEBA" w14:textId="77777777" w:rsidR="00132997" w:rsidRPr="003954D9" w:rsidRDefault="00132997"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Lundby</w:t>
            </w:r>
          </w:p>
        </w:tc>
        <w:tc>
          <w:tcPr>
            <w:tcW w:w="751" w:type="dxa"/>
          </w:tcPr>
          <w:p w14:paraId="3A9710DE"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138</w:t>
            </w:r>
          </w:p>
        </w:tc>
        <w:tc>
          <w:tcPr>
            <w:tcW w:w="708" w:type="dxa"/>
          </w:tcPr>
          <w:p w14:paraId="506EF2AF"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178</w:t>
            </w:r>
          </w:p>
        </w:tc>
        <w:tc>
          <w:tcPr>
            <w:tcW w:w="1560" w:type="dxa"/>
          </w:tcPr>
          <w:p w14:paraId="4B60FBD7"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78</w:t>
            </w:r>
          </w:p>
        </w:tc>
      </w:tr>
      <w:tr w:rsidR="00132997" w:rsidRPr="003954D9" w14:paraId="5D90246D" w14:textId="77777777" w:rsidTr="002F06B1">
        <w:trPr>
          <w:trHeight w:val="227"/>
        </w:trPr>
        <w:tc>
          <w:tcPr>
            <w:tcW w:w="1868" w:type="dxa"/>
          </w:tcPr>
          <w:p w14:paraId="38621766" w14:textId="77777777" w:rsidR="00132997" w:rsidRPr="003954D9" w:rsidRDefault="00132997"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51" w:type="dxa"/>
          </w:tcPr>
          <w:p w14:paraId="26286A6A"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219</w:t>
            </w:r>
          </w:p>
        </w:tc>
        <w:tc>
          <w:tcPr>
            <w:tcW w:w="708" w:type="dxa"/>
          </w:tcPr>
          <w:p w14:paraId="77872D7C"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306</w:t>
            </w:r>
          </w:p>
        </w:tc>
        <w:tc>
          <w:tcPr>
            <w:tcW w:w="1560" w:type="dxa"/>
          </w:tcPr>
          <w:p w14:paraId="17E8EB1B"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72</w:t>
            </w:r>
          </w:p>
        </w:tc>
      </w:tr>
      <w:tr w:rsidR="00132997" w:rsidRPr="003954D9" w14:paraId="0FAB72CF" w14:textId="77777777" w:rsidTr="002F06B1">
        <w:trPr>
          <w:trHeight w:val="227"/>
        </w:trPr>
        <w:tc>
          <w:tcPr>
            <w:tcW w:w="1868" w:type="dxa"/>
          </w:tcPr>
          <w:p w14:paraId="7DD25D95" w14:textId="77777777" w:rsidR="00132997" w:rsidRPr="003954D9" w:rsidRDefault="00132997"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751" w:type="dxa"/>
          </w:tcPr>
          <w:p w14:paraId="0A5D243A"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727</w:t>
            </w:r>
          </w:p>
        </w:tc>
        <w:tc>
          <w:tcPr>
            <w:tcW w:w="708" w:type="dxa"/>
          </w:tcPr>
          <w:p w14:paraId="32438BBB"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1 028</w:t>
            </w:r>
          </w:p>
        </w:tc>
        <w:tc>
          <w:tcPr>
            <w:tcW w:w="1560" w:type="dxa"/>
          </w:tcPr>
          <w:p w14:paraId="6454436C"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71</w:t>
            </w:r>
          </w:p>
        </w:tc>
      </w:tr>
      <w:tr w:rsidR="00132997" w:rsidRPr="003954D9" w14:paraId="0D593135" w14:textId="77777777" w:rsidTr="002F06B1">
        <w:trPr>
          <w:trHeight w:val="227"/>
        </w:trPr>
        <w:tc>
          <w:tcPr>
            <w:tcW w:w="1868" w:type="dxa"/>
          </w:tcPr>
          <w:p w14:paraId="3F602A3E" w14:textId="77777777" w:rsidR="00132997" w:rsidRPr="003954D9" w:rsidRDefault="00132997"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Angered</w:t>
            </w:r>
          </w:p>
        </w:tc>
        <w:tc>
          <w:tcPr>
            <w:tcW w:w="751" w:type="dxa"/>
          </w:tcPr>
          <w:p w14:paraId="67416B75"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962</w:t>
            </w:r>
          </w:p>
        </w:tc>
        <w:tc>
          <w:tcPr>
            <w:tcW w:w="708" w:type="dxa"/>
          </w:tcPr>
          <w:p w14:paraId="53C446A9"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1 385</w:t>
            </w:r>
          </w:p>
        </w:tc>
        <w:tc>
          <w:tcPr>
            <w:tcW w:w="1560" w:type="dxa"/>
          </w:tcPr>
          <w:p w14:paraId="2BD7B576"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70</w:t>
            </w:r>
          </w:p>
        </w:tc>
      </w:tr>
      <w:tr w:rsidR="00132997" w:rsidRPr="003954D9" w14:paraId="5E8CA72A" w14:textId="77777777" w:rsidTr="002F06B1">
        <w:trPr>
          <w:trHeight w:val="227"/>
        </w:trPr>
        <w:tc>
          <w:tcPr>
            <w:tcW w:w="1868" w:type="dxa"/>
          </w:tcPr>
          <w:p w14:paraId="31C180B7" w14:textId="77777777" w:rsidR="00132997" w:rsidRPr="003954D9" w:rsidRDefault="00132997"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751" w:type="dxa"/>
          </w:tcPr>
          <w:p w14:paraId="6773CABD"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279</w:t>
            </w:r>
          </w:p>
        </w:tc>
        <w:tc>
          <w:tcPr>
            <w:tcW w:w="708" w:type="dxa"/>
          </w:tcPr>
          <w:p w14:paraId="6035A1D4"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401</w:t>
            </w:r>
          </w:p>
        </w:tc>
        <w:tc>
          <w:tcPr>
            <w:tcW w:w="1560" w:type="dxa"/>
          </w:tcPr>
          <w:p w14:paraId="048E34CF"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70</w:t>
            </w:r>
          </w:p>
        </w:tc>
      </w:tr>
      <w:tr w:rsidR="00132997" w:rsidRPr="003954D9" w14:paraId="2B1AA411" w14:textId="77777777" w:rsidTr="002F06B1">
        <w:trPr>
          <w:trHeight w:val="227"/>
        </w:trPr>
        <w:tc>
          <w:tcPr>
            <w:tcW w:w="1868" w:type="dxa"/>
          </w:tcPr>
          <w:p w14:paraId="54F5D86A" w14:textId="77777777" w:rsidR="00132997" w:rsidRPr="003954D9" w:rsidRDefault="00132997"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51" w:type="dxa"/>
          </w:tcPr>
          <w:p w14:paraId="767C3265"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259</w:t>
            </w:r>
          </w:p>
        </w:tc>
        <w:tc>
          <w:tcPr>
            <w:tcW w:w="708" w:type="dxa"/>
          </w:tcPr>
          <w:p w14:paraId="15A64F5F"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373</w:t>
            </w:r>
          </w:p>
        </w:tc>
        <w:tc>
          <w:tcPr>
            <w:tcW w:w="1560" w:type="dxa"/>
          </w:tcPr>
          <w:p w14:paraId="283F9A99"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69</w:t>
            </w:r>
          </w:p>
        </w:tc>
      </w:tr>
      <w:tr w:rsidR="00132997" w:rsidRPr="003954D9" w14:paraId="3ED471A7" w14:textId="77777777" w:rsidTr="002F06B1">
        <w:trPr>
          <w:trHeight w:val="227"/>
        </w:trPr>
        <w:tc>
          <w:tcPr>
            <w:tcW w:w="1868" w:type="dxa"/>
          </w:tcPr>
          <w:p w14:paraId="3814FAC4" w14:textId="77777777" w:rsidR="00132997" w:rsidRPr="003954D9" w:rsidRDefault="00132997"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751" w:type="dxa"/>
          </w:tcPr>
          <w:p w14:paraId="17E4FBD6"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325</w:t>
            </w:r>
          </w:p>
        </w:tc>
        <w:tc>
          <w:tcPr>
            <w:tcW w:w="708" w:type="dxa"/>
          </w:tcPr>
          <w:p w14:paraId="469DF0EC"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480</w:t>
            </w:r>
          </w:p>
        </w:tc>
        <w:tc>
          <w:tcPr>
            <w:tcW w:w="1560" w:type="dxa"/>
          </w:tcPr>
          <w:p w14:paraId="34305FB5"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68</w:t>
            </w:r>
          </w:p>
        </w:tc>
      </w:tr>
      <w:tr w:rsidR="00132997" w:rsidRPr="003954D9" w14:paraId="7ED72F45" w14:textId="77777777" w:rsidTr="002F06B1">
        <w:trPr>
          <w:trHeight w:val="227"/>
        </w:trPr>
        <w:tc>
          <w:tcPr>
            <w:tcW w:w="1868" w:type="dxa"/>
          </w:tcPr>
          <w:p w14:paraId="7718F7C5" w14:textId="77777777" w:rsidR="00132997" w:rsidRPr="003954D9" w:rsidRDefault="00132997" w:rsidP="00132997">
            <w:pPr>
              <w:autoSpaceDE w:val="0"/>
              <w:autoSpaceDN w:val="0"/>
              <w:adjustRightInd w:val="0"/>
              <w:ind w:left="172" w:hanging="142"/>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51" w:type="dxa"/>
          </w:tcPr>
          <w:p w14:paraId="13E6342F"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494</w:t>
            </w:r>
          </w:p>
        </w:tc>
        <w:tc>
          <w:tcPr>
            <w:tcW w:w="708" w:type="dxa"/>
          </w:tcPr>
          <w:p w14:paraId="016CAD0B"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727</w:t>
            </w:r>
          </w:p>
        </w:tc>
        <w:tc>
          <w:tcPr>
            <w:tcW w:w="1560" w:type="dxa"/>
          </w:tcPr>
          <w:p w14:paraId="41373ACA" w14:textId="77777777" w:rsidR="00132997" w:rsidRPr="003954D9" w:rsidRDefault="00132997" w:rsidP="00132997">
            <w:pPr>
              <w:autoSpaceDE w:val="0"/>
              <w:autoSpaceDN w:val="0"/>
              <w:adjustRightInd w:val="0"/>
              <w:ind w:left="172" w:hanging="142"/>
              <w:jc w:val="right"/>
              <w:rPr>
                <w:rFonts w:ascii="Calibri" w:hAnsi="Calibri" w:cs="Calibri"/>
                <w:color w:val="000000"/>
                <w:sz w:val="16"/>
                <w:szCs w:val="16"/>
              </w:rPr>
            </w:pPr>
            <w:r w:rsidRPr="003954D9">
              <w:rPr>
                <w:rFonts w:ascii="Calibri" w:hAnsi="Calibri" w:cs="Calibri"/>
                <w:color w:val="000000"/>
                <w:sz w:val="16"/>
                <w:szCs w:val="16"/>
              </w:rPr>
              <w:t>68</w:t>
            </w:r>
          </w:p>
        </w:tc>
      </w:tr>
      <w:tr w:rsidR="00132997" w:rsidRPr="003954D9" w14:paraId="5F829EDD" w14:textId="77777777" w:rsidTr="002F06B1">
        <w:trPr>
          <w:trHeight w:val="227"/>
        </w:trPr>
        <w:tc>
          <w:tcPr>
            <w:tcW w:w="1868" w:type="dxa"/>
          </w:tcPr>
          <w:p w14:paraId="203D7835"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51" w:type="dxa"/>
          </w:tcPr>
          <w:p w14:paraId="713952C2"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366</w:t>
            </w:r>
          </w:p>
        </w:tc>
        <w:tc>
          <w:tcPr>
            <w:tcW w:w="708" w:type="dxa"/>
          </w:tcPr>
          <w:p w14:paraId="3F28BD96"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579</w:t>
            </w:r>
          </w:p>
        </w:tc>
        <w:tc>
          <w:tcPr>
            <w:tcW w:w="1560" w:type="dxa"/>
          </w:tcPr>
          <w:p w14:paraId="18FDE68E"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63</w:t>
            </w:r>
          </w:p>
        </w:tc>
      </w:tr>
      <w:tr w:rsidR="00132997" w:rsidRPr="003954D9" w14:paraId="2AFAA698" w14:textId="77777777" w:rsidTr="002F06B1">
        <w:trPr>
          <w:trHeight w:val="227"/>
        </w:trPr>
        <w:tc>
          <w:tcPr>
            <w:tcW w:w="1868" w:type="dxa"/>
          </w:tcPr>
          <w:p w14:paraId="311576DA"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751" w:type="dxa"/>
          </w:tcPr>
          <w:p w14:paraId="1F7D589F"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w:t>
            </w:r>
          </w:p>
        </w:tc>
        <w:tc>
          <w:tcPr>
            <w:tcW w:w="708" w:type="dxa"/>
          </w:tcPr>
          <w:p w14:paraId="26BD93EB"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w:t>
            </w:r>
          </w:p>
        </w:tc>
        <w:tc>
          <w:tcPr>
            <w:tcW w:w="1560" w:type="dxa"/>
          </w:tcPr>
          <w:p w14:paraId="51E07523"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w:t>
            </w:r>
          </w:p>
        </w:tc>
      </w:tr>
    </w:tbl>
    <w:p w14:paraId="11256706" w14:textId="77777777" w:rsidR="0012175C" w:rsidRPr="003954D9" w:rsidRDefault="0012175C" w:rsidP="00F010EB">
      <w:pPr>
        <w:autoSpaceDE w:val="0"/>
        <w:autoSpaceDN w:val="0"/>
        <w:adjustRightInd w:val="0"/>
      </w:pPr>
    </w:p>
    <w:p w14:paraId="143A457F" w14:textId="3106400D" w:rsidR="00E87C75" w:rsidRPr="003954D9" w:rsidRDefault="00E87C75" w:rsidP="00DD51D3">
      <w:pPr>
        <w:pStyle w:val="Rubrik4"/>
      </w:pPr>
      <w:r w:rsidRPr="003954D9">
        <w:t>Jämfört med idag</w:t>
      </w:r>
    </w:p>
    <w:p w14:paraId="4F10F5BD" w14:textId="1330A2B2" w:rsidR="004172FD" w:rsidRPr="003954D9" w:rsidRDefault="004172FD" w:rsidP="00572FEE">
      <w:r w:rsidRPr="003954D9">
        <w:t>Om man jämför med dagsläget kan man se samma mönster som vid en ökning på 50 procent. Det är de stadsdelar som redan har ett stort anta</w:t>
      </w:r>
      <w:r w:rsidR="00A30148" w:rsidRPr="003954D9">
        <w:t>l</w:t>
      </w:r>
      <w:r w:rsidRPr="003954D9">
        <w:t xml:space="preserve"> hushåll i riskzonen som har den största ökningen. Liksom vid ökningen </w:t>
      </w:r>
      <w:r w:rsidR="00FC31CA" w:rsidRPr="003954D9">
        <w:t xml:space="preserve">av hyrorna med </w:t>
      </w:r>
      <w:r w:rsidRPr="003954D9">
        <w:t xml:space="preserve">25 </w:t>
      </w:r>
      <w:r w:rsidR="00475673" w:rsidRPr="003954D9">
        <w:t>procent</w:t>
      </w:r>
      <w:r w:rsidRPr="003954D9">
        <w:t xml:space="preserve"> och 50 </w:t>
      </w:r>
      <w:r w:rsidR="00475673" w:rsidRPr="003954D9">
        <w:t>procent</w:t>
      </w:r>
      <w:r w:rsidRPr="003954D9">
        <w:t xml:space="preserve"> sker dock andelsmässigt den största ökningen inte i Angered utan i Östra Göteborg, Västra Hisingen, Askim-Frölunda-Högsbo och i Majorna-Linnéstaden samt Norra Hisingen. Det tyder på att de i dessa stadsdelar finns en relativt sett större grupp som idag ligger nära gränsen för skälig levnadsnivå.  </w:t>
      </w:r>
      <w:r w:rsidR="00C8268E" w:rsidRPr="003954D9">
        <w:t>Se tabell 1:5</w:t>
      </w:r>
      <w:r w:rsidR="006B02F2">
        <w:t>.</w:t>
      </w:r>
    </w:p>
    <w:p w14:paraId="29929854" w14:textId="77777777" w:rsidR="00750E22" w:rsidRPr="003954D9" w:rsidRDefault="00750E22" w:rsidP="00C75ED8">
      <w:pPr>
        <w:pStyle w:val="Rubrik5"/>
        <w:spacing w:before="0" w:line="240" w:lineRule="exact"/>
        <w:jc w:val="center"/>
      </w:pPr>
    </w:p>
    <w:p w14:paraId="27D9A4D7" w14:textId="77777777" w:rsidR="00132997" w:rsidRPr="003954D9" w:rsidRDefault="00132997" w:rsidP="00132997">
      <w:pPr>
        <w:keepNext/>
        <w:keepLines/>
        <w:spacing w:line="240" w:lineRule="exact"/>
        <w:outlineLvl w:val="4"/>
        <w:rPr>
          <w:rFonts w:asciiTheme="majorHAnsi" w:eastAsiaTheme="majorEastAsia" w:hAnsiTheme="majorHAnsi" w:cstheme="majorBidi"/>
          <w:color w:val="243F60" w:themeColor="accent1" w:themeShade="7F"/>
          <w:sz w:val="23"/>
        </w:rPr>
      </w:pPr>
      <w:r w:rsidRPr="003954D9">
        <w:rPr>
          <w:rFonts w:asciiTheme="majorHAnsi" w:eastAsiaTheme="majorEastAsia" w:hAnsiTheme="majorHAnsi" w:cstheme="majorBidi"/>
          <w:color w:val="243F60" w:themeColor="accent1" w:themeShade="7F"/>
          <w:sz w:val="23"/>
        </w:rPr>
        <w:t>Tabell 1:5: Ökning av antalet hushåll i riskzonen efter hyreshöjning på 50 procent jämfört med idag</w:t>
      </w:r>
    </w:p>
    <w:tbl>
      <w:tblPr>
        <w:tblW w:w="0" w:type="auto"/>
        <w:tblInd w:w="134" w:type="dxa"/>
        <w:tblLayout w:type="fixed"/>
        <w:tblCellMar>
          <w:left w:w="70" w:type="dxa"/>
          <w:right w:w="70" w:type="dxa"/>
        </w:tblCellMar>
        <w:tblLook w:val="0000" w:firstRow="0" w:lastRow="0" w:firstColumn="0" w:lastColumn="0" w:noHBand="0" w:noVBand="0"/>
      </w:tblPr>
      <w:tblGrid>
        <w:gridCol w:w="1873"/>
        <w:gridCol w:w="709"/>
        <w:gridCol w:w="567"/>
        <w:gridCol w:w="567"/>
        <w:gridCol w:w="7"/>
      </w:tblGrid>
      <w:tr w:rsidR="00132997" w:rsidRPr="003954D9" w14:paraId="02A3E5AF" w14:textId="77777777" w:rsidTr="002B6D36">
        <w:trPr>
          <w:trHeight w:val="227"/>
        </w:trPr>
        <w:tc>
          <w:tcPr>
            <w:tcW w:w="1873" w:type="dxa"/>
            <w:vMerge w:val="restart"/>
            <w:tcBorders>
              <w:top w:val="single" w:sz="6" w:space="0" w:color="auto"/>
              <w:left w:val="single" w:sz="6" w:space="0" w:color="auto"/>
              <w:right w:val="single" w:sz="6" w:space="0" w:color="auto"/>
            </w:tcBorders>
          </w:tcPr>
          <w:p w14:paraId="63958CEB"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709" w:type="dxa"/>
            <w:tcBorders>
              <w:top w:val="single" w:sz="6" w:space="0" w:color="auto"/>
              <w:left w:val="single" w:sz="6" w:space="0" w:color="auto"/>
              <w:bottom w:val="single" w:sz="6" w:space="0" w:color="auto"/>
              <w:right w:val="single" w:sz="6" w:space="0" w:color="auto"/>
            </w:tcBorders>
          </w:tcPr>
          <w:p w14:paraId="7B4BF1C7"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Idag</w:t>
            </w:r>
          </w:p>
        </w:tc>
        <w:tc>
          <w:tcPr>
            <w:tcW w:w="1141" w:type="dxa"/>
            <w:gridSpan w:val="3"/>
            <w:tcBorders>
              <w:top w:val="single" w:sz="6" w:space="0" w:color="auto"/>
              <w:left w:val="single" w:sz="6" w:space="0" w:color="auto"/>
              <w:bottom w:val="single" w:sz="6" w:space="0" w:color="auto"/>
              <w:right w:val="single" w:sz="6" w:space="0" w:color="auto"/>
            </w:tcBorders>
          </w:tcPr>
          <w:p w14:paraId="2B875A67" w14:textId="3EA27A32" w:rsidR="00132997" w:rsidRPr="003954D9" w:rsidRDefault="00132997" w:rsidP="00132997">
            <w:pPr>
              <w:autoSpaceDE w:val="0"/>
              <w:autoSpaceDN w:val="0"/>
              <w:adjustRightInd w:val="0"/>
              <w:rPr>
                <w:rFonts w:ascii="Calibri" w:hAnsi="Calibri" w:cs="Calibri"/>
                <w:b/>
                <w:bCs/>
                <w:color w:val="000000"/>
                <w:sz w:val="22"/>
                <w:szCs w:val="22"/>
              </w:rPr>
            </w:pPr>
            <w:r w:rsidRPr="003954D9">
              <w:rPr>
                <w:rFonts w:ascii="Calibri" w:hAnsi="Calibri" w:cs="Calibri"/>
                <w:b/>
                <w:bCs/>
                <w:color w:val="000000"/>
                <w:sz w:val="16"/>
                <w:szCs w:val="16"/>
              </w:rPr>
              <w:t xml:space="preserve">Ökning vid 5 </w:t>
            </w:r>
            <w:r w:rsidR="00F32099" w:rsidRPr="003954D9">
              <w:rPr>
                <w:rFonts w:ascii="Calibri" w:hAnsi="Calibri" w:cs="Calibri"/>
                <w:b/>
                <w:bCs/>
                <w:color w:val="000000"/>
                <w:sz w:val="16"/>
                <w:szCs w:val="16"/>
              </w:rPr>
              <w:t>%</w:t>
            </w:r>
          </w:p>
        </w:tc>
      </w:tr>
      <w:tr w:rsidR="00132997" w:rsidRPr="003954D9" w14:paraId="0FF1C0A3" w14:textId="77777777" w:rsidTr="002B6D36">
        <w:trPr>
          <w:gridAfter w:val="1"/>
          <w:wAfter w:w="7" w:type="dxa"/>
          <w:trHeight w:val="227"/>
        </w:trPr>
        <w:tc>
          <w:tcPr>
            <w:tcW w:w="1873" w:type="dxa"/>
            <w:vMerge/>
            <w:tcBorders>
              <w:left w:val="single" w:sz="6" w:space="0" w:color="auto"/>
              <w:bottom w:val="single" w:sz="6" w:space="0" w:color="auto"/>
              <w:right w:val="single" w:sz="6" w:space="0" w:color="auto"/>
            </w:tcBorders>
          </w:tcPr>
          <w:p w14:paraId="64AF09E4" w14:textId="77777777" w:rsidR="00132997" w:rsidRPr="003954D9" w:rsidRDefault="00132997" w:rsidP="00132997">
            <w:pPr>
              <w:autoSpaceDE w:val="0"/>
              <w:autoSpaceDN w:val="0"/>
              <w:adjustRightInd w:val="0"/>
              <w:jc w:val="right"/>
              <w:rPr>
                <w:rFonts w:ascii="Calibri" w:hAnsi="Calibri" w:cs="Calibri"/>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2A1B6D30" w14:textId="77777777" w:rsidR="00132997" w:rsidRPr="003954D9" w:rsidRDefault="00132997"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7938907E" w14:textId="77777777" w:rsidR="00132997" w:rsidRPr="003954D9" w:rsidRDefault="00132997"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0A0C2B9C" w14:textId="1554E047" w:rsidR="00132997" w:rsidRPr="003954D9" w:rsidRDefault="00F32099" w:rsidP="00132997">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w:t>
            </w:r>
          </w:p>
        </w:tc>
      </w:tr>
      <w:tr w:rsidR="00132997" w:rsidRPr="003954D9" w14:paraId="7169C257" w14:textId="77777777" w:rsidTr="002B6D36">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4877F333"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709" w:type="dxa"/>
            <w:tcBorders>
              <w:top w:val="single" w:sz="6" w:space="0" w:color="auto"/>
              <w:left w:val="single" w:sz="6" w:space="0" w:color="auto"/>
              <w:bottom w:val="single" w:sz="6" w:space="0" w:color="auto"/>
              <w:right w:val="single" w:sz="6" w:space="0" w:color="auto"/>
            </w:tcBorders>
          </w:tcPr>
          <w:p w14:paraId="3CB9B808"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862</w:t>
            </w:r>
          </w:p>
        </w:tc>
        <w:tc>
          <w:tcPr>
            <w:tcW w:w="567" w:type="dxa"/>
            <w:tcBorders>
              <w:top w:val="single" w:sz="6" w:space="0" w:color="auto"/>
              <w:left w:val="single" w:sz="6" w:space="0" w:color="auto"/>
              <w:bottom w:val="single" w:sz="6" w:space="0" w:color="auto"/>
              <w:right w:val="single" w:sz="6" w:space="0" w:color="auto"/>
            </w:tcBorders>
          </w:tcPr>
          <w:p w14:paraId="3BD5CFD7"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w:t>
            </w:r>
          </w:p>
        </w:tc>
        <w:tc>
          <w:tcPr>
            <w:tcW w:w="567" w:type="dxa"/>
            <w:tcBorders>
              <w:top w:val="single" w:sz="6" w:space="0" w:color="auto"/>
              <w:left w:val="single" w:sz="6" w:space="0" w:color="auto"/>
              <w:bottom w:val="single" w:sz="6" w:space="0" w:color="auto"/>
              <w:right w:val="single" w:sz="6" w:space="0" w:color="auto"/>
            </w:tcBorders>
          </w:tcPr>
          <w:p w14:paraId="14934925"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w:t>
            </w:r>
          </w:p>
        </w:tc>
      </w:tr>
      <w:tr w:rsidR="00132997" w:rsidRPr="003954D9" w14:paraId="7182F8EA" w14:textId="77777777" w:rsidTr="002B6D36">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015182C3"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709" w:type="dxa"/>
            <w:tcBorders>
              <w:top w:val="single" w:sz="6" w:space="0" w:color="auto"/>
              <w:left w:val="single" w:sz="6" w:space="0" w:color="auto"/>
              <w:bottom w:val="single" w:sz="6" w:space="0" w:color="auto"/>
              <w:right w:val="single" w:sz="6" w:space="0" w:color="auto"/>
            </w:tcBorders>
          </w:tcPr>
          <w:p w14:paraId="2F122FC2"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636</w:t>
            </w:r>
          </w:p>
        </w:tc>
        <w:tc>
          <w:tcPr>
            <w:tcW w:w="567" w:type="dxa"/>
            <w:tcBorders>
              <w:top w:val="single" w:sz="6" w:space="0" w:color="auto"/>
              <w:left w:val="single" w:sz="6" w:space="0" w:color="auto"/>
              <w:bottom w:val="single" w:sz="6" w:space="0" w:color="auto"/>
              <w:right w:val="single" w:sz="6" w:space="0" w:color="auto"/>
            </w:tcBorders>
          </w:tcPr>
          <w:p w14:paraId="67BEF2CD"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91</w:t>
            </w:r>
          </w:p>
        </w:tc>
        <w:tc>
          <w:tcPr>
            <w:tcW w:w="567" w:type="dxa"/>
            <w:tcBorders>
              <w:top w:val="single" w:sz="6" w:space="0" w:color="auto"/>
              <w:left w:val="single" w:sz="6" w:space="0" w:color="auto"/>
              <w:bottom w:val="single" w:sz="6" w:space="0" w:color="auto"/>
              <w:right w:val="single" w:sz="6" w:space="0" w:color="auto"/>
            </w:tcBorders>
          </w:tcPr>
          <w:p w14:paraId="23759933"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w:t>
            </w:r>
          </w:p>
        </w:tc>
      </w:tr>
      <w:tr w:rsidR="00132997" w:rsidRPr="003954D9" w14:paraId="1673F13A" w14:textId="77777777" w:rsidTr="002B6D36">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08362D46"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09" w:type="dxa"/>
            <w:tcBorders>
              <w:top w:val="single" w:sz="6" w:space="0" w:color="auto"/>
              <w:left w:val="single" w:sz="6" w:space="0" w:color="auto"/>
              <w:bottom w:val="single" w:sz="6" w:space="0" w:color="auto"/>
              <w:right w:val="single" w:sz="6" w:space="0" w:color="auto"/>
            </w:tcBorders>
          </w:tcPr>
          <w:p w14:paraId="2173973F"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434</w:t>
            </w:r>
          </w:p>
        </w:tc>
        <w:tc>
          <w:tcPr>
            <w:tcW w:w="567" w:type="dxa"/>
            <w:tcBorders>
              <w:top w:val="single" w:sz="6" w:space="0" w:color="auto"/>
              <w:left w:val="single" w:sz="6" w:space="0" w:color="auto"/>
              <w:bottom w:val="single" w:sz="6" w:space="0" w:color="auto"/>
              <w:right w:val="single" w:sz="6" w:space="0" w:color="auto"/>
            </w:tcBorders>
          </w:tcPr>
          <w:p w14:paraId="6A7E03EE"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60</w:t>
            </w:r>
          </w:p>
        </w:tc>
        <w:tc>
          <w:tcPr>
            <w:tcW w:w="567" w:type="dxa"/>
            <w:tcBorders>
              <w:top w:val="single" w:sz="6" w:space="0" w:color="auto"/>
              <w:left w:val="single" w:sz="6" w:space="0" w:color="auto"/>
              <w:bottom w:val="single" w:sz="6" w:space="0" w:color="auto"/>
              <w:right w:val="single" w:sz="6" w:space="0" w:color="auto"/>
            </w:tcBorders>
          </w:tcPr>
          <w:p w14:paraId="7F69BC91"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w:t>
            </w:r>
          </w:p>
        </w:tc>
      </w:tr>
      <w:tr w:rsidR="00132997" w:rsidRPr="003954D9" w14:paraId="581E89DD" w14:textId="77777777" w:rsidTr="002B6D36">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78F9FCEF"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09" w:type="dxa"/>
            <w:tcBorders>
              <w:top w:val="single" w:sz="6" w:space="0" w:color="auto"/>
              <w:left w:val="single" w:sz="6" w:space="0" w:color="auto"/>
              <w:bottom w:val="single" w:sz="6" w:space="0" w:color="auto"/>
              <w:right w:val="single" w:sz="6" w:space="0" w:color="auto"/>
            </w:tcBorders>
          </w:tcPr>
          <w:p w14:paraId="296945E0"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567" w:type="dxa"/>
            <w:tcBorders>
              <w:top w:val="single" w:sz="6" w:space="0" w:color="auto"/>
              <w:left w:val="single" w:sz="6" w:space="0" w:color="auto"/>
              <w:bottom w:val="single" w:sz="6" w:space="0" w:color="auto"/>
              <w:right w:val="single" w:sz="6" w:space="0" w:color="auto"/>
            </w:tcBorders>
          </w:tcPr>
          <w:p w14:paraId="46AA6F54"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44</w:t>
            </w:r>
          </w:p>
        </w:tc>
        <w:tc>
          <w:tcPr>
            <w:tcW w:w="567" w:type="dxa"/>
            <w:tcBorders>
              <w:top w:val="single" w:sz="6" w:space="0" w:color="auto"/>
              <w:left w:val="single" w:sz="6" w:space="0" w:color="auto"/>
              <w:bottom w:val="single" w:sz="6" w:space="0" w:color="auto"/>
              <w:right w:val="single" w:sz="6" w:space="0" w:color="auto"/>
            </w:tcBorders>
          </w:tcPr>
          <w:p w14:paraId="137DB1E6"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w:t>
            </w:r>
          </w:p>
        </w:tc>
      </w:tr>
      <w:tr w:rsidR="00132997" w:rsidRPr="003954D9" w14:paraId="3E392825" w14:textId="77777777" w:rsidTr="002B6D36">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269BBDCD"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709" w:type="dxa"/>
            <w:tcBorders>
              <w:top w:val="single" w:sz="6" w:space="0" w:color="auto"/>
              <w:left w:val="single" w:sz="6" w:space="0" w:color="auto"/>
              <w:bottom w:val="single" w:sz="6" w:space="0" w:color="auto"/>
              <w:right w:val="single" w:sz="6" w:space="0" w:color="auto"/>
            </w:tcBorders>
          </w:tcPr>
          <w:p w14:paraId="3FCD2522"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289</w:t>
            </w:r>
          </w:p>
        </w:tc>
        <w:tc>
          <w:tcPr>
            <w:tcW w:w="567" w:type="dxa"/>
            <w:tcBorders>
              <w:top w:val="single" w:sz="6" w:space="0" w:color="auto"/>
              <w:left w:val="single" w:sz="6" w:space="0" w:color="auto"/>
              <w:bottom w:val="single" w:sz="6" w:space="0" w:color="auto"/>
              <w:right w:val="single" w:sz="6" w:space="0" w:color="auto"/>
            </w:tcBorders>
          </w:tcPr>
          <w:p w14:paraId="3C166404"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w:t>
            </w:r>
          </w:p>
        </w:tc>
        <w:tc>
          <w:tcPr>
            <w:tcW w:w="567" w:type="dxa"/>
            <w:tcBorders>
              <w:top w:val="single" w:sz="6" w:space="0" w:color="auto"/>
              <w:left w:val="single" w:sz="6" w:space="0" w:color="auto"/>
              <w:bottom w:val="single" w:sz="6" w:space="0" w:color="auto"/>
              <w:right w:val="single" w:sz="6" w:space="0" w:color="auto"/>
            </w:tcBorders>
          </w:tcPr>
          <w:p w14:paraId="4207BF0D"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w:t>
            </w:r>
          </w:p>
        </w:tc>
      </w:tr>
      <w:tr w:rsidR="00132997" w:rsidRPr="003954D9" w14:paraId="5B8EDD94" w14:textId="77777777" w:rsidTr="002B6D36">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31C5E5CA"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709" w:type="dxa"/>
            <w:tcBorders>
              <w:top w:val="single" w:sz="6" w:space="0" w:color="auto"/>
              <w:left w:val="single" w:sz="6" w:space="0" w:color="auto"/>
              <w:bottom w:val="single" w:sz="6" w:space="0" w:color="auto"/>
              <w:right w:val="single" w:sz="6" w:space="0" w:color="auto"/>
            </w:tcBorders>
          </w:tcPr>
          <w:p w14:paraId="100D41C4"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255</w:t>
            </w:r>
          </w:p>
        </w:tc>
        <w:tc>
          <w:tcPr>
            <w:tcW w:w="567" w:type="dxa"/>
            <w:tcBorders>
              <w:top w:val="single" w:sz="6" w:space="0" w:color="auto"/>
              <w:left w:val="single" w:sz="6" w:space="0" w:color="auto"/>
              <w:bottom w:val="single" w:sz="6" w:space="0" w:color="auto"/>
              <w:right w:val="single" w:sz="6" w:space="0" w:color="auto"/>
            </w:tcBorders>
          </w:tcPr>
          <w:p w14:paraId="67A0A556"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w:t>
            </w:r>
          </w:p>
        </w:tc>
        <w:tc>
          <w:tcPr>
            <w:tcW w:w="567" w:type="dxa"/>
            <w:tcBorders>
              <w:top w:val="single" w:sz="6" w:space="0" w:color="auto"/>
              <w:left w:val="single" w:sz="6" w:space="0" w:color="auto"/>
              <w:bottom w:val="single" w:sz="6" w:space="0" w:color="auto"/>
              <w:right w:val="single" w:sz="6" w:space="0" w:color="auto"/>
            </w:tcBorders>
          </w:tcPr>
          <w:p w14:paraId="18F3C9BC"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w:t>
            </w:r>
          </w:p>
        </w:tc>
      </w:tr>
      <w:tr w:rsidR="00132997" w:rsidRPr="003954D9" w14:paraId="2EE2114B" w14:textId="77777777" w:rsidTr="002B6D36">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12D75E05"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9" w:type="dxa"/>
            <w:tcBorders>
              <w:top w:val="single" w:sz="6" w:space="0" w:color="auto"/>
              <w:left w:val="single" w:sz="6" w:space="0" w:color="auto"/>
              <w:bottom w:val="single" w:sz="6" w:space="0" w:color="auto"/>
              <w:right w:val="single" w:sz="6" w:space="0" w:color="auto"/>
            </w:tcBorders>
          </w:tcPr>
          <w:p w14:paraId="6B3EA4D4"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567" w:type="dxa"/>
            <w:tcBorders>
              <w:top w:val="single" w:sz="6" w:space="0" w:color="auto"/>
              <w:left w:val="single" w:sz="6" w:space="0" w:color="auto"/>
              <w:bottom w:val="single" w:sz="6" w:space="0" w:color="auto"/>
              <w:right w:val="single" w:sz="6" w:space="0" w:color="auto"/>
            </w:tcBorders>
          </w:tcPr>
          <w:p w14:paraId="5D465000"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w:t>
            </w:r>
          </w:p>
        </w:tc>
        <w:tc>
          <w:tcPr>
            <w:tcW w:w="567" w:type="dxa"/>
            <w:tcBorders>
              <w:top w:val="single" w:sz="6" w:space="0" w:color="auto"/>
              <w:left w:val="single" w:sz="6" w:space="0" w:color="auto"/>
              <w:bottom w:val="single" w:sz="6" w:space="0" w:color="auto"/>
              <w:right w:val="single" w:sz="6" w:space="0" w:color="auto"/>
            </w:tcBorders>
          </w:tcPr>
          <w:p w14:paraId="6D77FAEC"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w:t>
            </w:r>
          </w:p>
        </w:tc>
      </w:tr>
      <w:tr w:rsidR="00132997" w:rsidRPr="003954D9" w14:paraId="46F76032" w14:textId="77777777" w:rsidTr="002B6D36">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31BE30E8"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09" w:type="dxa"/>
            <w:tcBorders>
              <w:top w:val="single" w:sz="6" w:space="0" w:color="auto"/>
              <w:left w:val="single" w:sz="6" w:space="0" w:color="auto"/>
              <w:bottom w:val="single" w:sz="6" w:space="0" w:color="auto"/>
              <w:right w:val="single" w:sz="6" w:space="0" w:color="auto"/>
            </w:tcBorders>
          </w:tcPr>
          <w:p w14:paraId="6866F2C5"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193</w:t>
            </w:r>
          </w:p>
        </w:tc>
        <w:tc>
          <w:tcPr>
            <w:tcW w:w="567" w:type="dxa"/>
            <w:tcBorders>
              <w:top w:val="single" w:sz="6" w:space="0" w:color="auto"/>
              <w:left w:val="single" w:sz="6" w:space="0" w:color="auto"/>
              <w:bottom w:val="single" w:sz="6" w:space="0" w:color="auto"/>
              <w:right w:val="single" w:sz="6" w:space="0" w:color="auto"/>
            </w:tcBorders>
          </w:tcPr>
          <w:p w14:paraId="507C5C23"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567" w:type="dxa"/>
            <w:tcBorders>
              <w:top w:val="single" w:sz="6" w:space="0" w:color="auto"/>
              <w:left w:val="single" w:sz="6" w:space="0" w:color="auto"/>
              <w:bottom w:val="single" w:sz="6" w:space="0" w:color="auto"/>
              <w:right w:val="single" w:sz="6" w:space="0" w:color="auto"/>
            </w:tcBorders>
          </w:tcPr>
          <w:p w14:paraId="4DE78C1F"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w:t>
            </w:r>
          </w:p>
        </w:tc>
      </w:tr>
      <w:tr w:rsidR="00132997" w:rsidRPr="003954D9" w14:paraId="781829B6" w14:textId="77777777" w:rsidTr="002B6D36">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1B323D53"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709" w:type="dxa"/>
            <w:tcBorders>
              <w:top w:val="single" w:sz="6" w:space="0" w:color="auto"/>
              <w:left w:val="single" w:sz="6" w:space="0" w:color="auto"/>
              <w:bottom w:val="single" w:sz="6" w:space="0" w:color="auto"/>
              <w:right w:val="single" w:sz="6" w:space="0" w:color="auto"/>
            </w:tcBorders>
          </w:tcPr>
          <w:p w14:paraId="716766DA"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567" w:type="dxa"/>
            <w:tcBorders>
              <w:top w:val="single" w:sz="6" w:space="0" w:color="auto"/>
              <w:left w:val="single" w:sz="6" w:space="0" w:color="auto"/>
              <w:bottom w:val="single" w:sz="6" w:space="0" w:color="auto"/>
              <w:right w:val="single" w:sz="6" w:space="0" w:color="auto"/>
            </w:tcBorders>
          </w:tcPr>
          <w:p w14:paraId="26E1A0E6"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w:t>
            </w:r>
          </w:p>
        </w:tc>
        <w:tc>
          <w:tcPr>
            <w:tcW w:w="567" w:type="dxa"/>
            <w:tcBorders>
              <w:top w:val="single" w:sz="6" w:space="0" w:color="auto"/>
              <w:left w:val="single" w:sz="6" w:space="0" w:color="auto"/>
              <w:bottom w:val="single" w:sz="6" w:space="0" w:color="auto"/>
              <w:right w:val="single" w:sz="6" w:space="0" w:color="auto"/>
            </w:tcBorders>
          </w:tcPr>
          <w:p w14:paraId="38E65A04"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r>
      <w:tr w:rsidR="00132997" w:rsidRPr="003954D9" w14:paraId="5DF14B1F" w14:textId="77777777" w:rsidTr="002B6D36">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52051849" w14:textId="77777777" w:rsidR="00132997" w:rsidRPr="003954D9" w:rsidRDefault="00132997" w:rsidP="0013299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709" w:type="dxa"/>
            <w:tcBorders>
              <w:top w:val="single" w:sz="6" w:space="0" w:color="auto"/>
              <w:left w:val="single" w:sz="6" w:space="0" w:color="auto"/>
              <w:bottom w:val="single" w:sz="6" w:space="0" w:color="auto"/>
              <w:right w:val="single" w:sz="6" w:space="0" w:color="auto"/>
            </w:tcBorders>
          </w:tcPr>
          <w:p w14:paraId="28819B63"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567" w:type="dxa"/>
            <w:tcBorders>
              <w:top w:val="single" w:sz="6" w:space="0" w:color="auto"/>
              <w:left w:val="single" w:sz="6" w:space="0" w:color="auto"/>
              <w:bottom w:val="single" w:sz="6" w:space="0" w:color="auto"/>
              <w:right w:val="single" w:sz="6" w:space="0" w:color="auto"/>
            </w:tcBorders>
          </w:tcPr>
          <w:p w14:paraId="0F32E9E7"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2F43FA97" w14:textId="77777777" w:rsidR="00132997" w:rsidRPr="003954D9" w:rsidRDefault="00132997" w:rsidP="0013299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w:t>
            </w:r>
          </w:p>
        </w:tc>
      </w:tr>
    </w:tbl>
    <w:p w14:paraId="277E3C29" w14:textId="77777777" w:rsidR="001405CF" w:rsidRDefault="001405CF" w:rsidP="00A3000C">
      <w:pPr>
        <w:pStyle w:val="Rubrik1"/>
      </w:pPr>
      <w:bookmarkStart w:id="68" w:name="_Toc463184392"/>
      <w:bookmarkStart w:id="69" w:name="_Toc464828397"/>
      <w:bookmarkStart w:id="70" w:name="_Toc467818477"/>
      <w:r>
        <w:br w:type="page"/>
      </w:r>
    </w:p>
    <w:p w14:paraId="7CA6E725" w14:textId="016C0165" w:rsidR="004172FD" w:rsidRPr="003954D9" w:rsidRDefault="00DD51D3" w:rsidP="00A3000C">
      <w:pPr>
        <w:pStyle w:val="Rubrik1"/>
      </w:pPr>
      <w:bookmarkStart w:id="71" w:name="_Toc468614363"/>
      <w:r w:rsidRPr="003954D9">
        <w:lastRenderedPageBreak/>
        <w:t xml:space="preserve">2. </w:t>
      </w:r>
      <w:r w:rsidR="004172FD" w:rsidRPr="003954D9">
        <w:t>Hur mycket under gränsen</w:t>
      </w:r>
      <w:r w:rsidR="001A593A" w:rsidRPr="003954D9">
        <w:t xml:space="preserve"> för skälig levnadsnivå</w:t>
      </w:r>
      <w:r w:rsidR="004172FD" w:rsidRPr="003954D9">
        <w:t>?</w:t>
      </w:r>
      <w:bookmarkEnd w:id="68"/>
      <w:bookmarkEnd w:id="69"/>
      <w:bookmarkEnd w:id="70"/>
      <w:bookmarkEnd w:id="71"/>
      <w:r w:rsidR="004172FD" w:rsidRPr="003954D9">
        <w:t xml:space="preserve"> </w:t>
      </w:r>
    </w:p>
    <w:p w14:paraId="2E2AC02B" w14:textId="78E76DB0" w:rsidR="00E87C75" w:rsidRPr="003954D9" w:rsidRDefault="001A593A" w:rsidP="00A3000C">
      <w:pPr>
        <w:pStyle w:val="Rubrik2"/>
      </w:pPr>
      <w:bookmarkStart w:id="72" w:name="_Toc463184393"/>
      <w:bookmarkStart w:id="73" w:name="_Toc464828398"/>
      <w:r w:rsidRPr="003954D9">
        <w:t>Gränsen inte skarp</w:t>
      </w:r>
      <w:bookmarkEnd w:id="72"/>
      <w:bookmarkEnd w:id="73"/>
    </w:p>
    <w:p w14:paraId="24B68AFF" w14:textId="3501FD2D" w:rsidR="001A593A" w:rsidRPr="003954D9" w:rsidRDefault="004172FD" w:rsidP="00E501C0">
      <w:r w:rsidRPr="003954D9">
        <w:t xml:space="preserve">Att ett hushåll hamnar under gränsen för skälig levnadsnivå </w:t>
      </w:r>
      <w:r w:rsidR="00C75ED8" w:rsidRPr="003954D9">
        <w:t>bedömer</w:t>
      </w:r>
      <w:r w:rsidR="00D114F5" w:rsidRPr="003954D9">
        <w:t xml:space="preserve"> vi som en viktig indikation om</w:t>
      </w:r>
      <w:r w:rsidR="0093590D">
        <w:t xml:space="preserve"> att hu</w:t>
      </w:r>
      <w:r w:rsidR="00C75ED8" w:rsidRPr="003954D9">
        <w:t xml:space="preserve">shållet kan tvingas flytta vid en hyreshöjning och att hushållet alltså befinner sig i riskzonen. Som vi sett </w:t>
      </w:r>
      <w:r w:rsidRPr="003954D9">
        <w:t xml:space="preserve">behöver </w:t>
      </w:r>
      <w:r w:rsidR="00986364" w:rsidRPr="003954D9">
        <w:t xml:space="preserve">det </w:t>
      </w:r>
      <w:r w:rsidR="00E501C0" w:rsidRPr="003954D9">
        <w:t>inte betyda a</w:t>
      </w:r>
      <w:r w:rsidRPr="003954D9">
        <w:t>tt det skett en stor förändring jämfört med situationen idag</w:t>
      </w:r>
      <w:r w:rsidR="00D114F5" w:rsidRPr="003954D9">
        <w:t>. Det kan också</w:t>
      </w:r>
      <w:r w:rsidR="00986364" w:rsidRPr="003954D9">
        <w:t xml:space="preserve"> </w:t>
      </w:r>
      <w:r w:rsidR="00C75ED8" w:rsidRPr="003954D9">
        <w:t>finnas betydande grupper som ligger över, men nära gränsen för skälig levnadsnivå</w:t>
      </w:r>
      <w:r w:rsidR="00D114F5" w:rsidRPr="003954D9">
        <w:t xml:space="preserve"> och som alltså drabbas även vid en mer begränsad hyreshöjning.</w:t>
      </w:r>
      <w:r w:rsidRPr="003954D9">
        <w:t xml:space="preserve"> </w:t>
      </w:r>
      <w:r w:rsidR="00430B97" w:rsidRPr="003954D9">
        <w:t xml:space="preserve">Att leva på skälig levnadsnivå är inte lätt – för många hushåll </w:t>
      </w:r>
      <w:r w:rsidR="00132997" w:rsidRPr="003954D9">
        <w:t xml:space="preserve">kan </w:t>
      </w:r>
      <w:r w:rsidR="00430B97" w:rsidRPr="003954D9">
        <w:t>det upplevas som mycket påfrestande</w:t>
      </w:r>
      <w:r w:rsidR="00C92030" w:rsidRPr="003954D9">
        <w:t xml:space="preserve">.  Ännu värre är det naturligtvis </w:t>
      </w:r>
      <w:r w:rsidR="00430B97" w:rsidRPr="003954D9">
        <w:t xml:space="preserve">för hushåll som lever under skälig levnadsnivå under lång tid. </w:t>
      </w:r>
      <w:r w:rsidR="00D064AA" w:rsidRPr="003954D9">
        <w:t xml:space="preserve">Enligt Rädda Barnen lever 17 procent av barnen i Göteborg i relativ fattigdom och </w:t>
      </w:r>
      <w:r w:rsidR="00276A6E" w:rsidRPr="003954D9">
        <w:t>i</w:t>
      </w:r>
      <w:r w:rsidR="00D064AA" w:rsidRPr="003954D9">
        <w:t xml:space="preserve"> stadsdelarna </w:t>
      </w:r>
      <w:r w:rsidR="00276A6E" w:rsidRPr="003954D9">
        <w:t xml:space="preserve">Östra Göteborg, </w:t>
      </w:r>
      <w:r w:rsidR="00D064AA" w:rsidRPr="003954D9">
        <w:t xml:space="preserve">Angered och Västra Hisingen </w:t>
      </w:r>
      <w:r w:rsidR="00276A6E" w:rsidRPr="003954D9">
        <w:t xml:space="preserve">ligger den </w:t>
      </w:r>
      <w:r w:rsidR="0093590D">
        <w:t xml:space="preserve">andelen </w:t>
      </w:r>
      <w:r w:rsidR="00276A6E" w:rsidRPr="003954D9">
        <w:t xml:space="preserve">högst (37,2, 37,1 resp. 16,9 procent). </w:t>
      </w:r>
      <w:r w:rsidR="001E03F6">
        <w:rPr>
          <w:rStyle w:val="Fotnotsreferens"/>
        </w:rPr>
        <w:footnoteReference w:id="1"/>
      </w:r>
    </w:p>
    <w:p w14:paraId="6D6BE2E7" w14:textId="77777777" w:rsidR="00186E6C" w:rsidRPr="003954D9" w:rsidRDefault="00186E6C" w:rsidP="00E501C0"/>
    <w:p w14:paraId="6D774444" w14:textId="7FF97E55" w:rsidR="001A593A" w:rsidRPr="003954D9" w:rsidRDefault="001A593A" w:rsidP="00A3000C">
      <w:pPr>
        <w:pStyle w:val="Rubrik2"/>
      </w:pPr>
      <w:bookmarkStart w:id="74" w:name="_Toc463184394"/>
      <w:bookmarkStart w:id="75" w:name="_Toc464828399"/>
      <w:r w:rsidRPr="003954D9">
        <w:t>Olika nivåer under skälig levnadsnivå</w:t>
      </w:r>
      <w:bookmarkEnd w:id="74"/>
      <w:bookmarkEnd w:id="75"/>
    </w:p>
    <w:p w14:paraId="7ED41769" w14:textId="651DEFB8" w:rsidR="00986364" w:rsidRPr="003954D9" w:rsidRDefault="00E501C0" w:rsidP="00986364">
      <w:r w:rsidRPr="003954D9">
        <w:t xml:space="preserve">En viktig fråga är hur mycket under skälig levnadsnivå hushållet </w:t>
      </w:r>
      <w:r w:rsidR="005530B7" w:rsidRPr="003954D9">
        <w:t>hamnar</w:t>
      </w:r>
      <w:r w:rsidRPr="003954D9">
        <w:t xml:space="preserve"> efter en hyreshöjning? </w:t>
      </w:r>
      <w:r w:rsidR="00986364" w:rsidRPr="003954D9">
        <w:t xml:space="preserve">För att göra en bedömning av styrkan i behovet att flytta har vi beräknat hur stor andel av skälig levnadsnivå de hushåll </w:t>
      </w:r>
      <w:r w:rsidR="00716D62" w:rsidRPr="003954D9">
        <w:t>uppnår</w:t>
      </w:r>
      <w:r w:rsidR="005530B7" w:rsidRPr="003954D9">
        <w:t>,</w:t>
      </w:r>
      <w:r w:rsidR="00716D62" w:rsidRPr="003954D9">
        <w:t xml:space="preserve"> </w:t>
      </w:r>
      <w:r w:rsidR="0050468F" w:rsidRPr="003954D9">
        <w:t>som ligger</w:t>
      </w:r>
      <w:r w:rsidR="00986364" w:rsidRPr="003954D9">
        <w:t xml:space="preserve"> under </w:t>
      </w:r>
      <w:r w:rsidR="0050468F" w:rsidRPr="003954D9">
        <w:t xml:space="preserve">skälig levnadsnivå </w:t>
      </w:r>
      <w:r w:rsidR="00716D62" w:rsidRPr="003954D9">
        <w:t xml:space="preserve">när </w:t>
      </w:r>
      <w:r w:rsidR="00986364" w:rsidRPr="003954D9">
        <w:t xml:space="preserve">hyran är betald. Man kan anta att de </w:t>
      </w:r>
      <w:r w:rsidR="005530B7" w:rsidRPr="003954D9">
        <w:t xml:space="preserve">hushåll </w:t>
      </w:r>
      <w:r w:rsidR="00986364" w:rsidRPr="003954D9">
        <w:t xml:space="preserve">som hamnar strax under skälig levnadsnivå kan tänka sig att bo kvar </w:t>
      </w:r>
      <w:r w:rsidR="005530B7" w:rsidRPr="003954D9">
        <w:t xml:space="preserve">i varje fall </w:t>
      </w:r>
      <w:r w:rsidR="00986364" w:rsidRPr="003954D9">
        <w:t xml:space="preserve">en tid, medan de som inte når upp till 90 procent förmodligen </w:t>
      </w:r>
      <w:r w:rsidR="005530B7" w:rsidRPr="003954D9">
        <w:t xml:space="preserve">snabbare </w:t>
      </w:r>
      <w:r w:rsidR="00986364" w:rsidRPr="003954D9">
        <w:t>blir angelägna om en billigare hyra.</w:t>
      </w:r>
    </w:p>
    <w:p w14:paraId="75A269A6" w14:textId="4F25B6D1" w:rsidR="003D0100" w:rsidRPr="003954D9" w:rsidRDefault="003D0100" w:rsidP="003D0100">
      <w:r w:rsidRPr="003954D9">
        <w:t xml:space="preserve">I diagrammet nedan redovisas hur hushållen fördelar sig antalsmässigt och andelsmässigt vid olika hyreshöjningar. Ju högre hyreshöjning desto större andel av hushållen i riskzonen hamnar under 90 procent av skälig levnadsnivå. Andelen ökar från 58 till 68 procent. </w:t>
      </w:r>
    </w:p>
    <w:p w14:paraId="0B1A8CA4" w14:textId="6DEF16BC" w:rsidR="00E13317" w:rsidRPr="003954D9" w:rsidRDefault="003D0100" w:rsidP="00E13317">
      <w:r w:rsidRPr="003954D9">
        <w:t xml:space="preserve">Man kan se att gruppen som ligger under 50 procent av skälig levnadsnivå ökar i antal ju större hyreshöjningen är, men minskar i andel. Det beror på att det sker en stor ökning av gruppen som når </w:t>
      </w:r>
      <w:r w:rsidR="00365C66" w:rsidRPr="003954D9">
        <w:t>70–89</w:t>
      </w:r>
      <w:r w:rsidRPr="003954D9">
        <w:t xml:space="preserve"> procent av skälig levnadsnivå.</w:t>
      </w:r>
      <w:bookmarkStart w:id="76" w:name="_Toc463184395"/>
    </w:p>
    <w:p w14:paraId="457FDFF2" w14:textId="77777777" w:rsidR="00E13317" w:rsidRPr="003954D9" w:rsidRDefault="00E13317" w:rsidP="00E13317"/>
    <w:p w14:paraId="1FA88933" w14:textId="09A12A3F" w:rsidR="001A593A" w:rsidRPr="003954D9" w:rsidRDefault="00FF7B9D" w:rsidP="00A3000C">
      <w:pPr>
        <w:pStyle w:val="Rubrik3"/>
      </w:pPr>
      <w:bookmarkStart w:id="77" w:name="_Toc464828400"/>
      <w:r>
        <w:t xml:space="preserve">Höjning </w:t>
      </w:r>
      <w:r w:rsidR="001A593A" w:rsidRPr="003954D9">
        <w:t xml:space="preserve">50 </w:t>
      </w:r>
      <w:r w:rsidR="00475673" w:rsidRPr="003954D9">
        <w:t>procent</w:t>
      </w:r>
      <w:bookmarkEnd w:id="76"/>
      <w:bookmarkEnd w:id="77"/>
    </w:p>
    <w:p w14:paraId="19397091" w14:textId="7DE21B6F" w:rsidR="00E501C0" w:rsidRPr="003954D9" w:rsidRDefault="00986364" w:rsidP="00E501C0">
      <w:r w:rsidRPr="003954D9">
        <w:t xml:space="preserve">Vid en hyreshöjning på 50 procent hamnar 5 150 </w:t>
      </w:r>
      <w:r w:rsidR="0093590D">
        <w:t xml:space="preserve">hushåll </w:t>
      </w:r>
      <w:r w:rsidR="000B4541" w:rsidRPr="003954D9">
        <w:t>(68 procent</w:t>
      </w:r>
      <w:r w:rsidR="0093590D">
        <w:t xml:space="preserve"> </w:t>
      </w:r>
      <w:r w:rsidR="000B4541" w:rsidRPr="003954D9">
        <w:t>av de 7 601</w:t>
      </w:r>
      <w:r w:rsidR="00C35B37" w:rsidRPr="003954D9">
        <w:t xml:space="preserve"> hushåll</w:t>
      </w:r>
      <w:r w:rsidRPr="003954D9">
        <w:t xml:space="preserve"> </w:t>
      </w:r>
      <w:r w:rsidR="00C35B37" w:rsidRPr="003954D9">
        <w:t xml:space="preserve">som befinner sig </w:t>
      </w:r>
      <w:r w:rsidRPr="003954D9">
        <w:t>i riskzonen</w:t>
      </w:r>
      <w:r w:rsidR="0093590D">
        <w:t>)</w:t>
      </w:r>
      <w:r w:rsidRPr="003954D9">
        <w:t xml:space="preserve"> under 90 procent av en skälig levnadsnivå</w:t>
      </w:r>
      <w:r w:rsidR="00DE1235" w:rsidRPr="003954D9">
        <w:t xml:space="preserve">, 37 procent under 80 procent </w:t>
      </w:r>
      <w:r w:rsidR="003D0100" w:rsidRPr="003954D9">
        <w:t>och 10 procent under 50 procent av skälig levnadsnivå</w:t>
      </w:r>
      <w:r w:rsidRPr="003954D9">
        <w:t xml:space="preserve">. </w:t>
      </w:r>
    </w:p>
    <w:p w14:paraId="099D7266" w14:textId="59B53EDC" w:rsidR="00986364" w:rsidRPr="003954D9" w:rsidRDefault="00986364" w:rsidP="00986364"/>
    <w:p w14:paraId="796BF954" w14:textId="480231A8" w:rsidR="001A593A" w:rsidRPr="003954D9" w:rsidRDefault="00FF7B9D" w:rsidP="00A3000C">
      <w:pPr>
        <w:pStyle w:val="Rubrik3"/>
      </w:pPr>
      <w:bookmarkStart w:id="78" w:name="_Toc463184396"/>
      <w:bookmarkStart w:id="79" w:name="_Toc464828401"/>
      <w:bookmarkStart w:id="80" w:name="_Toc333795972"/>
      <w:bookmarkStart w:id="81" w:name="_Toc333796224"/>
      <w:bookmarkStart w:id="82" w:name="_Toc333800754"/>
      <w:bookmarkStart w:id="83" w:name="_Toc333800872"/>
      <w:r>
        <w:t xml:space="preserve">Höjning </w:t>
      </w:r>
      <w:r w:rsidR="001A593A" w:rsidRPr="003954D9">
        <w:t xml:space="preserve">25 </w:t>
      </w:r>
      <w:r w:rsidR="00475673" w:rsidRPr="003954D9">
        <w:t>procent</w:t>
      </w:r>
      <w:bookmarkEnd w:id="78"/>
      <w:bookmarkEnd w:id="79"/>
    </w:p>
    <w:p w14:paraId="6BD50D74" w14:textId="664360D1" w:rsidR="00AB7B29" w:rsidRPr="003954D9" w:rsidRDefault="00DD6FC6" w:rsidP="00DD6FC6">
      <w:r w:rsidRPr="003954D9">
        <w:t>Vi</w:t>
      </w:r>
      <w:r w:rsidR="00AB7B29" w:rsidRPr="003954D9">
        <w:t>d</w:t>
      </w:r>
      <w:r w:rsidRPr="003954D9">
        <w:t xml:space="preserve"> en h</w:t>
      </w:r>
      <w:r w:rsidR="003D0100" w:rsidRPr="003954D9">
        <w:t>yreshöjning på 25</w:t>
      </w:r>
      <w:r w:rsidRPr="003954D9">
        <w:t xml:space="preserve"> </w:t>
      </w:r>
      <w:r w:rsidR="00475673" w:rsidRPr="003954D9">
        <w:t>procent</w:t>
      </w:r>
      <w:r w:rsidR="00AB7B29" w:rsidRPr="003954D9">
        <w:t xml:space="preserve"> </w:t>
      </w:r>
      <w:r w:rsidR="00C35B37" w:rsidRPr="003954D9">
        <w:t xml:space="preserve">hamnar 3 263 </w:t>
      </w:r>
      <w:r w:rsidR="0093590D">
        <w:t xml:space="preserve">hushåll </w:t>
      </w:r>
      <w:r w:rsidR="00C35B37" w:rsidRPr="003954D9">
        <w:t>(59</w:t>
      </w:r>
      <w:r w:rsidR="000B4541" w:rsidRPr="003954D9">
        <w:t xml:space="preserve"> procent</w:t>
      </w:r>
      <w:r w:rsidR="0093590D">
        <w:t xml:space="preserve"> a</w:t>
      </w:r>
      <w:r w:rsidRPr="003954D9">
        <w:t xml:space="preserve">v </w:t>
      </w:r>
      <w:r w:rsidR="00C35B37" w:rsidRPr="003954D9">
        <w:t>de 5 506 hushåll som befinner sig</w:t>
      </w:r>
      <w:r w:rsidR="000B4541" w:rsidRPr="003954D9">
        <w:t xml:space="preserve"> i riskzonen </w:t>
      </w:r>
      <w:r w:rsidRPr="003954D9">
        <w:t xml:space="preserve">på </w:t>
      </w:r>
      <w:r w:rsidR="000B4541" w:rsidRPr="003954D9">
        <w:t>denna höjningsnivå</w:t>
      </w:r>
      <w:r w:rsidR="0093590D">
        <w:t>)</w:t>
      </w:r>
      <w:r w:rsidR="000B4541" w:rsidRPr="003954D9">
        <w:t xml:space="preserve"> under </w:t>
      </w:r>
      <w:r w:rsidR="00DE1235" w:rsidRPr="003954D9">
        <w:t xml:space="preserve">90 </w:t>
      </w:r>
      <w:r w:rsidRPr="003954D9">
        <w:t>procent av skälig levnadsnivå</w:t>
      </w:r>
      <w:r w:rsidR="00C35B37" w:rsidRPr="003954D9">
        <w:t xml:space="preserve">, 34 procent under 80 procent av skälig levnadsnivå och 12 procent under 50 procent av skälig levnadsnivå. </w:t>
      </w:r>
    </w:p>
    <w:p w14:paraId="287DA9CC" w14:textId="22B35B98" w:rsidR="001A593A" w:rsidRPr="003954D9" w:rsidRDefault="00FF7B9D" w:rsidP="00A3000C">
      <w:pPr>
        <w:pStyle w:val="Rubrik3"/>
      </w:pPr>
      <w:bookmarkStart w:id="84" w:name="_Toc463184397"/>
      <w:bookmarkStart w:id="85" w:name="_Toc464828402"/>
      <w:r>
        <w:t xml:space="preserve">Höjning </w:t>
      </w:r>
      <w:r w:rsidR="001A593A" w:rsidRPr="003954D9">
        <w:t xml:space="preserve">5 </w:t>
      </w:r>
      <w:r w:rsidR="00475673" w:rsidRPr="003954D9">
        <w:t>procent</w:t>
      </w:r>
      <w:bookmarkEnd w:id="84"/>
      <w:bookmarkEnd w:id="85"/>
      <w:r w:rsidR="00913613" w:rsidRPr="003954D9">
        <w:t xml:space="preserve"> </w:t>
      </w:r>
    </w:p>
    <w:p w14:paraId="523727AF" w14:textId="4CB66BFC" w:rsidR="00C35B37" w:rsidRPr="003954D9" w:rsidRDefault="00C35B37" w:rsidP="00C35B37">
      <w:r w:rsidRPr="003954D9">
        <w:t xml:space="preserve">Vid en hyreshöjning på 5 </w:t>
      </w:r>
      <w:r w:rsidR="00475673" w:rsidRPr="003954D9">
        <w:t>procent</w:t>
      </w:r>
      <w:r w:rsidRPr="003954D9">
        <w:t xml:space="preserve"> hamnar </w:t>
      </w:r>
      <w:r w:rsidR="00C9206C" w:rsidRPr="003954D9">
        <w:t xml:space="preserve">1 796 </w:t>
      </w:r>
      <w:r w:rsidR="0093590D">
        <w:t xml:space="preserve">hushåll </w:t>
      </w:r>
      <w:r w:rsidRPr="003954D9">
        <w:t>(58 procent av de 3 381 hushåll som befinner sig i riskzonen på denna höjningsnivå</w:t>
      </w:r>
      <w:r w:rsidR="0093590D">
        <w:t>)</w:t>
      </w:r>
      <w:r w:rsidRPr="003954D9">
        <w:t xml:space="preserve"> under 90 p</w:t>
      </w:r>
      <w:r w:rsidR="00C9206C" w:rsidRPr="003954D9">
        <w:t>rocent av skälig levnadsnivå, 38</w:t>
      </w:r>
      <w:r w:rsidRPr="003954D9">
        <w:t xml:space="preserve"> procent under 80 procent av skälig levnad</w:t>
      </w:r>
      <w:r w:rsidR="00C9206C" w:rsidRPr="003954D9">
        <w:t>snivå och 15</w:t>
      </w:r>
      <w:r w:rsidRPr="003954D9">
        <w:t xml:space="preserve"> procent under 50 procent av skälig levnadsnivå. </w:t>
      </w:r>
      <w:r w:rsidR="00037F21" w:rsidRPr="003954D9">
        <w:t>Se diagram 2:1 och 2:2!</w:t>
      </w:r>
    </w:p>
    <w:p w14:paraId="0299D47B" w14:textId="77777777" w:rsidR="008003FC" w:rsidRPr="003954D9" w:rsidRDefault="008003FC" w:rsidP="00C35B37"/>
    <w:p w14:paraId="30155CB9" w14:textId="1A07616B" w:rsidR="002D6812" w:rsidRPr="003954D9" w:rsidRDefault="002D6812" w:rsidP="002D6812">
      <w:r w:rsidRPr="003954D9">
        <w:lastRenderedPageBreak/>
        <w:t>Det är anmärkningsvärt att nästan 600 hushåll uppnår bara hälften av skälig levnadsnivå redan vid en höjning på 5 procent. De måste betecknas som extremt fattiga.</w:t>
      </w:r>
      <w:r w:rsidR="00454A07" w:rsidRPr="003954D9">
        <w:t xml:space="preserve"> Dessa siffror är ungefär desamma som de är idag utan någon hyreshöjning.</w:t>
      </w:r>
      <w:r w:rsidR="006C7ADD" w:rsidRPr="003954D9">
        <w:t xml:space="preserve"> </w:t>
      </w:r>
      <w:r w:rsidR="00C8268E" w:rsidRPr="003954D9">
        <w:t xml:space="preserve">Se diagram </w:t>
      </w:r>
      <w:r w:rsidR="00785E68" w:rsidRPr="003954D9">
        <w:t>2:1 och 2</w:t>
      </w:r>
      <w:r w:rsidR="007824C9">
        <w:t>:2.</w:t>
      </w:r>
    </w:p>
    <w:p w14:paraId="5296A004" w14:textId="21C0E19E" w:rsidR="00037F21" w:rsidRPr="003954D9" w:rsidRDefault="00037F21" w:rsidP="00037F21">
      <w:pPr>
        <w:pStyle w:val="Rubrik5"/>
        <w:spacing w:before="0" w:line="240" w:lineRule="exact"/>
      </w:pPr>
    </w:p>
    <w:p w14:paraId="6C84CFFF" w14:textId="77777777" w:rsidR="006B02F2" w:rsidRDefault="00037F21" w:rsidP="00037F21">
      <w:pPr>
        <w:pStyle w:val="Rubrik5"/>
        <w:spacing w:before="0" w:line="240" w:lineRule="exact"/>
      </w:pPr>
      <w:r w:rsidRPr="003954D9">
        <w:t>Diagram 2:1</w:t>
      </w:r>
      <w:r w:rsidRPr="003954D9">
        <w:tab/>
      </w:r>
      <w:r w:rsidRPr="003954D9">
        <w:tab/>
        <w:t xml:space="preserve">                                          </w:t>
      </w:r>
    </w:p>
    <w:p w14:paraId="0A1D675E" w14:textId="1D80454B" w:rsidR="006B02F2" w:rsidRPr="006B02F2" w:rsidRDefault="0073239D" w:rsidP="006B02F2">
      <w:r w:rsidRPr="0073239D">
        <w:rPr>
          <w:noProof/>
        </w:rPr>
        <w:drawing>
          <wp:inline distT="0" distB="0" distL="0" distR="0" wp14:anchorId="5B36AC9A" wp14:editId="32CB46E3">
            <wp:extent cx="4125671" cy="3181350"/>
            <wp:effectExtent l="0" t="0" r="8255" b="0"/>
            <wp:docPr id="112" name="Bildobjekt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40017" cy="3192413"/>
                    </a:xfrm>
                    <a:prstGeom prst="rect">
                      <a:avLst/>
                    </a:prstGeom>
                    <a:noFill/>
                    <a:ln>
                      <a:noFill/>
                    </a:ln>
                  </pic:spPr>
                </pic:pic>
              </a:graphicData>
            </a:graphic>
          </wp:inline>
        </w:drawing>
      </w:r>
    </w:p>
    <w:p w14:paraId="385E2E6B" w14:textId="77777777" w:rsidR="0073239D" w:rsidRDefault="0073239D" w:rsidP="00037F21">
      <w:pPr>
        <w:pStyle w:val="Rubrik5"/>
        <w:spacing w:before="0" w:line="240" w:lineRule="exact"/>
      </w:pPr>
    </w:p>
    <w:p w14:paraId="7F62096D" w14:textId="5AA2F357" w:rsidR="00037F21" w:rsidRPr="003954D9" w:rsidRDefault="00037F21" w:rsidP="00037F21">
      <w:pPr>
        <w:pStyle w:val="Rubrik5"/>
        <w:spacing w:before="0" w:line="240" w:lineRule="exact"/>
      </w:pPr>
      <w:r w:rsidRPr="003954D9">
        <w:t>Diagram 2:2</w:t>
      </w:r>
    </w:p>
    <w:p w14:paraId="0AEAA998" w14:textId="5BE7BFEA" w:rsidR="00037F21" w:rsidRPr="003954D9" w:rsidRDefault="007824C9" w:rsidP="002D6812">
      <w:r w:rsidRPr="007824C9">
        <w:rPr>
          <w:noProof/>
        </w:rPr>
        <w:drawing>
          <wp:inline distT="0" distB="0" distL="0" distR="0" wp14:anchorId="1045BA7A" wp14:editId="70BF33D2">
            <wp:extent cx="4125595" cy="3072063"/>
            <wp:effectExtent l="0" t="0" r="8255" b="0"/>
            <wp:docPr id="139" name="Bildobjekt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30322" cy="3075583"/>
                    </a:xfrm>
                    <a:prstGeom prst="rect">
                      <a:avLst/>
                    </a:prstGeom>
                    <a:noFill/>
                    <a:ln>
                      <a:noFill/>
                    </a:ln>
                  </pic:spPr>
                </pic:pic>
              </a:graphicData>
            </a:graphic>
          </wp:inline>
        </w:drawing>
      </w:r>
    </w:p>
    <w:p w14:paraId="163D8B7B" w14:textId="77777777" w:rsidR="0073239D" w:rsidRDefault="0073239D" w:rsidP="00540A4D">
      <w:pPr>
        <w:pStyle w:val="Rubrik1"/>
      </w:pPr>
      <w:bookmarkStart w:id="86" w:name="_Toc463184398"/>
      <w:bookmarkStart w:id="87" w:name="_Toc464828403"/>
      <w:r>
        <w:br w:type="page"/>
      </w:r>
    </w:p>
    <w:p w14:paraId="6F541333" w14:textId="4FCD68E2" w:rsidR="00BF22AF" w:rsidRPr="003954D9" w:rsidRDefault="00540A4D" w:rsidP="00540A4D">
      <w:pPr>
        <w:pStyle w:val="Rubrik1"/>
      </w:pPr>
      <w:bookmarkStart w:id="88" w:name="_Toc467818478"/>
      <w:bookmarkStart w:id="89" w:name="_Toc468614364"/>
      <w:r w:rsidRPr="003954D9">
        <w:lastRenderedPageBreak/>
        <w:t xml:space="preserve">3. </w:t>
      </w:r>
      <w:r w:rsidR="00BF22AF" w:rsidRPr="003954D9">
        <w:t>Hushållen</w:t>
      </w:r>
      <w:r w:rsidR="00426B4B" w:rsidRPr="003954D9">
        <w:t>s</w:t>
      </w:r>
      <w:r w:rsidR="00BF22AF" w:rsidRPr="003954D9">
        <w:t xml:space="preserve"> ekonomi</w:t>
      </w:r>
      <w:bookmarkEnd w:id="86"/>
      <w:bookmarkEnd w:id="87"/>
      <w:bookmarkEnd w:id="88"/>
      <w:bookmarkEnd w:id="89"/>
    </w:p>
    <w:p w14:paraId="077173C2" w14:textId="38EDEEBE" w:rsidR="00BF22AF" w:rsidRPr="003954D9" w:rsidRDefault="0032114B" w:rsidP="00BF22AF">
      <w:r w:rsidRPr="003954D9">
        <w:t xml:space="preserve">Det </w:t>
      </w:r>
      <w:r w:rsidR="00785E68" w:rsidRPr="003954D9">
        <w:t>finns</w:t>
      </w:r>
      <w:r w:rsidRPr="003954D9">
        <w:t xml:space="preserve"> stora ekonomiska skillnader mellan hushållen </w:t>
      </w:r>
      <w:r w:rsidR="00785E68" w:rsidRPr="003954D9">
        <w:t xml:space="preserve">i undersökningen </w:t>
      </w:r>
      <w:r w:rsidRPr="003954D9">
        <w:t xml:space="preserve">och mellan de olika stadsdelarna. </w:t>
      </w:r>
      <w:r w:rsidR="00785E68" w:rsidRPr="003954D9">
        <w:t xml:space="preserve">Vi redovisar </w:t>
      </w:r>
      <w:r w:rsidRPr="003954D9">
        <w:t>disponibel inkomst per p</w:t>
      </w:r>
      <w:r w:rsidR="001E04D0" w:rsidRPr="003954D9">
        <w:t xml:space="preserve">erson i respektive hushållstyp, eftersom antalet personer kan variera något i samma hushållstyp </w:t>
      </w:r>
      <w:r w:rsidR="0093590D">
        <w:t xml:space="preserve">mellan </w:t>
      </w:r>
      <w:r w:rsidR="001E04D0" w:rsidRPr="003954D9">
        <w:t>de olika stadsdelarna</w:t>
      </w:r>
      <w:r w:rsidR="0093590D">
        <w:t xml:space="preserve">. På så sätt </w:t>
      </w:r>
      <w:r w:rsidR="00BE5719" w:rsidRPr="003954D9">
        <w:t xml:space="preserve">blir </w:t>
      </w:r>
      <w:r w:rsidR="0093590D" w:rsidRPr="003954D9">
        <w:t xml:space="preserve">jämförelserna mellan stadsdelar </w:t>
      </w:r>
      <w:r w:rsidR="00BE5719" w:rsidRPr="003954D9">
        <w:t>mer rättvisande.</w:t>
      </w:r>
      <w:r w:rsidR="001E04D0" w:rsidRPr="003954D9">
        <w:t xml:space="preserve"> </w:t>
      </w:r>
    </w:p>
    <w:p w14:paraId="26728011" w14:textId="31FB585A" w:rsidR="00BF22AF" w:rsidRPr="003954D9" w:rsidRDefault="00BF22AF" w:rsidP="002B6D36">
      <w:pPr>
        <w:pStyle w:val="Rubrik3"/>
      </w:pPr>
      <w:bookmarkStart w:id="90" w:name="_Toc463184399"/>
      <w:bookmarkStart w:id="91" w:name="_Toc464828404"/>
      <w:r w:rsidRPr="003954D9">
        <w:t>Inkomster i olika hushållstyper</w:t>
      </w:r>
      <w:r w:rsidR="002B6D36" w:rsidRPr="003954D9">
        <w:t xml:space="preserve"> – hela urvalet</w:t>
      </w:r>
      <w:bookmarkEnd w:id="90"/>
      <w:bookmarkEnd w:id="91"/>
    </w:p>
    <w:p w14:paraId="68265EE9" w14:textId="3D0CB802" w:rsidR="002B6D36" w:rsidRPr="003954D9" w:rsidRDefault="002B6D36" w:rsidP="002B6D36">
      <w:pPr>
        <w:rPr>
          <w:sz w:val="23"/>
        </w:rPr>
      </w:pPr>
      <w:r w:rsidRPr="003954D9">
        <w:rPr>
          <w:sz w:val="23"/>
        </w:rPr>
        <w:t>Mest kvar har hushåll</w:t>
      </w:r>
      <w:r w:rsidR="004C630C" w:rsidRPr="003954D9">
        <w:rPr>
          <w:sz w:val="23"/>
        </w:rPr>
        <w:t>en</w:t>
      </w:r>
      <w:r w:rsidRPr="003954D9">
        <w:rPr>
          <w:sz w:val="23"/>
        </w:rPr>
        <w:t xml:space="preserve"> utan barn </w:t>
      </w:r>
      <w:r w:rsidR="00365C66" w:rsidRPr="003954D9">
        <w:rPr>
          <w:sz w:val="23"/>
        </w:rPr>
        <w:t>18–64</w:t>
      </w:r>
      <w:r w:rsidR="004C630C" w:rsidRPr="003954D9">
        <w:rPr>
          <w:sz w:val="23"/>
        </w:rPr>
        <w:t xml:space="preserve"> år och i synnerhet </w:t>
      </w:r>
      <w:r w:rsidRPr="003954D9">
        <w:rPr>
          <w:sz w:val="23"/>
        </w:rPr>
        <w:t>samboende</w:t>
      </w:r>
      <w:r w:rsidR="004C630C" w:rsidRPr="003954D9">
        <w:rPr>
          <w:sz w:val="23"/>
        </w:rPr>
        <w:t>.</w:t>
      </w:r>
      <w:r w:rsidRPr="003954D9">
        <w:rPr>
          <w:sz w:val="23"/>
        </w:rPr>
        <w:t xml:space="preserve"> Minst kvar har </w:t>
      </w:r>
      <w:r w:rsidR="004C630C" w:rsidRPr="003954D9">
        <w:rPr>
          <w:sz w:val="23"/>
        </w:rPr>
        <w:t xml:space="preserve">samboende med 3 eller fler barn </w:t>
      </w:r>
      <w:r w:rsidR="00365C66" w:rsidRPr="003954D9">
        <w:rPr>
          <w:sz w:val="23"/>
        </w:rPr>
        <w:t>0–19</w:t>
      </w:r>
      <w:r w:rsidR="004C630C" w:rsidRPr="003954D9">
        <w:rPr>
          <w:sz w:val="23"/>
        </w:rPr>
        <w:t xml:space="preserve"> år, </w:t>
      </w:r>
      <w:r w:rsidRPr="003954D9">
        <w:rPr>
          <w:sz w:val="23"/>
        </w:rPr>
        <w:t xml:space="preserve">ensamstående med barn </w:t>
      </w:r>
      <w:r w:rsidR="00365C66" w:rsidRPr="003954D9">
        <w:rPr>
          <w:sz w:val="23"/>
        </w:rPr>
        <w:t>0–19</w:t>
      </w:r>
      <w:r w:rsidRPr="003954D9">
        <w:rPr>
          <w:sz w:val="23"/>
        </w:rPr>
        <w:t xml:space="preserve"> år samt</w:t>
      </w:r>
      <w:r w:rsidR="004C630C" w:rsidRPr="003954D9">
        <w:rPr>
          <w:sz w:val="23"/>
        </w:rPr>
        <w:t xml:space="preserve"> samboende med 2 barn </w:t>
      </w:r>
      <w:r w:rsidR="00365C66" w:rsidRPr="003954D9">
        <w:rPr>
          <w:sz w:val="23"/>
        </w:rPr>
        <w:t>0–19</w:t>
      </w:r>
      <w:r w:rsidR="004C630C" w:rsidRPr="003954D9">
        <w:rPr>
          <w:sz w:val="23"/>
        </w:rPr>
        <w:t xml:space="preserve"> år</w:t>
      </w:r>
      <w:r w:rsidRPr="003954D9">
        <w:rPr>
          <w:sz w:val="23"/>
        </w:rPr>
        <w:t>.</w:t>
      </w:r>
      <w:r w:rsidR="007824C9">
        <w:rPr>
          <w:sz w:val="23"/>
        </w:rPr>
        <w:t xml:space="preserve"> Se diagram 3:1.</w:t>
      </w:r>
    </w:p>
    <w:p w14:paraId="2314023D" w14:textId="29193116" w:rsidR="002B6D36" w:rsidRPr="003954D9" w:rsidRDefault="002B6D36" w:rsidP="002B6D36">
      <w:pPr>
        <w:pStyle w:val="Rubrik5"/>
      </w:pPr>
      <w:r w:rsidRPr="003954D9">
        <w:t>Diagram 3:1</w:t>
      </w:r>
    </w:p>
    <w:p w14:paraId="467CDE9A" w14:textId="70A25E66" w:rsidR="002B6D36" w:rsidRPr="003954D9" w:rsidRDefault="0073239D" w:rsidP="002B6D36">
      <w:pPr>
        <w:rPr>
          <w:rFonts w:asciiTheme="majorHAnsi" w:eastAsiaTheme="majorEastAsia" w:hAnsiTheme="majorHAnsi" w:cstheme="majorBidi"/>
          <w:color w:val="243F60" w:themeColor="accent1" w:themeShade="7F"/>
          <w:sz w:val="23"/>
        </w:rPr>
      </w:pPr>
      <w:r w:rsidRPr="0073239D">
        <w:rPr>
          <w:noProof/>
        </w:rPr>
        <w:drawing>
          <wp:inline distT="0" distB="0" distL="0" distR="0" wp14:anchorId="6F3F61F5" wp14:editId="4E8C1F87">
            <wp:extent cx="4133850" cy="2743200"/>
            <wp:effectExtent l="0" t="0" r="0" b="0"/>
            <wp:docPr id="114" name="Bildobjekt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33850" cy="2743200"/>
                    </a:xfrm>
                    <a:prstGeom prst="rect">
                      <a:avLst/>
                    </a:prstGeom>
                    <a:noFill/>
                    <a:ln>
                      <a:noFill/>
                    </a:ln>
                  </pic:spPr>
                </pic:pic>
              </a:graphicData>
            </a:graphic>
          </wp:inline>
        </w:drawing>
      </w:r>
    </w:p>
    <w:p w14:paraId="4A556BAD" w14:textId="5479CDE2" w:rsidR="002B6D36" w:rsidRPr="003954D9" w:rsidRDefault="002B6D36" w:rsidP="0032114B"/>
    <w:p w14:paraId="3AEF14BB" w14:textId="23D61477" w:rsidR="002B6D36" w:rsidRPr="003954D9" w:rsidRDefault="002B6D36" w:rsidP="002B6D36">
      <w:pPr>
        <w:pStyle w:val="Rubrik3"/>
      </w:pPr>
      <w:bookmarkStart w:id="92" w:name="_Toc463184400"/>
      <w:bookmarkStart w:id="93" w:name="_Toc464828405"/>
      <w:r w:rsidRPr="003954D9">
        <w:t>Inkomster i olika hushållstyper – stadsdelar</w:t>
      </w:r>
      <w:bookmarkEnd w:id="92"/>
      <w:bookmarkEnd w:id="93"/>
    </w:p>
    <w:p w14:paraId="43357ABE" w14:textId="75B2B378" w:rsidR="005077C1" w:rsidRPr="003954D9" w:rsidRDefault="005077C1" w:rsidP="005077C1">
      <w:pPr>
        <w:pStyle w:val="Rubrik4"/>
      </w:pPr>
      <w:r w:rsidRPr="003954D9">
        <w:t>Disponibel inkomst</w:t>
      </w:r>
    </w:p>
    <w:p w14:paraId="4A2A6E9E" w14:textId="749C39AC" w:rsidR="00692753" w:rsidRPr="003954D9" w:rsidRDefault="004C630C" w:rsidP="0032114B">
      <w:r w:rsidRPr="003954D9">
        <w:t xml:space="preserve">I sex av de tio hushållstyperna ligger de disponibla inkomsterna per person lägst i Angered och i två av hushållstyperna vardera i </w:t>
      </w:r>
      <w:r w:rsidR="00692753" w:rsidRPr="003954D9">
        <w:t>Västra Hisingen och Östra Göteborg</w:t>
      </w:r>
      <w:r w:rsidR="00203431" w:rsidRPr="003954D9">
        <w:t>. Allra lägst inkomster har samboende med 3 eller flera barn</w:t>
      </w:r>
      <w:r w:rsidR="0050468F" w:rsidRPr="003954D9">
        <w:t xml:space="preserve"> </w:t>
      </w:r>
      <w:r w:rsidR="00365C66" w:rsidRPr="003954D9">
        <w:t>0–19</w:t>
      </w:r>
      <w:r w:rsidR="0050468F" w:rsidRPr="003954D9">
        <w:t xml:space="preserve"> år i Västra Hisingen följda</w:t>
      </w:r>
      <w:r w:rsidR="00203431" w:rsidRPr="003954D9">
        <w:t xml:space="preserve"> av samma hushållstyp i Östra Göteborg. </w:t>
      </w:r>
      <w:r w:rsidR="00A62FEE" w:rsidRPr="003954D9">
        <w:t xml:space="preserve">I fyra av de tio hushållstyperna ligger de disponibla inkomsterna per person högst i </w:t>
      </w:r>
      <w:r w:rsidR="00203431" w:rsidRPr="003954D9">
        <w:t>Majorna-Linné</w:t>
      </w:r>
      <w:r w:rsidR="009267B9" w:rsidRPr="003954D9">
        <w:t>staden</w:t>
      </w:r>
      <w:r w:rsidR="00203431" w:rsidRPr="003954D9">
        <w:t xml:space="preserve">. I tre hushållstyper är de högst i Centrum, i två i Örgryte-Härlanda och </w:t>
      </w:r>
      <w:r w:rsidR="00A62FEE" w:rsidRPr="003954D9">
        <w:t xml:space="preserve">i </w:t>
      </w:r>
      <w:r w:rsidR="00203431" w:rsidRPr="003954D9">
        <w:t xml:space="preserve">en </w:t>
      </w:r>
      <w:r w:rsidR="00A62FEE" w:rsidRPr="003954D9">
        <w:t xml:space="preserve">i </w:t>
      </w:r>
      <w:r w:rsidR="00203431" w:rsidRPr="003954D9">
        <w:t>Västra Göteborg.</w:t>
      </w:r>
      <w:r w:rsidR="00D114F5" w:rsidRPr="003954D9">
        <w:t xml:space="preserve"> </w:t>
      </w:r>
      <w:r w:rsidR="00A62FEE" w:rsidRPr="003954D9">
        <w:t>De hö</w:t>
      </w:r>
      <w:r w:rsidR="0050468F" w:rsidRPr="003954D9">
        <w:t>g</w:t>
      </w:r>
      <w:r w:rsidR="00A62FEE" w:rsidRPr="003954D9">
        <w:t xml:space="preserve">sta inkomsterna har ensamboende utan barn i Västra Göteborg samt samboende utan barn </w:t>
      </w:r>
      <w:r w:rsidR="00365C66" w:rsidRPr="003954D9">
        <w:t>18–64</w:t>
      </w:r>
      <w:r w:rsidR="00A62FEE" w:rsidRPr="003954D9">
        <w:t xml:space="preserve"> år i Majorna-Linnéstaden och Örgryte-Härlanda.  </w:t>
      </w:r>
      <w:r w:rsidR="005B78DB">
        <w:t>Se tabell 3:1.</w:t>
      </w:r>
    </w:p>
    <w:p w14:paraId="4CC0D230" w14:textId="337136BA" w:rsidR="00BF0887" w:rsidRPr="003954D9" w:rsidRDefault="00BF0887" w:rsidP="0032114B">
      <w:r w:rsidRPr="003954D9">
        <w:t xml:space="preserve">Största </w:t>
      </w:r>
      <w:r w:rsidR="004E4A4B" w:rsidRPr="003954D9">
        <w:t>spridningen</w:t>
      </w:r>
      <w:r w:rsidRPr="003954D9">
        <w:t xml:space="preserve"> finns bland samboende utan barn </w:t>
      </w:r>
      <w:r w:rsidR="00365C66" w:rsidRPr="003954D9">
        <w:t>18–64</w:t>
      </w:r>
      <w:r w:rsidRPr="003954D9">
        <w:t xml:space="preserve"> år (6 649 kronor), samboende utan barn 65 år- (6 527 kronor) samt bland övriga hushåll med barn (5 346 kronor).</w:t>
      </w:r>
      <w:r w:rsidR="00057FF9" w:rsidRPr="003954D9">
        <w:t xml:space="preserve"> Lägsta </w:t>
      </w:r>
      <w:r w:rsidR="001E04D0" w:rsidRPr="003954D9">
        <w:t>sp</w:t>
      </w:r>
      <w:r w:rsidR="004E4A4B" w:rsidRPr="003954D9">
        <w:t>ridningen</w:t>
      </w:r>
      <w:r w:rsidR="00057FF9" w:rsidRPr="003954D9">
        <w:t xml:space="preserve"> finns bland </w:t>
      </w:r>
      <w:r w:rsidR="004E4A4B" w:rsidRPr="003954D9">
        <w:t xml:space="preserve">samboende med tre barn </w:t>
      </w:r>
      <w:r w:rsidR="00365C66" w:rsidRPr="003954D9">
        <w:t>0–19</w:t>
      </w:r>
      <w:r w:rsidR="004E4A4B" w:rsidRPr="003954D9">
        <w:t xml:space="preserve"> år (3 474 kronor), ensamstående med barn </w:t>
      </w:r>
      <w:r w:rsidR="00365C66" w:rsidRPr="003954D9">
        <w:t>0–19</w:t>
      </w:r>
      <w:r w:rsidR="004E4A4B" w:rsidRPr="003954D9">
        <w:t xml:space="preserve"> år (3 488 kronor) samt bland samboende med 2 barn </w:t>
      </w:r>
      <w:r w:rsidR="00365C66" w:rsidRPr="003954D9">
        <w:t>0–19</w:t>
      </w:r>
      <w:r w:rsidR="004E4A4B" w:rsidRPr="003954D9">
        <w:t xml:space="preserve"> år (4 400 kronor).  </w:t>
      </w:r>
    </w:p>
    <w:p w14:paraId="6DE944F9" w14:textId="3680637C" w:rsidR="00F7543D" w:rsidRPr="003954D9" w:rsidRDefault="00046B36" w:rsidP="0032114B">
      <w:pPr>
        <w:rPr>
          <w:strike/>
          <w:highlight w:val="yellow"/>
        </w:rPr>
      </w:pPr>
      <w:r w:rsidRPr="003954D9">
        <w:t xml:space="preserve">Som jämförelse kan nämnas att den disponibla inkomsten per månad </w:t>
      </w:r>
      <w:r w:rsidR="006519EA" w:rsidRPr="003954D9">
        <w:t xml:space="preserve">och hushåll </w:t>
      </w:r>
      <w:r w:rsidRPr="003954D9">
        <w:t>i alla hushåll i Göteborg 2014 var 35 100 kr</w:t>
      </w:r>
      <w:r w:rsidR="00F7543D" w:rsidRPr="003954D9">
        <w:t xml:space="preserve"> och per konsumtionsenhet 23 400 kr.</w:t>
      </w:r>
      <w:r w:rsidR="00A3000C" w:rsidRPr="003954D9">
        <w:t xml:space="preserve"> Den senare siffran skiljer sig åt i de olika upplåtelseformerna - 18 100 kr i hyresrätt, 26 300 i bostadsrätt och 30 600 i </w:t>
      </w:r>
      <w:r w:rsidR="00A3000C" w:rsidRPr="003954D9">
        <w:lastRenderedPageBreak/>
        <w:t xml:space="preserve">äganderätt. </w:t>
      </w:r>
      <w:r w:rsidRPr="003954D9">
        <w:rPr>
          <w:rStyle w:val="Fotnotsreferens"/>
        </w:rPr>
        <w:footnoteReference w:id="2"/>
      </w:r>
      <w:r w:rsidRPr="003954D9">
        <w:t xml:space="preserve"> </w:t>
      </w:r>
      <w:r w:rsidR="00F7543D" w:rsidRPr="003954D9">
        <w:t>Siffrorna ger en fingervisning, men är inte jämförbara med</w:t>
      </w:r>
      <w:r w:rsidR="002B6D36" w:rsidRPr="003954D9">
        <w:t xml:space="preserve"> genomsnittssiffrorna i tabell 3:1</w:t>
      </w:r>
      <w:r w:rsidR="00F7543D" w:rsidRPr="003954D9">
        <w:t>. Konsumtionsenhet är ett viktat mått</w:t>
      </w:r>
      <w:r w:rsidR="00A3000C" w:rsidRPr="003954D9">
        <w:t xml:space="preserve"> och tabell 7 anger ett </w:t>
      </w:r>
      <w:r w:rsidR="00720B71" w:rsidRPr="003954D9">
        <w:t>medelvärde per person.</w:t>
      </w:r>
      <w:r w:rsidR="00A3000C" w:rsidRPr="003954D9">
        <w:rPr>
          <w:rStyle w:val="Fotnotsreferens"/>
        </w:rPr>
        <w:footnoteReference w:id="3"/>
      </w:r>
      <w:r w:rsidR="00C8268E" w:rsidRPr="003954D9">
        <w:t xml:space="preserve"> </w:t>
      </w:r>
    </w:p>
    <w:p w14:paraId="11A7D48F" w14:textId="58BEA1AD" w:rsidR="00BF22AF" w:rsidRPr="003954D9" w:rsidRDefault="00BF22AF" w:rsidP="00B12933">
      <w:pPr>
        <w:pStyle w:val="Rubrik5"/>
      </w:pPr>
      <w:r w:rsidRPr="003954D9">
        <w:t>Tabell</w:t>
      </w:r>
      <w:r w:rsidR="00426B4B" w:rsidRPr="003954D9">
        <w:t xml:space="preserve"> </w:t>
      </w:r>
      <w:r w:rsidR="002B6D36" w:rsidRPr="003954D9">
        <w:t>3:1</w:t>
      </w:r>
      <w:r w:rsidR="00426B4B" w:rsidRPr="003954D9">
        <w:t xml:space="preserve">: Disponibel inkomst per </w:t>
      </w:r>
      <w:r w:rsidR="005901DB" w:rsidRPr="003954D9">
        <w:t xml:space="preserve">månad och </w:t>
      </w:r>
      <w:r w:rsidR="00426B4B" w:rsidRPr="003954D9">
        <w:t>person, hushållstyp och stadsdel</w:t>
      </w:r>
      <w:r w:rsidR="002A7019" w:rsidRPr="003954D9">
        <w:t xml:space="preserve"> </w:t>
      </w:r>
      <w:r w:rsidR="00371545" w:rsidRPr="003954D9">
        <w:t>–</w:t>
      </w:r>
      <w:r w:rsidR="002A7019" w:rsidRPr="003954D9">
        <w:t xml:space="preserve"> medelvärden</w:t>
      </w:r>
      <w:r w:rsidR="00371545" w:rsidRPr="003954D9">
        <w:t xml:space="preserve"> i kronor</w:t>
      </w:r>
    </w:p>
    <w:tbl>
      <w:tblPr>
        <w:tblW w:w="9528" w:type="dxa"/>
        <w:tblInd w:w="40" w:type="dxa"/>
        <w:tblLayout w:type="fixed"/>
        <w:tblCellMar>
          <w:left w:w="70" w:type="dxa"/>
          <w:right w:w="70" w:type="dxa"/>
        </w:tblCellMar>
        <w:tblLook w:val="0000" w:firstRow="0" w:lastRow="0" w:firstColumn="0" w:lastColumn="0" w:noHBand="0" w:noVBand="0"/>
      </w:tblPr>
      <w:tblGrid>
        <w:gridCol w:w="1032"/>
        <w:gridCol w:w="950"/>
        <w:gridCol w:w="821"/>
        <w:gridCol w:w="742"/>
        <w:gridCol w:w="880"/>
        <w:gridCol w:w="837"/>
        <w:gridCol w:w="855"/>
        <w:gridCol w:w="854"/>
        <w:gridCol w:w="838"/>
        <w:gridCol w:w="868"/>
        <w:gridCol w:w="851"/>
      </w:tblGrid>
      <w:tr w:rsidR="0032114B" w:rsidRPr="003954D9" w14:paraId="7632C986" w14:textId="77777777" w:rsidTr="0032114B">
        <w:trPr>
          <w:trHeight w:val="227"/>
        </w:trPr>
        <w:tc>
          <w:tcPr>
            <w:tcW w:w="1032" w:type="dxa"/>
            <w:tcBorders>
              <w:top w:val="single" w:sz="6" w:space="0" w:color="auto"/>
              <w:left w:val="single" w:sz="6" w:space="0" w:color="auto"/>
              <w:bottom w:val="single" w:sz="6" w:space="0" w:color="auto"/>
              <w:right w:val="single" w:sz="6" w:space="0" w:color="auto"/>
            </w:tcBorders>
          </w:tcPr>
          <w:p w14:paraId="0B04B800" w14:textId="115CCB17" w:rsidR="0032114B" w:rsidRPr="003954D9" w:rsidRDefault="00306924" w:rsidP="00306924">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Stadsdel</w:t>
            </w:r>
          </w:p>
        </w:tc>
        <w:tc>
          <w:tcPr>
            <w:tcW w:w="950" w:type="dxa"/>
            <w:tcBorders>
              <w:top w:val="single" w:sz="6" w:space="0" w:color="auto"/>
              <w:left w:val="single" w:sz="6" w:space="0" w:color="auto"/>
              <w:bottom w:val="single" w:sz="6" w:space="0" w:color="auto"/>
              <w:right w:val="single" w:sz="6" w:space="0" w:color="auto"/>
            </w:tcBorders>
          </w:tcPr>
          <w:p w14:paraId="4F139943" w14:textId="5FCD4F59" w:rsidR="0032114B" w:rsidRPr="003954D9" w:rsidRDefault="0032114B">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821" w:type="dxa"/>
            <w:tcBorders>
              <w:top w:val="single" w:sz="6" w:space="0" w:color="auto"/>
              <w:left w:val="single" w:sz="6" w:space="0" w:color="auto"/>
              <w:bottom w:val="single" w:sz="6" w:space="0" w:color="auto"/>
              <w:right w:val="single" w:sz="6" w:space="0" w:color="auto"/>
            </w:tcBorders>
          </w:tcPr>
          <w:p w14:paraId="3DEB8132" w14:textId="688F8B91" w:rsidR="0032114B" w:rsidRPr="003954D9" w:rsidRDefault="0032114B">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65-år</w:t>
            </w:r>
          </w:p>
        </w:tc>
        <w:tc>
          <w:tcPr>
            <w:tcW w:w="742" w:type="dxa"/>
            <w:tcBorders>
              <w:top w:val="single" w:sz="6" w:space="0" w:color="auto"/>
              <w:left w:val="single" w:sz="6" w:space="0" w:color="auto"/>
              <w:bottom w:val="single" w:sz="6" w:space="0" w:color="auto"/>
              <w:right w:val="single" w:sz="6" w:space="0" w:color="auto"/>
            </w:tcBorders>
          </w:tcPr>
          <w:p w14:paraId="0EC83D8C" w14:textId="3CA91783" w:rsidR="0032114B" w:rsidRPr="003954D9" w:rsidRDefault="0032114B">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Ensamst. m.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80" w:type="dxa"/>
            <w:tcBorders>
              <w:top w:val="single" w:sz="6" w:space="0" w:color="auto"/>
              <w:left w:val="single" w:sz="6" w:space="0" w:color="auto"/>
              <w:bottom w:val="single" w:sz="6" w:space="0" w:color="auto"/>
              <w:right w:val="single" w:sz="6" w:space="0" w:color="auto"/>
            </w:tcBorders>
          </w:tcPr>
          <w:p w14:paraId="32EDEA4B" w14:textId="5117D45E" w:rsidR="0032114B" w:rsidRPr="003954D9" w:rsidRDefault="0032114B">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837" w:type="dxa"/>
            <w:tcBorders>
              <w:top w:val="single" w:sz="6" w:space="0" w:color="auto"/>
              <w:left w:val="single" w:sz="6" w:space="0" w:color="auto"/>
              <w:bottom w:val="single" w:sz="6" w:space="0" w:color="auto"/>
              <w:right w:val="single" w:sz="6" w:space="0" w:color="auto"/>
            </w:tcBorders>
          </w:tcPr>
          <w:p w14:paraId="6C420F31" w14:textId="006908F4" w:rsidR="0032114B" w:rsidRPr="003954D9" w:rsidRDefault="0032114B">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65-år</w:t>
            </w:r>
          </w:p>
        </w:tc>
        <w:tc>
          <w:tcPr>
            <w:tcW w:w="855" w:type="dxa"/>
            <w:tcBorders>
              <w:top w:val="single" w:sz="6" w:space="0" w:color="auto"/>
              <w:left w:val="single" w:sz="6" w:space="0" w:color="auto"/>
              <w:bottom w:val="single" w:sz="6" w:space="0" w:color="auto"/>
              <w:right w:val="single" w:sz="6" w:space="0" w:color="auto"/>
            </w:tcBorders>
          </w:tcPr>
          <w:p w14:paraId="3D4DC3BC" w14:textId="7A7EF345" w:rsidR="0032114B" w:rsidRPr="003954D9" w:rsidRDefault="0032114B">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1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54" w:type="dxa"/>
            <w:tcBorders>
              <w:top w:val="single" w:sz="6" w:space="0" w:color="auto"/>
              <w:left w:val="single" w:sz="6" w:space="0" w:color="auto"/>
              <w:bottom w:val="single" w:sz="6" w:space="0" w:color="auto"/>
              <w:right w:val="single" w:sz="6" w:space="0" w:color="auto"/>
            </w:tcBorders>
          </w:tcPr>
          <w:p w14:paraId="6B5AE3BA" w14:textId="6DEA7E8E" w:rsidR="0032114B" w:rsidRPr="003954D9" w:rsidRDefault="0032114B">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2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38" w:type="dxa"/>
            <w:tcBorders>
              <w:top w:val="single" w:sz="6" w:space="0" w:color="auto"/>
              <w:left w:val="single" w:sz="6" w:space="0" w:color="auto"/>
              <w:bottom w:val="single" w:sz="6" w:space="0" w:color="auto"/>
              <w:right w:val="single" w:sz="6" w:space="0" w:color="auto"/>
            </w:tcBorders>
          </w:tcPr>
          <w:p w14:paraId="18DF4E02" w14:textId="079FFE28" w:rsidR="0032114B" w:rsidRPr="003954D9" w:rsidRDefault="0032114B">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3 -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68" w:type="dxa"/>
            <w:tcBorders>
              <w:top w:val="single" w:sz="6" w:space="0" w:color="auto"/>
              <w:left w:val="single" w:sz="6" w:space="0" w:color="auto"/>
              <w:bottom w:val="single" w:sz="6" w:space="0" w:color="auto"/>
              <w:right w:val="single" w:sz="6" w:space="0" w:color="auto"/>
            </w:tcBorders>
          </w:tcPr>
          <w:p w14:paraId="49C06AE2" w14:textId="77777777" w:rsidR="0032114B" w:rsidRPr="003954D9" w:rsidRDefault="0032114B">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Övr. hushåll u. barn </w:t>
            </w:r>
          </w:p>
        </w:tc>
        <w:tc>
          <w:tcPr>
            <w:tcW w:w="851" w:type="dxa"/>
            <w:tcBorders>
              <w:top w:val="single" w:sz="6" w:space="0" w:color="auto"/>
              <w:left w:val="single" w:sz="6" w:space="0" w:color="auto"/>
              <w:bottom w:val="single" w:sz="6" w:space="0" w:color="auto"/>
              <w:right w:val="single" w:sz="6" w:space="0" w:color="auto"/>
            </w:tcBorders>
          </w:tcPr>
          <w:p w14:paraId="75D136DE" w14:textId="77777777" w:rsidR="0032114B" w:rsidRPr="003954D9" w:rsidRDefault="0032114B">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Övr. hushåll m. barn</w:t>
            </w:r>
          </w:p>
        </w:tc>
      </w:tr>
      <w:tr w:rsidR="0032114B" w:rsidRPr="003954D9" w14:paraId="6D6AAB50"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156A02A8" w14:textId="77777777" w:rsidR="0032114B" w:rsidRPr="003954D9" w:rsidRDefault="0032114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50" w:type="dxa"/>
            <w:tcBorders>
              <w:top w:val="single" w:sz="6" w:space="0" w:color="auto"/>
              <w:left w:val="single" w:sz="6" w:space="0" w:color="auto"/>
              <w:bottom w:val="single" w:sz="6" w:space="0" w:color="auto"/>
              <w:right w:val="single" w:sz="6" w:space="0" w:color="auto"/>
            </w:tcBorders>
            <w:vAlign w:val="center"/>
          </w:tcPr>
          <w:p w14:paraId="1EF4ACF1" w14:textId="77777777" w:rsidR="0032114B" w:rsidRPr="003954D9" w:rsidRDefault="0032114B">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13 539</w:t>
            </w:r>
          </w:p>
        </w:tc>
        <w:tc>
          <w:tcPr>
            <w:tcW w:w="821" w:type="dxa"/>
            <w:tcBorders>
              <w:top w:val="single" w:sz="6" w:space="0" w:color="auto"/>
              <w:left w:val="single" w:sz="6" w:space="0" w:color="auto"/>
              <w:bottom w:val="single" w:sz="6" w:space="0" w:color="auto"/>
              <w:right w:val="single" w:sz="6" w:space="0" w:color="auto"/>
            </w:tcBorders>
            <w:vAlign w:val="center"/>
          </w:tcPr>
          <w:p w14:paraId="2B9B5F16" w14:textId="77777777" w:rsidR="0032114B" w:rsidRPr="003954D9" w:rsidRDefault="0032114B">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11 861</w:t>
            </w:r>
          </w:p>
        </w:tc>
        <w:tc>
          <w:tcPr>
            <w:tcW w:w="742" w:type="dxa"/>
            <w:tcBorders>
              <w:top w:val="single" w:sz="6" w:space="0" w:color="auto"/>
              <w:left w:val="single" w:sz="6" w:space="0" w:color="auto"/>
              <w:bottom w:val="single" w:sz="6" w:space="0" w:color="auto"/>
              <w:right w:val="single" w:sz="6" w:space="0" w:color="auto"/>
            </w:tcBorders>
            <w:vAlign w:val="center"/>
          </w:tcPr>
          <w:p w14:paraId="029B980D" w14:textId="77777777" w:rsidR="0032114B" w:rsidRPr="003954D9" w:rsidRDefault="0032114B">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6 173</w:t>
            </w:r>
          </w:p>
        </w:tc>
        <w:tc>
          <w:tcPr>
            <w:tcW w:w="880" w:type="dxa"/>
            <w:tcBorders>
              <w:top w:val="single" w:sz="6" w:space="0" w:color="auto"/>
              <w:left w:val="single" w:sz="6" w:space="0" w:color="auto"/>
              <w:bottom w:val="single" w:sz="6" w:space="0" w:color="auto"/>
              <w:right w:val="single" w:sz="6" w:space="0" w:color="auto"/>
            </w:tcBorders>
            <w:vAlign w:val="center"/>
          </w:tcPr>
          <w:p w14:paraId="2624E206" w14:textId="77777777" w:rsidR="0032114B" w:rsidRPr="003954D9" w:rsidRDefault="0032114B">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11 867</w:t>
            </w:r>
          </w:p>
        </w:tc>
        <w:tc>
          <w:tcPr>
            <w:tcW w:w="837" w:type="dxa"/>
            <w:tcBorders>
              <w:top w:val="single" w:sz="6" w:space="0" w:color="auto"/>
              <w:left w:val="single" w:sz="6" w:space="0" w:color="auto"/>
              <w:bottom w:val="single" w:sz="6" w:space="0" w:color="auto"/>
              <w:right w:val="single" w:sz="6" w:space="0" w:color="auto"/>
            </w:tcBorders>
            <w:vAlign w:val="center"/>
          </w:tcPr>
          <w:p w14:paraId="6FFFB59A" w14:textId="77777777" w:rsidR="0032114B" w:rsidRPr="003954D9" w:rsidRDefault="0032114B">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9 598</w:t>
            </w:r>
          </w:p>
        </w:tc>
        <w:tc>
          <w:tcPr>
            <w:tcW w:w="855" w:type="dxa"/>
            <w:tcBorders>
              <w:top w:val="single" w:sz="6" w:space="0" w:color="auto"/>
              <w:left w:val="single" w:sz="6" w:space="0" w:color="auto"/>
              <w:bottom w:val="single" w:sz="6" w:space="0" w:color="auto"/>
              <w:right w:val="single" w:sz="6" w:space="0" w:color="auto"/>
            </w:tcBorders>
            <w:vAlign w:val="center"/>
          </w:tcPr>
          <w:p w14:paraId="3FE6D958"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8 921</w:t>
            </w:r>
          </w:p>
        </w:tc>
        <w:tc>
          <w:tcPr>
            <w:tcW w:w="854" w:type="dxa"/>
            <w:tcBorders>
              <w:top w:val="single" w:sz="6" w:space="0" w:color="auto"/>
              <w:left w:val="single" w:sz="6" w:space="0" w:color="auto"/>
              <w:bottom w:val="single" w:sz="6" w:space="0" w:color="auto"/>
              <w:right w:val="single" w:sz="6" w:space="0" w:color="auto"/>
            </w:tcBorders>
            <w:vAlign w:val="center"/>
          </w:tcPr>
          <w:p w14:paraId="162CDD50"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7 040</w:t>
            </w:r>
          </w:p>
        </w:tc>
        <w:tc>
          <w:tcPr>
            <w:tcW w:w="838" w:type="dxa"/>
            <w:tcBorders>
              <w:top w:val="single" w:sz="6" w:space="0" w:color="auto"/>
              <w:left w:val="single" w:sz="6" w:space="0" w:color="auto"/>
              <w:bottom w:val="single" w:sz="6" w:space="0" w:color="auto"/>
              <w:right w:val="single" w:sz="6" w:space="0" w:color="auto"/>
            </w:tcBorders>
            <w:vAlign w:val="center"/>
          </w:tcPr>
          <w:p w14:paraId="5232FF75"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5 568</w:t>
            </w:r>
          </w:p>
        </w:tc>
        <w:tc>
          <w:tcPr>
            <w:tcW w:w="868" w:type="dxa"/>
            <w:tcBorders>
              <w:top w:val="single" w:sz="6" w:space="0" w:color="auto"/>
              <w:left w:val="single" w:sz="6" w:space="0" w:color="auto"/>
              <w:bottom w:val="single" w:sz="6" w:space="0" w:color="auto"/>
              <w:right w:val="single" w:sz="6" w:space="0" w:color="auto"/>
            </w:tcBorders>
            <w:vAlign w:val="center"/>
          </w:tcPr>
          <w:p w14:paraId="097F0A97"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11 275</w:t>
            </w:r>
          </w:p>
        </w:tc>
        <w:tc>
          <w:tcPr>
            <w:tcW w:w="851" w:type="dxa"/>
            <w:tcBorders>
              <w:top w:val="single" w:sz="6" w:space="0" w:color="auto"/>
              <w:left w:val="single" w:sz="6" w:space="0" w:color="auto"/>
              <w:bottom w:val="single" w:sz="6" w:space="0" w:color="auto"/>
              <w:right w:val="single" w:sz="6" w:space="0" w:color="auto"/>
            </w:tcBorders>
            <w:vAlign w:val="center"/>
          </w:tcPr>
          <w:p w14:paraId="69C60996" w14:textId="77777777" w:rsidR="0032114B" w:rsidRPr="003954D9" w:rsidRDefault="0032114B">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7 771</w:t>
            </w:r>
          </w:p>
        </w:tc>
      </w:tr>
      <w:tr w:rsidR="0032114B" w:rsidRPr="003954D9" w14:paraId="3BF8C5D2"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303B0484" w14:textId="77777777" w:rsidR="0032114B" w:rsidRPr="003954D9" w:rsidRDefault="0032114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950" w:type="dxa"/>
            <w:tcBorders>
              <w:top w:val="single" w:sz="6" w:space="0" w:color="auto"/>
              <w:left w:val="single" w:sz="6" w:space="0" w:color="auto"/>
              <w:bottom w:val="single" w:sz="6" w:space="0" w:color="auto"/>
              <w:right w:val="single" w:sz="6" w:space="0" w:color="auto"/>
            </w:tcBorders>
            <w:vAlign w:val="center"/>
          </w:tcPr>
          <w:p w14:paraId="6328F785"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16 432</w:t>
            </w:r>
          </w:p>
        </w:tc>
        <w:tc>
          <w:tcPr>
            <w:tcW w:w="821" w:type="dxa"/>
            <w:tcBorders>
              <w:top w:val="single" w:sz="6" w:space="0" w:color="auto"/>
              <w:left w:val="single" w:sz="6" w:space="0" w:color="auto"/>
              <w:bottom w:val="single" w:sz="6" w:space="0" w:color="auto"/>
              <w:right w:val="single" w:sz="6" w:space="0" w:color="auto"/>
            </w:tcBorders>
            <w:vAlign w:val="center"/>
          </w:tcPr>
          <w:p w14:paraId="35AC92AB"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13 750</w:t>
            </w:r>
          </w:p>
        </w:tc>
        <w:tc>
          <w:tcPr>
            <w:tcW w:w="742" w:type="dxa"/>
            <w:tcBorders>
              <w:top w:val="single" w:sz="6" w:space="0" w:color="auto"/>
              <w:left w:val="single" w:sz="6" w:space="0" w:color="auto"/>
              <w:bottom w:val="single" w:sz="6" w:space="0" w:color="auto"/>
              <w:right w:val="single" w:sz="6" w:space="0" w:color="auto"/>
            </w:tcBorders>
            <w:vAlign w:val="center"/>
          </w:tcPr>
          <w:p w14:paraId="38836C6F"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8 008</w:t>
            </w:r>
          </w:p>
        </w:tc>
        <w:tc>
          <w:tcPr>
            <w:tcW w:w="880" w:type="dxa"/>
            <w:tcBorders>
              <w:top w:val="single" w:sz="6" w:space="0" w:color="auto"/>
              <w:left w:val="single" w:sz="6" w:space="0" w:color="auto"/>
              <w:bottom w:val="single" w:sz="6" w:space="0" w:color="auto"/>
              <w:right w:val="single" w:sz="6" w:space="0" w:color="auto"/>
            </w:tcBorders>
            <w:vAlign w:val="center"/>
          </w:tcPr>
          <w:p w14:paraId="24E3AEA6"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15 891</w:t>
            </w:r>
          </w:p>
        </w:tc>
        <w:tc>
          <w:tcPr>
            <w:tcW w:w="837" w:type="dxa"/>
            <w:tcBorders>
              <w:top w:val="single" w:sz="6" w:space="0" w:color="auto"/>
              <w:left w:val="single" w:sz="6" w:space="0" w:color="auto"/>
              <w:bottom w:val="single" w:sz="6" w:space="0" w:color="auto"/>
              <w:right w:val="single" w:sz="6" w:space="0" w:color="auto"/>
            </w:tcBorders>
            <w:vAlign w:val="center"/>
          </w:tcPr>
          <w:p w14:paraId="4DAFE55B"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12 774</w:t>
            </w:r>
          </w:p>
        </w:tc>
        <w:tc>
          <w:tcPr>
            <w:tcW w:w="855" w:type="dxa"/>
            <w:tcBorders>
              <w:top w:val="single" w:sz="6" w:space="0" w:color="auto"/>
              <w:left w:val="single" w:sz="6" w:space="0" w:color="auto"/>
              <w:bottom w:val="single" w:sz="6" w:space="0" w:color="auto"/>
              <w:right w:val="single" w:sz="6" w:space="0" w:color="auto"/>
            </w:tcBorders>
            <w:vAlign w:val="center"/>
          </w:tcPr>
          <w:p w14:paraId="6FFE9FBC"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11 533</w:t>
            </w:r>
          </w:p>
        </w:tc>
        <w:tc>
          <w:tcPr>
            <w:tcW w:w="854" w:type="dxa"/>
            <w:tcBorders>
              <w:top w:val="single" w:sz="6" w:space="0" w:color="auto"/>
              <w:left w:val="single" w:sz="6" w:space="0" w:color="auto"/>
              <w:bottom w:val="single" w:sz="6" w:space="0" w:color="auto"/>
              <w:right w:val="single" w:sz="6" w:space="0" w:color="auto"/>
            </w:tcBorders>
            <w:vAlign w:val="center"/>
          </w:tcPr>
          <w:p w14:paraId="1642DAAC"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8 582</w:t>
            </w:r>
          </w:p>
        </w:tc>
        <w:tc>
          <w:tcPr>
            <w:tcW w:w="838" w:type="dxa"/>
            <w:tcBorders>
              <w:top w:val="single" w:sz="6" w:space="0" w:color="auto"/>
              <w:left w:val="single" w:sz="6" w:space="0" w:color="auto"/>
              <w:bottom w:val="single" w:sz="6" w:space="0" w:color="auto"/>
              <w:right w:val="single" w:sz="6" w:space="0" w:color="auto"/>
            </w:tcBorders>
            <w:vAlign w:val="center"/>
          </w:tcPr>
          <w:p w14:paraId="1DCBB734"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6 185</w:t>
            </w:r>
          </w:p>
        </w:tc>
        <w:tc>
          <w:tcPr>
            <w:tcW w:w="868" w:type="dxa"/>
            <w:tcBorders>
              <w:top w:val="single" w:sz="6" w:space="0" w:color="auto"/>
              <w:left w:val="single" w:sz="6" w:space="0" w:color="auto"/>
              <w:bottom w:val="single" w:sz="6" w:space="0" w:color="auto"/>
              <w:right w:val="single" w:sz="6" w:space="0" w:color="auto"/>
            </w:tcBorders>
            <w:vAlign w:val="center"/>
          </w:tcPr>
          <w:p w14:paraId="2B3FFAA4"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12 401</w:t>
            </w:r>
          </w:p>
        </w:tc>
        <w:tc>
          <w:tcPr>
            <w:tcW w:w="851" w:type="dxa"/>
            <w:tcBorders>
              <w:top w:val="single" w:sz="6" w:space="0" w:color="auto"/>
              <w:left w:val="single" w:sz="6" w:space="0" w:color="auto"/>
              <w:bottom w:val="single" w:sz="6" w:space="0" w:color="auto"/>
              <w:right w:val="single" w:sz="6" w:space="0" w:color="auto"/>
            </w:tcBorders>
            <w:vAlign w:val="center"/>
          </w:tcPr>
          <w:p w14:paraId="507F3A9F"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10 977</w:t>
            </w:r>
          </w:p>
        </w:tc>
      </w:tr>
      <w:tr w:rsidR="0032114B" w:rsidRPr="003954D9" w14:paraId="30508A31"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51C9DDE2" w14:textId="77777777" w:rsidR="0032114B" w:rsidRPr="003954D9" w:rsidRDefault="0032114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950" w:type="dxa"/>
            <w:tcBorders>
              <w:top w:val="single" w:sz="6" w:space="0" w:color="auto"/>
              <w:left w:val="single" w:sz="6" w:space="0" w:color="auto"/>
              <w:bottom w:val="single" w:sz="6" w:space="0" w:color="auto"/>
              <w:right w:val="single" w:sz="6" w:space="0" w:color="auto"/>
            </w:tcBorders>
            <w:vAlign w:val="center"/>
          </w:tcPr>
          <w:p w14:paraId="485203B6"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17 209</w:t>
            </w:r>
          </w:p>
        </w:tc>
        <w:tc>
          <w:tcPr>
            <w:tcW w:w="821" w:type="dxa"/>
            <w:tcBorders>
              <w:top w:val="single" w:sz="6" w:space="0" w:color="auto"/>
              <w:left w:val="single" w:sz="6" w:space="0" w:color="auto"/>
              <w:bottom w:val="single" w:sz="6" w:space="0" w:color="auto"/>
              <w:right w:val="single" w:sz="6" w:space="0" w:color="auto"/>
            </w:tcBorders>
            <w:vAlign w:val="center"/>
          </w:tcPr>
          <w:p w14:paraId="0D654A71"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15 492</w:t>
            </w:r>
          </w:p>
        </w:tc>
        <w:tc>
          <w:tcPr>
            <w:tcW w:w="742" w:type="dxa"/>
            <w:tcBorders>
              <w:top w:val="single" w:sz="6" w:space="0" w:color="auto"/>
              <w:left w:val="single" w:sz="6" w:space="0" w:color="auto"/>
              <w:bottom w:val="single" w:sz="6" w:space="0" w:color="auto"/>
              <w:right w:val="single" w:sz="6" w:space="0" w:color="auto"/>
            </w:tcBorders>
            <w:vAlign w:val="center"/>
          </w:tcPr>
          <w:p w14:paraId="01E5850E" w14:textId="77777777" w:rsidR="0032114B" w:rsidRPr="003954D9" w:rsidRDefault="0032114B">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9 661</w:t>
            </w:r>
          </w:p>
        </w:tc>
        <w:tc>
          <w:tcPr>
            <w:tcW w:w="880" w:type="dxa"/>
            <w:tcBorders>
              <w:top w:val="single" w:sz="6" w:space="0" w:color="auto"/>
              <w:left w:val="single" w:sz="6" w:space="0" w:color="auto"/>
              <w:bottom w:val="single" w:sz="6" w:space="0" w:color="auto"/>
              <w:right w:val="single" w:sz="6" w:space="0" w:color="auto"/>
            </w:tcBorders>
            <w:vAlign w:val="center"/>
          </w:tcPr>
          <w:p w14:paraId="5D2E1FCF"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18 202</w:t>
            </w:r>
          </w:p>
        </w:tc>
        <w:tc>
          <w:tcPr>
            <w:tcW w:w="837" w:type="dxa"/>
            <w:tcBorders>
              <w:top w:val="single" w:sz="6" w:space="0" w:color="auto"/>
              <w:left w:val="single" w:sz="6" w:space="0" w:color="auto"/>
              <w:bottom w:val="single" w:sz="6" w:space="0" w:color="auto"/>
              <w:right w:val="single" w:sz="6" w:space="0" w:color="auto"/>
            </w:tcBorders>
            <w:vAlign w:val="center"/>
          </w:tcPr>
          <w:p w14:paraId="4D872B1B"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15 831</w:t>
            </w:r>
          </w:p>
        </w:tc>
        <w:tc>
          <w:tcPr>
            <w:tcW w:w="855" w:type="dxa"/>
            <w:tcBorders>
              <w:top w:val="single" w:sz="6" w:space="0" w:color="auto"/>
              <w:left w:val="single" w:sz="6" w:space="0" w:color="auto"/>
              <w:bottom w:val="single" w:sz="6" w:space="0" w:color="auto"/>
              <w:right w:val="single" w:sz="6" w:space="0" w:color="auto"/>
            </w:tcBorders>
            <w:vAlign w:val="center"/>
          </w:tcPr>
          <w:p w14:paraId="558D92A9" w14:textId="77777777" w:rsidR="0032114B" w:rsidRPr="003954D9" w:rsidRDefault="0032114B">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13 273</w:t>
            </w:r>
          </w:p>
        </w:tc>
        <w:tc>
          <w:tcPr>
            <w:tcW w:w="854" w:type="dxa"/>
            <w:tcBorders>
              <w:top w:val="single" w:sz="6" w:space="0" w:color="auto"/>
              <w:left w:val="single" w:sz="6" w:space="0" w:color="auto"/>
              <w:bottom w:val="single" w:sz="6" w:space="0" w:color="auto"/>
              <w:right w:val="single" w:sz="6" w:space="0" w:color="auto"/>
            </w:tcBorders>
            <w:vAlign w:val="center"/>
          </w:tcPr>
          <w:p w14:paraId="33402DCB" w14:textId="77777777" w:rsidR="0032114B" w:rsidRPr="003954D9" w:rsidRDefault="0032114B">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11 417</w:t>
            </w:r>
          </w:p>
        </w:tc>
        <w:tc>
          <w:tcPr>
            <w:tcW w:w="838" w:type="dxa"/>
            <w:tcBorders>
              <w:top w:val="single" w:sz="6" w:space="0" w:color="auto"/>
              <w:left w:val="single" w:sz="6" w:space="0" w:color="auto"/>
              <w:bottom w:val="single" w:sz="6" w:space="0" w:color="auto"/>
              <w:right w:val="single" w:sz="6" w:space="0" w:color="auto"/>
            </w:tcBorders>
            <w:vAlign w:val="center"/>
          </w:tcPr>
          <w:p w14:paraId="40299AC4"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8 055</w:t>
            </w:r>
          </w:p>
        </w:tc>
        <w:tc>
          <w:tcPr>
            <w:tcW w:w="868" w:type="dxa"/>
            <w:tcBorders>
              <w:top w:val="single" w:sz="6" w:space="0" w:color="auto"/>
              <w:left w:val="single" w:sz="6" w:space="0" w:color="auto"/>
              <w:bottom w:val="single" w:sz="6" w:space="0" w:color="auto"/>
              <w:right w:val="single" w:sz="6" w:space="0" w:color="auto"/>
            </w:tcBorders>
            <w:vAlign w:val="center"/>
          </w:tcPr>
          <w:p w14:paraId="172318C3"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14 624</w:t>
            </w:r>
          </w:p>
        </w:tc>
        <w:tc>
          <w:tcPr>
            <w:tcW w:w="851" w:type="dxa"/>
            <w:tcBorders>
              <w:top w:val="single" w:sz="6" w:space="0" w:color="auto"/>
              <w:left w:val="single" w:sz="6" w:space="0" w:color="auto"/>
              <w:bottom w:val="single" w:sz="6" w:space="0" w:color="auto"/>
              <w:right w:val="single" w:sz="6" w:space="0" w:color="auto"/>
            </w:tcBorders>
            <w:vAlign w:val="center"/>
          </w:tcPr>
          <w:p w14:paraId="3879B639"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13 242</w:t>
            </w:r>
          </w:p>
        </w:tc>
      </w:tr>
      <w:tr w:rsidR="0032114B" w:rsidRPr="003954D9" w14:paraId="4D1997B1"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1CD23958" w14:textId="77777777" w:rsidR="0032114B" w:rsidRPr="003954D9" w:rsidRDefault="0032114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950" w:type="dxa"/>
            <w:tcBorders>
              <w:top w:val="single" w:sz="6" w:space="0" w:color="auto"/>
              <w:left w:val="single" w:sz="6" w:space="0" w:color="auto"/>
              <w:bottom w:val="single" w:sz="6" w:space="0" w:color="auto"/>
              <w:right w:val="single" w:sz="6" w:space="0" w:color="auto"/>
            </w:tcBorders>
            <w:vAlign w:val="center"/>
          </w:tcPr>
          <w:p w14:paraId="47EE99A5"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15 538</w:t>
            </w:r>
          </w:p>
        </w:tc>
        <w:tc>
          <w:tcPr>
            <w:tcW w:w="821" w:type="dxa"/>
            <w:tcBorders>
              <w:top w:val="single" w:sz="6" w:space="0" w:color="auto"/>
              <w:left w:val="single" w:sz="6" w:space="0" w:color="auto"/>
              <w:bottom w:val="single" w:sz="6" w:space="0" w:color="auto"/>
              <w:right w:val="single" w:sz="6" w:space="0" w:color="auto"/>
            </w:tcBorders>
            <w:vAlign w:val="center"/>
          </w:tcPr>
          <w:p w14:paraId="27891D05"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13 476</w:t>
            </w:r>
          </w:p>
        </w:tc>
        <w:tc>
          <w:tcPr>
            <w:tcW w:w="742" w:type="dxa"/>
            <w:tcBorders>
              <w:top w:val="single" w:sz="6" w:space="0" w:color="auto"/>
              <w:left w:val="single" w:sz="6" w:space="0" w:color="auto"/>
              <w:bottom w:val="single" w:sz="6" w:space="0" w:color="auto"/>
              <w:right w:val="single" w:sz="6" w:space="0" w:color="auto"/>
            </w:tcBorders>
            <w:vAlign w:val="center"/>
          </w:tcPr>
          <w:p w14:paraId="522B06A2"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7 224</w:t>
            </w:r>
          </w:p>
        </w:tc>
        <w:tc>
          <w:tcPr>
            <w:tcW w:w="880" w:type="dxa"/>
            <w:tcBorders>
              <w:top w:val="single" w:sz="6" w:space="0" w:color="auto"/>
              <w:left w:val="single" w:sz="6" w:space="0" w:color="auto"/>
              <w:bottom w:val="single" w:sz="6" w:space="0" w:color="auto"/>
              <w:right w:val="single" w:sz="6" w:space="0" w:color="auto"/>
            </w:tcBorders>
            <w:vAlign w:val="center"/>
          </w:tcPr>
          <w:p w14:paraId="57AA4912"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15 372</w:t>
            </w:r>
          </w:p>
        </w:tc>
        <w:tc>
          <w:tcPr>
            <w:tcW w:w="837" w:type="dxa"/>
            <w:tcBorders>
              <w:top w:val="single" w:sz="6" w:space="0" w:color="auto"/>
              <w:left w:val="single" w:sz="6" w:space="0" w:color="auto"/>
              <w:bottom w:val="single" w:sz="6" w:space="0" w:color="auto"/>
              <w:right w:val="single" w:sz="6" w:space="0" w:color="auto"/>
            </w:tcBorders>
            <w:vAlign w:val="center"/>
          </w:tcPr>
          <w:p w14:paraId="3AC217AC"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10 829</w:t>
            </w:r>
          </w:p>
        </w:tc>
        <w:tc>
          <w:tcPr>
            <w:tcW w:w="855" w:type="dxa"/>
            <w:tcBorders>
              <w:top w:val="single" w:sz="6" w:space="0" w:color="auto"/>
              <w:left w:val="single" w:sz="6" w:space="0" w:color="auto"/>
              <w:bottom w:val="single" w:sz="6" w:space="0" w:color="auto"/>
              <w:right w:val="single" w:sz="6" w:space="0" w:color="auto"/>
            </w:tcBorders>
            <w:vAlign w:val="center"/>
          </w:tcPr>
          <w:p w14:paraId="4312FD0C"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9 180</w:t>
            </w:r>
          </w:p>
        </w:tc>
        <w:tc>
          <w:tcPr>
            <w:tcW w:w="854" w:type="dxa"/>
            <w:tcBorders>
              <w:top w:val="single" w:sz="6" w:space="0" w:color="auto"/>
              <w:left w:val="single" w:sz="6" w:space="0" w:color="auto"/>
              <w:bottom w:val="single" w:sz="6" w:space="0" w:color="auto"/>
              <w:right w:val="single" w:sz="6" w:space="0" w:color="auto"/>
            </w:tcBorders>
            <w:vAlign w:val="center"/>
          </w:tcPr>
          <w:p w14:paraId="4A828DD9"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8 003</w:t>
            </w:r>
          </w:p>
        </w:tc>
        <w:tc>
          <w:tcPr>
            <w:tcW w:w="838" w:type="dxa"/>
            <w:tcBorders>
              <w:top w:val="single" w:sz="6" w:space="0" w:color="auto"/>
              <w:left w:val="single" w:sz="6" w:space="0" w:color="auto"/>
              <w:bottom w:val="single" w:sz="6" w:space="0" w:color="auto"/>
              <w:right w:val="single" w:sz="6" w:space="0" w:color="auto"/>
            </w:tcBorders>
            <w:vAlign w:val="center"/>
          </w:tcPr>
          <w:p w14:paraId="0D88AB88"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6 380</w:t>
            </w:r>
          </w:p>
        </w:tc>
        <w:tc>
          <w:tcPr>
            <w:tcW w:w="868" w:type="dxa"/>
            <w:tcBorders>
              <w:top w:val="single" w:sz="6" w:space="0" w:color="auto"/>
              <w:left w:val="single" w:sz="6" w:space="0" w:color="auto"/>
              <w:bottom w:val="single" w:sz="6" w:space="0" w:color="auto"/>
              <w:right w:val="single" w:sz="6" w:space="0" w:color="auto"/>
            </w:tcBorders>
            <w:vAlign w:val="center"/>
          </w:tcPr>
          <w:p w14:paraId="4F2930E2"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12 283</w:t>
            </w:r>
          </w:p>
        </w:tc>
        <w:tc>
          <w:tcPr>
            <w:tcW w:w="851" w:type="dxa"/>
            <w:tcBorders>
              <w:top w:val="single" w:sz="6" w:space="0" w:color="auto"/>
              <w:left w:val="single" w:sz="6" w:space="0" w:color="auto"/>
              <w:bottom w:val="single" w:sz="6" w:space="0" w:color="auto"/>
              <w:right w:val="single" w:sz="6" w:space="0" w:color="auto"/>
            </w:tcBorders>
            <w:vAlign w:val="center"/>
          </w:tcPr>
          <w:p w14:paraId="7A453BF1"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9 844</w:t>
            </w:r>
          </w:p>
        </w:tc>
      </w:tr>
      <w:tr w:rsidR="0032114B" w:rsidRPr="003954D9" w14:paraId="1A33E593"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69DD46FA" w14:textId="6C0BF18E" w:rsidR="0032114B" w:rsidRPr="003954D9" w:rsidRDefault="00A62FE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950" w:type="dxa"/>
            <w:tcBorders>
              <w:top w:val="single" w:sz="6" w:space="0" w:color="auto"/>
              <w:left w:val="single" w:sz="6" w:space="0" w:color="auto"/>
              <w:bottom w:val="single" w:sz="6" w:space="0" w:color="auto"/>
              <w:right w:val="single" w:sz="6" w:space="0" w:color="auto"/>
            </w:tcBorders>
            <w:vAlign w:val="center"/>
          </w:tcPr>
          <w:p w14:paraId="68F8D150"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17 964</w:t>
            </w:r>
          </w:p>
        </w:tc>
        <w:tc>
          <w:tcPr>
            <w:tcW w:w="821" w:type="dxa"/>
            <w:tcBorders>
              <w:top w:val="single" w:sz="6" w:space="0" w:color="auto"/>
              <w:left w:val="single" w:sz="6" w:space="0" w:color="auto"/>
              <w:bottom w:val="single" w:sz="6" w:space="0" w:color="auto"/>
              <w:right w:val="single" w:sz="6" w:space="0" w:color="auto"/>
            </w:tcBorders>
            <w:vAlign w:val="center"/>
          </w:tcPr>
          <w:p w14:paraId="2C82EADE"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15 987</w:t>
            </w:r>
          </w:p>
        </w:tc>
        <w:tc>
          <w:tcPr>
            <w:tcW w:w="742" w:type="dxa"/>
            <w:tcBorders>
              <w:top w:val="single" w:sz="6" w:space="0" w:color="auto"/>
              <w:left w:val="single" w:sz="6" w:space="0" w:color="auto"/>
              <w:bottom w:val="single" w:sz="6" w:space="0" w:color="auto"/>
              <w:right w:val="single" w:sz="6" w:space="0" w:color="auto"/>
            </w:tcBorders>
            <w:vAlign w:val="center"/>
          </w:tcPr>
          <w:p w14:paraId="35790357"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9 526</w:t>
            </w:r>
          </w:p>
        </w:tc>
        <w:tc>
          <w:tcPr>
            <w:tcW w:w="880" w:type="dxa"/>
            <w:tcBorders>
              <w:top w:val="single" w:sz="6" w:space="0" w:color="auto"/>
              <w:left w:val="single" w:sz="6" w:space="0" w:color="auto"/>
              <w:bottom w:val="single" w:sz="6" w:space="0" w:color="auto"/>
              <w:right w:val="single" w:sz="6" w:space="0" w:color="auto"/>
            </w:tcBorders>
            <w:vAlign w:val="center"/>
          </w:tcPr>
          <w:p w14:paraId="7E81FF63" w14:textId="77777777" w:rsidR="0032114B" w:rsidRPr="003954D9" w:rsidRDefault="0032114B">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18 516</w:t>
            </w:r>
          </w:p>
        </w:tc>
        <w:tc>
          <w:tcPr>
            <w:tcW w:w="837" w:type="dxa"/>
            <w:tcBorders>
              <w:top w:val="single" w:sz="6" w:space="0" w:color="auto"/>
              <w:left w:val="single" w:sz="6" w:space="0" w:color="auto"/>
              <w:bottom w:val="single" w:sz="6" w:space="0" w:color="auto"/>
              <w:right w:val="single" w:sz="6" w:space="0" w:color="auto"/>
            </w:tcBorders>
            <w:vAlign w:val="center"/>
          </w:tcPr>
          <w:p w14:paraId="5C2F708D"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17 414</w:t>
            </w:r>
          </w:p>
        </w:tc>
        <w:tc>
          <w:tcPr>
            <w:tcW w:w="855" w:type="dxa"/>
            <w:tcBorders>
              <w:top w:val="single" w:sz="6" w:space="0" w:color="auto"/>
              <w:left w:val="single" w:sz="6" w:space="0" w:color="auto"/>
              <w:bottom w:val="single" w:sz="6" w:space="0" w:color="auto"/>
              <w:right w:val="single" w:sz="6" w:space="0" w:color="auto"/>
            </w:tcBorders>
            <w:vAlign w:val="center"/>
          </w:tcPr>
          <w:p w14:paraId="22FDA72B"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12 811</w:t>
            </w:r>
          </w:p>
        </w:tc>
        <w:tc>
          <w:tcPr>
            <w:tcW w:w="854" w:type="dxa"/>
            <w:tcBorders>
              <w:top w:val="single" w:sz="6" w:space="0" w:color="auto"/>
              <w:left w:val="single" w:sz="6" w:space="0" w:color="auto"/>
              <w:bottom w:val="single" w:sz="6" w:space="0" w:color="auto"/>
              <w:right w:val="single" w:sz="6" w:space="0" w:color="auto"/>
            </w:tcBorders>
            <w:vAlign w:val="center"/>
          </w:tcPr>
          <w:p w14:paraId="7802DD35"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10 652</w:t>
            </w:r>
          </w:p>
        </w:tc>
        <w:tc>
          <w:tcPr>
            <w:tcW w:w="838" w:type="dxa"/>
            <w:tcBorders>
              <w:top w:val="single" w:sz="6" w:space="0" w:color="auto"/>
              <w:left w:val="single" w:sz="6" w:space="0" w:color="auto"/>
              <w:bottom w:val="single" w:sz="6" w:space="0" w:color="auto"/>
              <w:right w:val="single" w:sz="6" w:space="0" w:color="auto"/>
            </w:tcBorders>
            <w:vAlign w:val="center"/>
          </w:tcPr>
          <w:p w14:paraId="20ED2A20" w14:textId="77777777" w:rsidR="0032114B" w:rsidRPr="003954D9" w:rsidRDefault="0032114B">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8 824</w:t>
            </w:r>
          </w:p>
        </w:tc>
        <w:tc>
          <w:tcPr>
            <w:tcW w:w="868" w:type="dxa"/>
            <w:tcBorders>
              <w:top w:val="single" w:sz="6" w:space="0" w:color="auto"/>
              <w:left w:val="single" w:sz="6" w:space="0" w:color="auto"/>
              <w:bottom w:val="single" w:sz="6" w:space="0" w:color="auto"/>
              <w:right w:val="single" w:sz="6" w:space="0" w:color="auto"/>
            </w:tcBorders>
            <w:vAlign w:val="center"/>
          </w:tcPr>
          <w:p w14:paraId="4575C872" w14:textId="77777777" w:rsidR="0032114B" w:rsidRPr="003954D9" w:rsidRDefault="0032114B">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15 449</w:t>
            </w:r>
          </w:p>
        </w:tc>
        <w:tc>
          <w:tcPr>
            <w:tcW w:w="851" w:type="dxa"/>
            <w:tcBorders>
              <w:top w:val="single" w:sz="6" w:space="0" w:color="auto"/>
              <w:left w:val="single" w:sz="6" w:space="0" w:color="auto"/>
              <w:bottom w:val="single" w:sz="6" w:space="0" w:color="auto"/>
              <w:right w:val="single" w:sz="6" w:space="0" w:color="auto"/>
            </w:tcBorders>
            <w:vAlign w:val="center"/>
          </w:tcPr>
          <w:p w14:paraId="52978771" w14:textId="77777777" w:rsidR="0032114B" w:rsidRPr="003954D9" w:rsidRDefault="0032114B">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13 117</w:t>
            </w:r>
          </w:p>
        </w:tc>
      </w:tr>
      <w:tr w:rsidR="0032114B" w:rsidRPr="003954D9" w14:paraId="41E5B728"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53FB04FA" w14:textId="77777777" w:rsidR="0032114B" w:rsidRPr="003954D9" w:rsidRDefault="0032114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950" w:type="dxa"/>
            <w:tcBorders>
              <w:top w:val="single" w:sz="6" w:space="0" w:color="auto"/>
              <w:left w:val="single" w:sz="6" w:space="0" w:color="auto"/>
              <w:bottom w:val="single" w:sz="6" w:space="0" w:color="auto"/>
              <w:right w:val="single" w:sz="6" w:space="0" w:color="auto"/>
            </w:tcBorders>
            <w:vAlign w:val="center"/>
          </w:tcPr>
          <w:p w14:paraId="5FFADD16"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16 107</w:t>
            </w:r>
          </w:p>
        </w:tc>
        <w:tc>
          <w:tcPr>
            <w:tcW w:w="821" w:type="dxa"/>
            <w:tcBorders>
              <w:top w:val="single" w:sz="6" w:space="0" w:color="auto"/>
              <w:left w:val="single" w:sz="6" w:space="0" w:color="auto"/>
              <w:bottom w:val="single" w:sz="6" w:space="0" w:color="auto"/>
              <w:right w:val="single" w:sz="6" w:space="0" w:color="auto"/>
            </w:tcBorders>
            <w:vAlign w:val="center"/>
          </w:tcPr>
          <w:p w14:paraId="36006EE8"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12 974</w:t>
            </w:r>
          </w:p>
        </w:tc>
        <w:tc>
          <w:tcPr>
            <w:tcW w:w="742" w:type="dxa"/>
            <w:tcBorders>
              <w:top w:val="single" w:sz="6" w:space="0" w:color="auto"/>
              <w:left w:val="single" w:sz="6" w:space="0" w:color="auto"/>
              <w:bottom w:val="single" w:sz="6" w:space="0" w:color="auto"/>
              <w:right w:val="single" w:sz="6" w:space="0" w:color="auto"/>
            </w:tcBorders>
            <w:vAlign w:val="center"/>
          </w:tcPr>
          <w:p w14:paraId="49AB92EC"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7 308</w:t>
            </w:r>
          </w:p>
        </w:tc>
        <w:tc>
          <w:tcPr>
            <w:tcW w:w="880" w:type="dxa"/>
            <w:tcBorders>
              <w:top w:val="single" w:sz="6" w:space="0" w:color="auto"/>
              <w:left w:val="single" w:sz="6" w:space="0" w:color="auto"/>
              <w:bottom w:val="single" w:sz="6" w:space="0" w:color="auto"/>
              <w:right w:val="single" w:sz="6" w:space="0" w:color="auto"/>
            </w:tcBorders>
            <w:vAlign w:val="center"/>
          </w:tcPr>
          <w:p w14:paraId="56303D00"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13 586</w:t>
            </w:r>
          </w:p>
        </w:tc>
        <w:tc>
          <w:tcPr>
            <w:tcW w:w="837" w:type="dxa"/>
            <w:tcBorders>
              <w:top w:val="single" w:sz="6" w:space="0" w:color="auto"/>
              <w:left w:val="single" w:sz="6" w:space="0" w:color="auto"/>
              <w:bottom w:val="single" w:sz="6" w:space="0" w:color="auto"/>
              <w:right w:val="single" w:sz="6" w:space="0" w:color="auto"/>
            </w:tcBorders>
            <w:vAlign w:val="center"/>
          </w:tcPr>
          <w:p w14:paraId="13A11DF7"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12 217</w:t>
            </w:r>
          </w:p>
        </w:tc>
        <w:tc>
          <w:tcPr>
            <w:tcW w:w="855" w:type="dxa"/>
            <w:tcBorders>
              <w:top w:val="single" w:sz="6" w:space="0" w:color="auto"/>
              <w:left w:val="single" w:sz="6" w:space="0" w:color="auto"/>
              <w:bottom w:val="single" w:sz="6" w:space="0" w:color="auto"/>
              <w:right w:val="single" w:sz="6" w:space="0" w:color="auto"/>
            </w:tcBorders>
            <w:vAlign w:val="center"/>
          </w:tcPr>
          <w:p w14:paraId="270754F7"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9 625</w:t>
            </w:r>
          </w:p>
        </w:tc>
        <w:tc>
          <w:tcPr>
            <w:tcW w:w="854" w:type="dxa"/>
            <w:tcBorders>
              <w:top w:val="single" w:sz="6" w:space="0" w:color="auto"/>
              <w:left w:val="single" w:sz="6" w:space="0" w:color="auto"/>
              <w:bottom w:val="single" w:sz="6" w:space="0" w:color="auto"/>
              <w:right w:val="single" w:sz="6" w:space="0" w:color="auto"/>
            </w:tcBorders>
            <w:vAlign w:val="center"/>
          </w:tcPr>
          <w:p w14:paraId="5F533F1A"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8 136</w:t>
            </w:r>
          </w:p>
        </w:tc>
        <w:tc>
          <w:tcPr>
            <w:tcW w:w="838" w:type="dxa"/>
            <w:tcBorders>
              <w:top w:val="single" w:sz="6" w:space="0" w:color="auto"/>
              <w:left w:val="single" w:sz="6" w:space="0" w:color="auto"/>
              <w:bottom w:val="single" w:sz="6" w:space="0" w:color="auto"/>
              <w:right w:val="single" w:sz="6" w:space="0" w:color="auto"/>
            </w:tcBorders>
            <w:vAlign w:val="center"/>
          </w:tcPr>
          <w:p w14:paraId="17A8AB34"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6 633</w:t>
            </w:r>
          </w:p>
        </w:tc>
        <w:tc>
          <w:tcPr>
            <w:tcW w:w="868" w:type="dxa"/>
            <w:tcBorders>
              <w:top w:val="single" w:sz="6" w:space="0" w:color="auto"/>
              <w:left w:val="single" w:sz="6" w:space="0" w:color="auto"/>
              <w:bottom w:val="single" w:sz="6" w:space="0" w:color="auto"/>
              <w:right w:val="single" w:sz="6" w:space="0" w:color="auto"/>
            </w:tcBorders>
            <w:vAlign w:val="center"/>
          </w:tcPr>
          <w:p w14:paraId="3CBCACCD"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12 654</w:t>
            </w:r>
          </w:p>
        </w:tc>
        <w:tc>
          <w:tcPr>
            <w:tcW w:w="851" w:type="dxa"/>
            <w:tcBorders>
              <w:top w:val="single" w:sz="6" w:space="0" w:color="auto"/>
              <w:left w:val="single" w:sz="6" w:space="0" w:color="auto"/>
              <w:bottom w:val="single" w:sz="6" w:space="0" w:color="auto"/>
              <w:right w:val="single" w:sz="6" w:space="0" w:color="auto"/>
            </w:tcBorders>
            <w:vAlign w:val="center"/>
          </w:tcPr>
          <w:p w14:paraId="2D3E162E"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9 396</w:t>
            </w:r>
          </w:p>
        </w:tc>
      </w:tr>
      <w:tr w:rsidR="0032114B" w:rsidRPr="003954D9" w14:paraId="7F963C96"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24B04835" w14:textId="77777777" w:rsidR="0032114B" w:rsidRPr="003954D9" w:rsidRDefault="0032114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950" w:type="dxa"/>
            <w:tcBorders>
              <w:top w:val="single" w:sz="6" w:space="0" w:color="auto"/>
              <w:left w:val="single" w:sz="6" w:space="0" w:color="auto"/>
              <w:bottom w:val="single" w:sz="6" w:space="0" w:color="auto"/>
              <w:right w:val="single" w:sz="6" w:space="0" w:color="auto"/>
            </w:tcBorders>
            <w:vAlign w:val="center"/>
          </w:tcPr>
          <w:p w14:paraId="19CEE875"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14 361</w:t>
            </w:r>
          </w:p>
        </w:tc>
        <w:tc>
          <w:tcPr>
            <w:tcW w:w="821" w:type="dxa"/>
            <w:tcBorders>
              <w:top w:val="single" w:sz="6" w:space="0" w:color="auto"/>
              <w:left w:val="single" w:sz="6" w:space="0" w:color="auto"/>
              <w:bottom w:val="single" w:sz="6" w:space="0" w:color="auto"/>
              <w:right w:val="single" w:sz="6" w:space="0" w:color="auto"/>
            </w:tcBorders>
            <w:vAlign w:val="center"/>
          </w:tcPr>
          <w:p w14:paraId="31B883C2"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12 766</w:t>
            </w:r>
          </w:p>
        </w:tc>
        <w:tc>
          <w:tcPr>
            <w:tcW w:w="742" w:type="dxa"/>
            <w:tcBorders>
              <w:top w:val="single" w:sz="6" w:space="0" w:color="auto"/>
              <w:left w:val="single" w:sz="6" w:space="0" w:color="auto"/>
              <w:bottom w:val="single" w:sz="6" w:space="0" w:color="auto"/>
              <w:right w:val="single" w:sz="6" w:space="0" w:color="auto"/>
            </w:tcBorders>
            <w:vAlign w:val="center"/>
          </w:tcPr>
          <w:p w14:paraId="0EA3663F"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6 207</w:t>
            </w:r>
          </w:p>
        </w:tc>
        <w:tc>
          <w:tcPr>
            <w:tcW w:w="880" w:type="dxa"/>
            <w:tcBorders>
              <w:top w:val="single" w:sz="6" w:space="0" w:color="auto"/>
              <w:left w:val="single" w:sz="6" w:space="0" w:color="auto"/>
              <w:bottom w:val="single" w:sz="6" w:space="0" w:color="auto"/>
              <w:right w:val="single" w:sz="6" w:space="0" w:color="auto"/>
            </w:tcBorders>
            <w:vAlign w:val="center"/>
          </w:tcPr>
          <w:p w14:paraId="2D963E47"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12 723</w:t>
            </w:r>
          </w:p>
        </w:tc>
        <w:tc>
          <w:tcPr>
            <w:tcW w:w="837" w:type="dxa"/>
            <w:tcBorders>
              <w:top w:val="single" w:sz="6" w:space="0" w:color="auto"/>
              <w:left w:val="single" w:sz="6" w:space="0" w:color="auto"/>
              <w:bottom w:val="single" w:sz="6" w:space="0" w:color="auto"/>
              <w:right w:val="single" w:sz="6" w:space="0" w:color="auto"/>
            </w:tcBorders>
            <w:vAlign w:val="center"/>
          </w:tcPr>
          <w:p w14:paraId="77DFF6E4"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10 753</w:t>
            </w:r>
          </w:p>
        </w:tc>
        <w:tc>
          <w:tcPr>
            <w:tcW w:w="855" w:type="dxa"/>
            <w:tcBorders>
              <w:top w:val="single" w:sz="6" w:space="0" w:color="auto"/>
              <w:left w:val="single" w:sz="6" w:space="0" w:color="auto"/>
              <w:bottom w:val="single" w:sz="6" w:space="0" w:color="auto"/>
              <w:right w:val="single" w:sz="6" w:space="0" w:color="auto"/>
            </w:tcBorders>
            <w:vAlign w:val="center"/>
          </w:tcPr>
          <w:p w14:paraId="660F8582"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8 500</w:t>
            </w:r>
          </w:p>
        </w:tc>
        <w:tc>
          <w:tcPr>
            <w:tcW w:w="854" w:type="dxa"/>
            <w:tcBorders>
              <w:top w:val="single" w:sz="6" w:space="0" w:color="auto"/>
              <w:left w:val="single" w:sz="6" w:space="0" w:color="auto"/>
              <w:bottom w:val="single" w:sz="6" w:space="0" w:color="auto"/>
              <w:right w:val="single" w:sz="6" w:space="0" w:color="auto"/>
            </w:tcBorders>
            <w:vAlign w:val="center"/>
          </w:tcPr>
          <w:p w14:paraId="7C81AFA7" w14:textId="77777777" w:rsidR="0032114B" w:rsidRPr="003954D9" w:rsidRDefault="0032114B">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7 017</w:t>
            </w:r>
          </w:p>
        </w:tc>
        <w:tc>
          <w:tcPr>
            <w:tcW w:w="838" w:type="dxa"/>
            <w:tcBorders>
              <w:top w:val="single" w:sz="6" w:space="0" w:color="auto"/>
              <w:left w:val="single" w:sz="6" w:space="0" w:color="auto"/>
              <w:bottom w:val="single" w:sz="6" w:space="0" w:color="auto"/>
              <w:right w:val="single" w:sz="6" w:space="0" w:color="auto"/>
            </w:tcBorders>
            <w:vAlign w:val="center"/>
          </w:tcPr>
          <w:p w14:paraId="163C9B4C" w14:textId="77777777" w:rsidR="0032114B" w:rsidRPr="003954D9" w:rsidRDefault="0032114B">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5 350</w:t>
            </w:r>
          </w:p>
        </w:tc>
        <w:tc>
          <w:tcPr>
            <w:tcW w:w="868" w:type="dxa"/>
            <w:tcBorders>
              <w:top w:val="single" w:sz="6" w:space="0" w:color="auto"/>
              <w:left w:val="single" w:sz="6" w:space="0" w:color="auto"/>
              <w:bottom w:val="single" w:sz="6" w:space="0" w:color="auto"/>
              <w:right w:val="single" w:sz="6" w:space="0" w:color="auto"/>
            </w:tcBorders>
            <w:vAlign w:val="center"/>
          </w:tcPr>
          <w:p w14:paraId="2E1E6F61"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11 517</w:t>
            </w:r>
          </w:p>
        </w:tc>
        <w:tc>
          <w:tcPr>
            <w:tcW w:w="851" w:type="dxa"/>
            <w:tcBorders>
              <w:top w:val="single" w:sz="6" w:space="0" w:color="auto"/>
              <w:left w:val="single" w:sz="6" w:space="0" w:color="auto"/>
              <w:bottom w:val="single" w:sz="6" w:space="0" w:color="auto"/>
              <w:right w:val="single" w:sz="6" w:space="0" w:color="auto"/>
            </w:tcBorders>
            <w:vAlign w:val="center"/>
          </w:tcPr>
          <w:p w14:paraId="60A39BA0"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8 049</w:t>
            </w:r>
          </w:p>
        </w:tc>
      </w:tr>
      <w:tr w:rsidR="0032114B" w:rsidRPr="003954D9" w14:paraId="19C089FB"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419F432C" w14:textId="77777777" w:rsidR="0032114B" w:rsidRPr="003954D9" w:rsidRDefault="0032114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950" w:type="dxa"/>
            <w:tcBorders>
              <w:top w:val="single" w:sz="6" w:space="0" w:color="auto"/>
              <w:left w:val="single" w:sz="6" w:space="0" w:color="auto"/>
              <w:bottom w:val="single" w:sz="6" w:space="0" w:color="auto"/>
              <w:right w:val="single" w:sz="6" w:space="0" w:color="auto"/>
            </w:tcBorders>
            <w:vAlign w:val="center"/>
          </w:tcPr>
          <w:p w14:paraId="15E0D26B"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17 124</w:t>
            </w:r>
          </w:p>
        </w:tc>
        <w:tc>
          <w:tcPr>
            <w:tcW w:w="821" w:type="dxa"/>
            <w:tcBorders>
              <w:top w:val="single" w:sz="6" w:space="0" w:color="auto"/>
              <w:left w:val="single" w:sz="6" w:space="0" w:color="auto"/>
              <w:bottom w:val="single" w:sz="6" w:space="0" w:color="auto"/>
              <w:right w:val="single" w:sz="6" w:space="0" w:color="auto"/>
            </w:tcBorders>
            <w:vAlign w:val="center"/>
          </w:tcPr>
          <w:p w14:paraId="6CF507C5" w14:textId="77777777" w:rsidR="0032114B" w:rsidRPr="003954D9" w:rsidRDefault="0032114B">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16 342</w:t>
            </w:r>
          </w:p>
        </w:tc>
        <w:tc>
          <w:tcPr>
            <w:tcW w:w="742" w:type="dxa"/>
            <w:tcBorders>
              <w:top w:val="single" w:sz="6" w:space="0" w:color="auto"/>
              <w:left w:val="single" w:sz="6" w:space="0" w:color="auto"/>
              <w:bottom w:val="single" w:sz="6" w:space="0" w:color="auto"/>
              <w:right w:val="single" w:sz="6" w:space="0" w:color="auto"/>
            </w:tcBorders>
            <w:vAlign w:val="center"/>
          </w:tcPr>
          <w:p w14:paraId="0F37F38D"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8 843</w:t>
            </w:r>
          </w:p>
        </w:tc>
        <w:tc>
          <w:tcPr>
            <w:tcW w:w="880" w:type="dxa"/>
            <w:tcBorders>
              <w:top w:val="single" w:sz="6" w:space="0" w:color="auto"/>
              <w:left w:val="single" w:sz="6" w:space="0" w:color="auto"/>
              <w:bottom w:val="single" w:sz="6" w:space="0" w:color="auto"/>
              <w:right w:val="single" w:sz="6" w:space="0" w:color="auto"/>
            </w:tcBorders>
            <w:vAlign w:val="center"/>
          </w:tcPr>
          <w:p w14:paraId="708719BF"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17 238</w:t>
            </w:r>
          </w:p>
        </w:tc>
        <w:tc>
          <w:tcPr>
            <w:tcW w:w="837" w:type="dxa"/>
            <w:tcBorders>
              <w:top w:val="single" w:sz="6" w:space="0" w:color="auto"/>
              <w:left w:val="single" w:sz="6" w:space="0" w:color="auto"/>
              <w:bottom w:val="single" w:sz="6" w:space="0" w:color="auto"/>
              <w:right w:val="single" w:sz="6" w:space="0" w:color="auto"/>
            </w:tcBorders>
            <w:vAlign w:val="center"/>
          </w:tcPr>
          <w:p w14:paraId="09F3B711" w14:textId="77777777" w:rsidR="0032114B" w:rsidRPr="003954D9" w:rsidRDefault="0032114B">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16 125</w:t>
            </w:r>
          </w:p>
        </w:tc>
        <w:tc>
          <w:tcPr>
            <w:tcW w:w="855" w:type="dxa"/>
            <w:tcBorders>
              <w:top w:val="single" w:sz="6" w:space="0" w:color="auto"/>
              <w:left w:val="single" w:sz="6" w:space="0" w:color="auto"/>
              <w:bottom w:val="single" w:sz="6" w:space="0" w:color="auto"/>
              <w:right w:val="single" w:sz="6" w:space="0" w:color="auto"/>
            </w:tcBorders>
            <w:vAlign w:val="center"/>
          </w:tcPr>
          <w:p w14:paraId="65C2B242"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12 482</w:t>
            </w:r>
          </w:p>
        </w:tc>
        <w:tc>
          <w:tcPr>
            <w:tcW w:w="854" w:type="dxa"/>
            <w:tcBorders>
              <w:top w:val="single" w:sz="6" w:space="0" w:color="auto"/>
              <w:left w:val="single" w:sz="6" w:space="0" w:color="auto"/>
              <w:bottom w:val="single" w:sz="6" w:space="0" w:color="auto"/>
              <w:right w:val="single" w:sz="6" w:space="0" w:color="auto"/>
            </w:tcBorders>
            <w:vAlign w:val="center"/>
          </w:tcPr>
          <w:p w14:paraId="793D78D2"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10 591</w:t>
            </w:r>
          </w:p>
        </w:tc>
        <w:tc>
          <w:tcPr>
            <w:tcW w:w="838" w:type="dxa"/>
            <w:tcBorders>
              <w:top w:val="single" w:sz="6" w:space="0" w:color="auto"/>
              <w:left w:val="single" w:sz="6" w:space="0" w:color="auto"/>
              <w:bottom w:val="single" w:sz="6" w:space="0" w:color="auto"/>
              <w:right w:val="single" w:sz="6" w:space="0" w:color="auto"/>
            </w:tcBorders>
            <w:vAlign w:val="center"/>
          </w:tcPr>
          <w:p w14:paraId="4651113E"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8 059</w:t>
            </w:r>
          </w:p>
        </w:tc>
        <w:tc>
          <w:tcPr>
            <w:tcW w:w="868" w:type="dxa"/>
            <w:tcBorders>
              <w:top w:val="single" w:sz="6" w:space="0" w:color="auto"/>
              <w:left w:val="single" w:sz="6" w:space="0" w:color="auto"/>
              <w:bottom w:val="single" w:sz="6" w:space="0" w:color="auto"/>
              <w:right w:val="single" w:sz="6" w:space="0" w:color="auto"/>
            </w:tcBorders>
            <w:vAlign w:val="center"/>
          </w:tcPr>
          <w:p w14:paraId="2F0F423A"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13 719</w:t>
            </w:r>
          </w:p>
        </w:tc>
        <w:tc>
          <w:tcPr>
            <w:tcW w:w="851" w:type="dxa"/>
            <w:tcBorders>
              <w:top w:val="single" w:sz="6" w:space="0" w:color="auto"/>
              <w:left w:val="single" w:sz="6" w:space="0" w:color="auto"/>
              <w:bottom w:val="single" w:sz="6" w:space="0" w:color="auto"/>
              <w:right w:val="single" w:sz="6" w:space="0" w:color="auto"/>
            </w:tcBorders>
            <w:vAlign w:val="center"/>
          </w:tcPr>
          <w:p w14:paraId="776C8894"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12 986</w:t>
            </w:r>
          </w:p>
        </w:tc>
      </w:tr>
      <w:tr w:rsidR="0032114B" w:rsidRPr="003954D9" w14:paraId="43F1B9D3"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0A7A3189" w14:textId="77777777" w:rsidR="0032114B" w:rsidRPr="003954D9" w:rsidRDefault="0032114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50" w:type="dxa"/>
            <w:tcBorders>
              <w:top w:val="single" w:sz="6" w:space="0" w:color="auto"/>
              <w:left w:val="single" w:sz="6" w:space="0" w:color="auto"/>
              <w:bottom w:val="single" w:sz="6" w:space="0" w:color="auto"/>
              <w:right w:val="single" w:sz="6" w:space="0" w:color="auto"/>
            </w:tcBorders>
            <w:vAlign w:val="center"/>
          </w:tcPr>
          <w:p w14:paraId="0CCB15F6" w14:textId="77777777" w:rsidR="0032114B" w:rsidRPr="003954D9" w:rsidRDefault="0032114B">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18 534</w:t>
            </w:r>
          </w:p>
        </w:tc>
        <w:tc>
          <w:tcPr>
            <w:tcW w:w="821" w:type="dxa"/>
            <w:tcBorders>
              <w:top w:val="single" w:sz="6" w:space="0" w:color="auto"/>
              <w:left w:val="single" w:sz="6" w:space="0" w:color="auto"/>
              <w:bottom w:val="single" w:sz="6" w:space="0" w:color="auto"/>
              <w:right w:val="single" w:sz="6" w:space="0" w:color="auto"/>
            </w:tcBorders>
            <w:vAlign w:val="center"/>
          </w:tcPr>
          <w:p w14:paraId="661632E4"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14 638</w:t>
            </w:r>
          </w:p>
        </w:tc>
        <w:tc>
          <w:tcPr>
            <w:tcW w:w="742" w:type="dxa"/>
            <w:tcBorders>
              <w:top w:val="single" w:sz="6" w:space="0" w:color="auto"/>
              <w:left w:val="single" w:sz="6" w:space="0" w:color="auto"/>
              <w:bottom w:val="single" w:sz="6" w:space="0" w:color="auto"/>
              <w:right w:val="single" w:sz="6" w:space="0" w:color="auto"/>
            </w:tcBorders>
            <w:vAlign w:val="center"/>
          </w:tcPr>
          <w:p w14:paraId="7CAB3B54"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8 695</w:t>
            </w:r>
          </w:p>
        </w:tc>
        <w:tc>
          <w:tcPr>
            <w:tcW w:w="880" w:type="dxa"/>
            <w:tcBorders>
              <w:top w:val="single" w:sz="6" w:space="0" w:color="auto"/>
              <w:left w:val="single" w:sz="6" w:space="0" w:color="auto"/>
              <w:bottom w:val="single" w:sz="6" w:space="0" w:color="auto"/>
              <w:right w:val="single" w:sz="6" w:space="0" w:color="auto"/>
            </w:tcBorders>
            <w:vAlign w:val="center"/>
          </w:tcPr>
          <w:p w14:paraId="500FF1F0"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17 726</w:t>
            </w:r>
          </w:p>
        </w:tc>
        <w:tc>
          <w:tcPr>
            <w:tcW w:w="837" w:type="dxa"/>
            <w:tcBorders>
              <w:top w:val="single" w:sz="6" w:space="0" w:color="auto"/>
              <w:left w:val="single" w:sz="6" w:space="0" w:color="auto"/>
              <w:bottom w:val="single" w:sz="6" w:space="0" w:color="auto"/>
              <w:right w:val="single" w:sz="6" w:space="0" w:color="auto"/>
            </w:tcBorders>
            <w:vAlign w:val="center"/>
          </w:tcPr>
          <w:p w14:paraId="0EC157BC"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14 550</w:t>
            </w:r>
          </w:p>
        </w:tc>
        <w:tc>
          <w:tcPr>
            <w:tcW w:w="855" w:type="dxa"/>
            <w:tcBorders>
              <w:top w:val="single" w:sz="6" w:space="0" w:color="auto"/>
              <w:left w:val="single" w:sz="6" w:space="0" w:color="auto"/>
              <w:bottom w:val="single" w:sz="6" w:space="0" w:color="auto"/>
              <w:right w:val="single" w:sz="6" w:space="0" w:color="auto"/>
            </w:tcBorders>
            <w:vAlign w:val="center"/>
          </w:tcPr>
          <w:p w14:paraId="2A4F8F14"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11 701</w:t>
            </w:r>
          </w:p>
        </w:tc>
        <w:tc>
          <w:tcPr>
            <w:tcW w:w="854" w:type="dxa"/>
            <w:tcBorders>
              <w:top w:val="single" w:sz="6" w:space="0" w:color="auto"/>
              <w:left w:val="single" w:sz="6" w:space="0" w:color="auto"/>
              <w:bottom w:val="single" w:sz="6" w:space="0" w:color="auto"/>
              <w:right w:val="single" w:sz="6" w:space="0" w:color="auto"/>
            </w:tcBorders>
            <w:vAlign w:val="center"/>
          </w:tcPr>
          <w:p w14:paraId="4930CC8E"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11 253</w:t>
            </w:r>
          </w:p>
        </w:tc>
        <w:tc>
          <w:tcPr>
            <w:tcW w:w="838" w:type="dxa"/>
            <w:tcBorders>
              <w:top w:val="single" w:sz="6" w:space="0" w:color="auto"/>
              <w:left w:val="single" w:sz="6" w:space="0" w:color="auto"/>
              <w:bottom w:val="single" w:sz="6" w:space="0" w:color="auto"/>
              <w:right w:val="single" w:sz="6" w:space="0" w:color="auto"/>
            </w:tcBorders>
            <w:vAlign w:val="center"/>
          </w:tcPr>
          <w:p w14:paraId="702438B4"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7 286</w:t>
            </w:r>
          </w:p>
        </w:tc>
        <w:tc>
          <w:tcPr>
            <w:tcW w:w="868" w:type="dxa"/>
            <w:tcBorders>
              <w:top w:val="single" w:sz="6" w:space="0" w:color="auto"/>
              <w:left w:val="single" w:sz="6" w:space="0" w:color="auto"/>
              <w:bottom w:val="single" w:sz="6" w:space="0" w:color="auto"/>
              <w:right w:val="single" w:sz="6" w:space="0" w:color="auto"/>
            </w:tcBorders>
            <w:vAlign w:val="center"/>
          </w:tcPr>
          <w:p w14:paraId="38A0386B"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14 364</w:t>
            </w:r>
          </w:p>
        </w:tc>
        <w:tc>
          <w:tcPr>
            <w:tcW w:w="851" w:type="dxa"/>
            <w:tcBorders>
              <w:top w:val="single" w:sz="6" w:space="0" w:color="auto"/>
              <w:left w:val="single" w:sz="6" w:space="0" w:color="auto"/>
              <w:bottom w:val="single" w:sz="6" w:space="0" w:color="auto"/>
              <w:right w:val="single" w:sz="6" w:space="0" w:color="auto"/>
            </w:tcBorders>
            <w:vAlign w:val="center"/>
          </w:tcPr>
          <w:p w14:paraId="75A1316B"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11 896</w:t>
            </w:r>
          </w:p>
        </w:tc>
      </w:tr>
      <w:tr w:rsidR="0032114B" w:rsidRPr="003954D9" w14:paraId="69326673"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2B72B97B" w14:textId="77777777" w:rsidR="0032114B" w:rsidRPr="003954D9" w:rsidRDefault="0032114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950" w:type="dxa"/>
            <w:tcBorders>
              <w:top w:val="single" w:sz="6" w:space="0" w:color="auto"/>
              <w:left w:val="single" w:sz="6" w:space="0" w:color="auto"/>
              <w:bottom w:val="single" w:sz="6" w:space="0" w:color="auto"/>
              <w:right w:val="single" w:sz="6" w:space="0" w:color="auto"/>
            </w:tcBorders>
            <w:vAlign w:val="center"/>
          </w:tcPr>
          <w:p w14:paraId="6B4277C0"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13 917</w:t>
            </w:r>
          </w:p>
        </w:tc>
        <w:tc>
          <w:tcPr>
            <w:tcW w:w="821" w:type="dxa"/>
            <w:tcBorders>
              <w:top w:val="single" w:sz="6" w:space="0" w:color="auto"/>
              <w:left w:val="single" w:sz="6" w:space="0" w:color="auto"/>
              <w:bottom w:val="single" w:sz="6" w:space="0" w:color="auto"/>
              <w:right w:val="single" w:sz="6" w:space="0" w:color="auto"/>
            </w:tcBorders>
            <w:vAlign w:val="center"/>
          </w:tcPr>
          <w:p w14:paraId="6FF8F94F"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12 303</w:t>
            </w:r>
          </w:p>
        </w:tc>
        <w:tc>
          <w:tcPr>
            <w:tcW w:w="742" w:type="dxa"/>
            <w:tcBorders>
              <w:top w:val="single" w:sz="6" w:space="0" w:color="auto"/>
              <w:left w:val="single" w:sz="6" w:space="0" w:color="auto"/>
              <w:bottom w:val="single" w:sz="6" w:space="0" w:color="auto"/>
              <w:right w:val="single" w:sz="6" w:space="0" w:color="auto"/>
            </w:tcBorders>
            <w:vAlign w:val="center"/>
          </w:tcPr>
          <w:p w14:paraId="3D812F94"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6 348</w:t>
            </w:r>
          </w:p>
        </w:tc>
        <w:tc>
          <w:tcPr>
            <w:tcW w:w="880" w:type="dxa"/>
            <w:tcBorders>
              <w:top w:val="single" w:sz="6" w:space="0" w:color="auto"/>
              <w:left w:val="single" w:sz="6" w:space="0" w:color="auto"/>
              <w:bottom w:val="single" w:sz="6" w:space="0" w:color="auto"/>
              <w:right w:val="single" w:sz="6" w:space="0" w:color="auto"/>
            </w:tcBorders>
            <w:vAlign w:val="center"/>
          </w:tcPr>
          <w:p w14:paraId="200B1F8D"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12 407</w:t>
            </w:r>
          </w:p>
        </w:tc>
        <w:tc>
          <w:tcPr>
            <w:tcW w:w="837" w:type="dxa"/>
            <w:tcBorders>
              <w:top w:val="single" w:sz="6" w:space="0" w:color="auto"/>
              <w:left w:val="single" w:sz="6" w:space="0" w:color="auto"/>
              <w:bottom w:val="single" w:sz="6" w:space="0" w:color="auto"/>
              <w:right w:val="single" w:sz="6" w:space="0" w:color="auto"/>
            </w:tcBorders>
            <w:vAlign w:val="center"/>
          </w:tcPr>
          <w:p w14:paraId="65C63571"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10 548</w:t>
            </w:r>
          </w:p>
        </w:tc>
        <w:tc>
          <w:tcPr>
            <w:tcW w:w="855" w:type="dxa"/>
            <w:tcBorders>
              <w:top w:val="single" w:sz="6" w:space="0" w:color="auto"/>
              <w:left w:val="single" w:sz="6" w:space="0" w:color="auto"/>
              <w:bottom w:val="single" w:sz="6" w:space="0" w:color="auto"/>
              <w:right w:val="single" w:sz="6" w:space="0" w:color="auto"/>
            </w:tcBorders>
            <w:vAlign w:val="center"/>
          </w:tcPr>
          <w:p w14:paraId="7FFD2C5A" w14:textId="77777777" w:rsidR="0032114B" w:rsidRPr="003954D9" w:rsidRDefault="0032114B">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8 227</w:t>
            </w:r>
          </w:p>
        </w:tc>
        <w:tc>
          <w:tcPr>
            <w:tcW w:w="854" w:type="dxa"/>
            <w:tcBorders>
              <w:top w:val="single" w:sz="6" w:space="0" w:color="auto"/>
              <w:left w:val="single" w:sz="6" w:space="0" w:color="auto"/>
              <w:bottom w:val="single" w:sz="6" w:space="0" w:color="auto"/>
              <w:right w:val="single" w:sz="6" w:space="0" w:color="auto"/>
            </w:tcBorders>
            <w:vAlign w:val="center"/>
          </w:tcPr>
          <w:p w14:paraId="2E9B8603"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7 040</w:t>
            </w:r>
          </w:p>
        </w:tc>
        <w:tc>
          <w:tcPr>
            <w:tcW w:w="838" w:type="dxa"/>
            <w:tcBorders>
              <w:top w:val="single" w:sz="6" w:space="0" w:color="auto"/>
              <w:left w:val="single" w:sz="6" w:space="0" w:color="auto"/>
              <w:bottom w:val="single" w:sz="6" w:space="0" w:color="auto"/>
              <w:right w:val="single" w:sz="6" w:space="0" w:color="auto"/>
            </w:tcBorders>
            <w:vAlign w:val="center"/>
          </w:tcPr>
          <w:p w14:paraId="1F70EABF"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5 436</w:t>
            </w:r>
          </w:p>
        </w:tc>
        <w:tc>
          <w:tcPr>
            <w:tcW w:w="868" w:type="dxa"/>
            <w:tcBorders>
              <w:top w:val="single" w:sz="6" w:space="0" w:color="auto"/>
              <w:left w:val="single" w:sz="6" w:space="0" w:color="auto"/>
              <w:bottom w:val="single" w:sz="6" w:space="0" w:color="auto"/>
              <w:right w:val="single" w:sz="6" w:space="0" w:color="auto"/>
            </w:tcBorders>
            <w:vAlign w:val="center"/>
          </w:tcPr>
          <w:p w14:paraId="49EA6A11" w14:textId="77777777" w:rsidR="0032114B" w:rsidRPr="003954D9" w:rsidRDefault="0032114B">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10 489</w:t>
            </w:r>
          </w:p>
        </w:tc>
        <w:tc>
          <w:tcPr>
            <w:tcW w:w="851" w:type="dxa"/>
            <w:tcBorders>
              <w:top w:val="single" w:sz="6" w:space="0" w:color="auto"/>
              <w:left w:val="single" w:sz="6" w:space="0" w:color="auto"/>
              <w:bottom w:val="single" w:sz="6" w:space="0" w:color="auto"/>
              <w:right w:val="single" w:sz="6" w:space="0" w:color="auto"/>
            </w:tcBorders>
            <w:vAlign w:val="center"/>
          </w:tcPr>
          <w:p w14:paraId="40F3EF5C" w14:textId="77777777" w:rsidR="0032114B" w:rsidRPr="003954D9" w:rsidRDefault="003211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7 943</w:t>
            </w:r>
          </w:p>
        </w:tc>
      </w:tr>
      <w:tr w:rsidR="0032114B" w:rsidRPr="003954D9" w14:paraId="3CFDCA10"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4D91354D" w14:textId="77777777" w:rsidR="0032114B" w:rsidRPr="003954D9" w:rsidRDefault="0032114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Alla</w:t>
            </w:r>
          </w:p>
        </w:tc>
        <w:tc>
          <w:tcPr>
            <w:tcW w:w="950" w:type="dxa"/>
            <w:tcBorders>
              <w:top w:val="single" w:sz="6" w:space="0" w:color="auto"/>
              <w:left w:val="single" w:sz="6" w:space="0" w:color="auto"/>
              <w:bottom w:val="single" w:sz="6" w:space="0" w:color="auto"/>
              <w:right w:val="single" w:sz="6" w:space="0" w:color="auto"/>
            </w:tcBorders>
            <w:vAlign w:val="center"/>
          </w:tcPr>
          <w:p w14:paraId="56B6978C" w14:textId="77777777" w:rsidR="0032114B" w:rsidRPr="003954D9" w:rsidRDefault="0032114B">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15 826</w:t>
            </w:r>
          </w:p>
        </w:tc>
        <w:tc>
          <w:tcPr>
            <w:tcW w:w="821" w:type="dxa"/>
            <w:tcBorders>
              <w:top w:val="single" w:sz="6" w:space="0" w:color="auto"/>
              <w:left w:val="single" w:sz="6" w:space="0" w:color="auto"/>
              <w:bottom w:val="single" w:sz="6" w:space="0" w:color="auto"/>
              <w:right w:val="single" w:sz="6" w:space="0" w:color="auto"/>
            </w:tcBorders>
            <w:vAlign w:val="center"/>
          </w:tcPr>
          <w:p w14:paraId="35E0C820" w14:textId="77777777" w:rsidR="0032114B" w:rsidRPr="003954D9" w:rsidRDefault="0032114B">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14 010</w:t>
            </w:r>
          </w:p>
        </w:tc>
        <w:tc>
          <w:tcPr>
            <w:tcW w:w="742" w:type="dxa"/>
            <w:tcBorders>
              <w:top w:val="single" w:sz="6" w:space="0" w:color="auto"/>
              <w:left w:val="single" w:sz="6" w:space="0" w:color="auto"/>
              <w:bottom w:val="single" w:sz="6" w:space="0" w:color="auto"/>
              <w:right w:val="single" w:sz="6" w:space="0" w:color="auto"/>
            </w:tcBorders>
            <w:vAlign w:val="center"/>
          </w:tcPr>
          <w:p w14:paraId="0B6A4D8B" w14:textId="77777777" w:rsidR="0032114B" w:rsidRPr="003954D9" w:rsidRDefault="0032114B">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7 163</w:t>
            </w:r>
          </w:p>
        </w:tc>
        <w:tc>
          <w:tcPr>
            <w:tcW w:w="880" w:type="dxa"/>
            <w:tcBorders>
              <w:top w:val="single" w:sz="6" w:space="0" w:color="auto"/>
              <w:left w:val="single" w:sz="6" w:space="0" w:color="auto"/>
              <w:bottom w:val="single" w:sz="6" w:space="0" w:color="auto"/>
              <w:right w:val="single" w:sz="6" w:space="0" w:color="auto"/>
            </w:tcBorders>
            <w:vAlign w:val="center"/>
          </w:tcPr>
          <w:p w14:paraId="082D7FC7" w14:textId="77777777" w:rsidR="0032114B" w:rsidRPr="003954D9" w:rsidRDefault="0032114B">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15 002</w:t>
            </w:r>
          </w:p>
        </w:tc>
        <w:tc>
          <w:tcPr>
            <w:tcW w:w="837" w:type="dxa"/>
            <w:tcBorders>
              <w:top w:val="single" w:sz="6" w:space="0" w:color="auto"/>
              <w:left w:val="single" w:sz="6" w:space="0" w:color="auto"/>
              <w:bottom w:val="single" w:sz="6" w:space="0" w:color="auto"/>
              <w:right w:val="single" w:sz="6" w:space="0" w:color="auto"/>
            </w:tcBorders>
            <w:vAlign w:val="center"/>
          </w:tcPr>
          <w:p w14:paraId="548BA432" w14:textId="77777777" w:rsidR="0032114B" w:rsidRPr="003954D9" w:rsidRDefault="0032114B">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13 189</w:t>
            </w:r>
          </w:p>
        </w:tc>
        <w:tc>
          <w:tcPr>
            <w:tcW w:w="855" w:type="dxa"/>
            <w:tcBorders>
              <w:top w:val="single" w:sz="6" w:space="0" w:color="auto"/>
              <w:left w:val="single" w:sz="6" w:space="0" w:color="auto"/>
              <w:bottom w:val="single" w:sz="6" w:space="0" w:color="auto"/>
              <w:right w:val="single" w:sz="6" w:space="0" w:color="auto"/>
            </w:tcBorders>
            <w:vAlign w:val="center"/>
          </w:tcPr>
          <w:p w14:paraId="0C270721" w14:textId="77777777" w:rsidR="0032114B" w:rsidRPr="003954D9" w:rsidRDefault="0032114B">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10 200</w:t>
            </w:r>
          </w:p>
        </w:tc>
        <w:tc>
          <w:tcPr>
            <w:tcW w:w="854" w:type="dxa"/>
            <w:tcBorders>
              <w:top w:val="single" w:sz="6" w:space="0" w:color="auto"/>
              <w:left w:val="single" w:sz="6" w:space="0" w:color="auto"/>
              <w:bottom w:val="single" w:sz="6" w:space="0" w:color="auto"/>
              <w:right w:val="single" w:sz="6" w:space="0" w:color="auto"/>
            </w:tcBorders>
            <w:vAlign w:val="center"/>
          </w:tcPr>
          <w:p w14:paraId="50494538" w14:textId="77777777" w:rsidR="0032114B" w:rsidRPr="003954D9" w:rsidRDefault="0032114B">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8 221</w:t>
            </w:r>
          </w:p>
        </w:tc>
        <w:tc>
          <w:tcPr>
            <w:tcW w:w="838" w:type="dxa"/>
            <w:tcBorders>
              <w:top w:val="single" w:sz="6" w:space="0" w:color="auto"/>
              <w:left w:val="single" w:sz="6" w:space="0" w:color="auto"/>
              <w:bottom w:val="single" w:sz="6" w:space="0" w:color="auto"/>
              <w:right w:val="single" w:sz="6" w:space="0" w:color="auto"/>
            </w:tcBorders>
            <w:vAlign w:val="center"/>
          </w:tcPr>
          <w:p w14:paraId="25F15315" w14:textId="77777777" w:rsidR="0032114B" w:rsidRPr="003954D9" w:rsidRDefault="0032114B">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5 917</w:t>
            </w:r>
          </w:p>
        </w:tc>
        <w:tc>
          <w:tcPr>
            <w:tcW w:w="868" w:type="dxa"/>
            <w:tcBorders>
              <w:top w:val="single" w:sz="6" w:space="0" w:color="auto"/>
              <w:left w:val="single" w:sz="6" w:space="0" w:color="auto"/>
              <w:bottom w:val="single" w:sz="6" w:space="0" w:color="auto"/>
              <w:right w:val="single" w:sz="6" w:space="0" w:color="auto"/>
            </w:tcBorders>
            <w:vAlign w:val="center"/>
          </w:tcPr>
          <w:p w14:paraId="360D0906" w14:textId="77777777" w:rsidR="0032114B" w:rsidRPr="003954D9" w:rsidRDefault="0032114B">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12 257</w:t>
            </w:r>
          </w:p>
        </w:tc>
        <w:tc>
          <w:tcPr>
            <w:tcW w:w="851" w:type="dxa"/>
            <w:tcBorders>
              <w:top w:val="single" w:sz="6" w:space="0" w:color="auto"/>
              <w:left w:val="single" w:sz="6" w:space="0" w:color="auto"/>
              <w:bottom w:val="single" w:sz="6" w:space="0" w:color="auto"/>
              <w:right w:val="single" w:sz="6" w:space="0" w:color="auto"/>
            </w:tcBorders>
            <w:vAlign w:val="center"/>
          </w:tcPr>
          <w:p w14:paraId="2D1FEE18" w14:textId="77777777" w:rsidR="0032114B" w:rsidRPr="003954D9" w:rsidRDefault="0032114B">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9 053</w:t>
            </w:r>
          </w:p>
        </w:tc>
      </w:tr>
      <w:tr w:rsidR="00057FF9" w:rsidRPr="003954D9" w14:paraId="65DBF5A2" w14:textId="77777777" w:rsidTr="00490264">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698743EA" w14:textId="426B2CB5" w:rsidR="00057FF9" w:rsidRPr="003954D9" w:rsidRDefault="00057FF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Spännvidd</w:t>
            </w:r>
          </w:p>
        </w:tc>
        <w:tc>
          <w:tcPr>
            <w:tcW w:w="950" w:type="dxa"/>
            <w:tcBorders>
              <w:top w:val="single" w:sz="6" w:space="0" w:color="auto"/>
              <w:left w:val="single" w:sz="6" w:space="0" w:color="auto"/>
              <w:bottom w:val="single" w:sz="6" w:space="0" w:color="auto"/>
              <w:right w:val="single" w:sz="6" w:space="0" w:color="auto"/>
            </w:tcBorders>
            <w:vAlign w:val="center"/>
          </w:tcPr>
          <w:p w14:paraId="05454A9E" w14:textId="249EE1F7" w:rsidR="00057FF9" w:rsidRPr="003954D9" w:rsidRDefault="00057FF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4 495</w:t>
            </w:r>
          </w:p>
        </w:tc>
        <w:tc>
          <w:tcPr>
            <w:tcW w:w="821" w:type="dxa"/>
            <w:tcBorders>
              <w:top w:val="single" w:sz="6" w:space="0" w:color="auto"/>
              <w:left w:val="single" w:sz="6" w:space="0" w:color="auto"/>
              <w:bottom w:val="single" w:sz="6" w:space="0" w:color="auto"/>
              <w:right w:val="single" w:sz="6" w:space="0" w:color="auto"/>
            </w:tcBorders>
            <w:vAlign w:val="center"/>
          </w:tcPr>
          <w:p w14:paraId="4E4C445F" w14:textId="0DACFD9F" w:rsidR="00057FF9" w:rsidRPr="003954D9" w:rsidRDefault="004E4A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4 481</w:t>
            </w:r>
          </w:p>
        </w:tc>
        <w:tc>
          <w:tcPr>
            <w:tcW w:w="742" w:type="dxa"/>
            <w:tcBorders>
              <w:top w:val="single" w:sz="6" w:space="0" w:color="auto"/>
              <w:left w:val="single" w:sz="6" w:space="0" w:color="auto"/>
              <w:bottom w:val="single" w:sz="6" w:space="0" w:color="auto"/>
              <w:right w:val="single" w:sz="6" w:space="0" w:color="auto"/>
            </w:tcBorders>
            <w:vAlign w:val="center"/>
          </w:tcPr>
          <w:p w14:paraId="5EE7DA75" w14:textId="510589E6" w:rsidR="00057FF9" w:rsidRPr="003954D9" w:rsidRDefault="004E4A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3 488</w:t>
            </w:r>
          </w:p>
        </w:tc>
        <w:tc>
          <w:tcPr>
            <w:tcW w:w="880" w:type="dxa"/>
            <w:tcBorders>
              <w:top w:val="single" w:sz="6" w:space="0" w:color="auto"/>
              <w:left w:val="single" w:sz="6" w:space="0" w:color="auto"/>
              <w:bottom w:val="single" w:sz="6" w:space="0" w:color="auto"/>
              <w:right w:val="single" w:sz="6" w:space="0" w:color="auto"/>
            </w:tcBorders>
            <w:vAlign w:val="center"/>
          </w:tcPr>
          <w:p w14:paraId="7FB4B48F" w14:textId="408A6CCB" w:rsidR="00057FF9" w:rsidRPr="003954D9" w:rsidRDefault="004E4A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6 649</w:t>
            </w:r>
          </w:p>
        </w:tc>
        <w:tc>
          <w:tcPr>
            <w:tcW w:w="837" w:type="dxa"/>
            <w:tcBorders>
              <w:top w:val="single" w:sz="6" w:space="0" w:color="auto"/>
              <w:left w:val="single" w:sz="6" w:space="0" w:color="auto"/>
              <w:bottom w:val="single" w:sz="6" w:space="0" w:color="auto"/>
              <w:right w:val="single" w:sz="6" w:space="0" w:color="auto"/>
            </w:tcBorders>
            <w:vAlign w:val="center"/>
          </w:tcPr>
          <w:p w14:paraId="527FCE08" w14:textId="197C6BC9" w:rsidR="00057FF9" w:rsidRPr="003954D9" w:rsidRDefault="004E4A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6 527</w:t>
            </w:r>
          </w:p>
        </w:tc>
        <w:tc>
          <w:tcPr>
            <w:tcW w:w="855" w:type="dxa"/>
            <w:tcBorders>
              <w:top w:val="single" w:sz="6" w:space="0" w:color="auto"/>
              <w:left w:val="single" w:sz="6" w:space="0" w:color="auto"/>
              <w:bottom w:val="single" w:sz="6" w:space="0" w:color="auto"/>
              <w:right w:val="single" w:sz="6" w:space="0" w:color="auto"/>
            </w:tcBorders>
            <w:vAlign w:val="center"/>
          </w:tcPr>
          <w:p w14:paraId="0C0FDAF5" w14:textId="553FAECC" w:rsidR="00057FF9" w:rsidRPr="003954D9" w:rsidRDefault="004E4A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5 046</w:t>
            </w:r>
          </w:p>
        </w:tc>
        <w:tc>
          <w:tcPr>
            <w:tcW w:w="854" w:type="dxa"/>
            <w:tcBorders>
              <w:top w:val="single" w:sz="6" w:space="0" w:color="auto"/>
              <w:left w:val="single" w:sz="6" w:space="0" w:color="auto"/>
              <w:bottom w:val="single" w:sz="6" w:space="0" w:color="auto"/>
              <w:right w:val="single" w:sz="6" w:space="0" w:color="auto"/>
            </w:tcBorders>
            <w:vAlign w:val="center"/>
          </w:tcPr>
          <w:p w14:paraId="574F9882" w14:textId="0721AB78" w:rsidR="00057FF9" w:rsidRPr="003954D9" w:rsidRDefault="004E4A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4 400</w:t>
            </w:r>
          </w:p>
        </w:tc>
        <w:tc>
          <w:tcPr>
            <w:tcW w:w="838" w:type="dxa"/>
            <w:tcBorders>
              <w:top w:val="single" w:sz="6" w:space="0" w:color="auto"/>
              <w:left w:val="single" w:sz="6" w:space="0" w:color="auto"/>
              <w:bottom w:val="single" w:sz="6" w:space="0" w:color="auto"/>
              <w:right w:val="single" w:sz="6" w:space="0" w:color="auto"/>
            </w:tcBorders>
            <w:vAlign w:val="center"/>
          </w:tcPr>
          <w:p w14:paraId="239A9336" w14:textId="31BBC887" w:rsidR="00057FF9" w:rsidRPr="003954D9" w:rsidRDefault="004E4A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3 474</w:t>
            </w:r>
          </w:p>
        </w:tc>
        <w:tc>
          <w:tcPr>
            <w:tcW w:w="868" w:type="dxa"/>
            <w:tcBorders>
              <w:top w:val="single" w:sz="6" w:space="0" w:color="auto"/>
              <w:left w:val="single" w:sz="6" w:space="0" w:color="auto"/>
              <w:bottom w:val="single" w:sz="6" w:space="0" w:color="auto"/>
              <w:right w:val="single" w:sz="6" w:space="0" w:color="auto"/>
            </w:tcBorders>
            <w:vAlign w:val="center"/>
          </w:tcPr>
          <w:p w14:paraId="7C0E4C3D" w14:textId="0C08A3C9" w:rsidR="00057FF9" w:rsidRPr="003954D9" w:rsidRDefault="004E4A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4 960</w:t>
            </w:r>
          </w:p>
        </w:tc>
        <w:tc>
          <w:tcPr>
            <w:tcW w:w="851" w:type="dxa"/>
            <w:tcBorders>
              <w:top w:val="single" w:sz="6" w:space="0" w:color="auto"/>
              <w:left w:val="single" w:sz="6" w:space="0" w:color="auto"/>
              <w:bottom w:val="single" w:sz="6" w:space="0" w:color="auto"/>
              <w:right w:val="single" w:sz="6" w:space="0" w:color="auto"/>
            </w:tcBorders>
            <w:vAlign w:val="center"/>
          </w:tcPr>
          <w:p w14:paraId="4B8FC741" w14:textId="42800719" w:rsidR="00057FF9" w:rsidRPr="003954D9" w:rsidRDefault="004E4A4B">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5 346</w:t>
            </w:r>
          </w:p>
        </w:tc>
      </w:tr>
    </w:tbl>
    <w:p w14:paraId="3D0B8B6F" w14:textId="77777777" w:rsidR="00B8252D" w:rsidRPr="003954D9" w:rsidRDefault="00B8252D" w:rsidP="00B8252D">
      <w:pPr>
        <w:rPr>
          <w:b/>
          <w:color w:val="002060"/>
          <w:sz w:val="16"/>
          <w:szCs w:val="16"/>
        </w:rPr>
      </w:pPr>
      <w:r w:rsidRPr="003954D9">
        <w:rPr>
          <w:b/>
          <w:color w:val="FF0000"/>
          <w:sz w:val="16"/>
          <w:szCs w:val="16"/>
        </w:rPr>
        <w:t>Rött = högsta värde</w:t>
      </w:r>
      <w:r w:rsidRPr="003954D9">
        <w:rPr>
          <w:b/>
          <w:color w:val="002060"/>
          <w:sz w:val="16"/>
          <w:szCs w:val="16"/>
        </w:rPr>
        <w:t xml:space="preserve"> </w:t>
      </w:r>
      <w:r w:rsidRPr="0073239D">
        <w:rPr>
          <w:b/>
          <w:color w:val="0070C0"/>
          <w:sz w:val="16"/>
          <w:szCs w:val="16"/>
        </w:rPr>
        <w:t>Blått= lägsta värde</w:t>
      </w:r>
    </w:p>
    <w:p w14:paraId="639C0ABD" w14:textId="7454D025" w:rsidR="005077C1" w:rsidRPr="003954D9" w:rsidRDefault="005077C1" w:rsidP="005077C1">
      <w:pPr>
        <w:pStyle w:val="Rubrik4"/>
      </w:pPr>
      <w:r w:rsidRPr="003954D9">
        <w:t>Disponibel inkomst när hyran är betald</w:t>
      </w:r>
    </w:p>
    <w:p w14:paraId="59954B56" w14:textId="1C551689" w:rsidR="005077C1" w:rsidRPr="003954D9" w:rsidRDefault="00A62FEE" w:rsidP="006B1392">
      <w:r w:rsidRPr="003954D9">
        <w:t xml:space="preserve">När hyran är betald återfinns sju av de tio hushållstyperna med </w:t>
      </w:r>
      <w:r w:rsidR="009267B9" w:rsidRPr="003954D9">
        <w:t>minst kvar</w:t>
      </w:r>
      <w:r w:rsidRPr="003954D9">
        <w:t xml:space="preserve"> </w:t>
      </w:r>
      <w:r w:rsidR="005077C1" w:rsidRPr="003954D9">
        <w:t xml:space="preserve">per person </w:t>
      </w:r>
      <w:r w:rsidR="009267B9" w:rsidRPr="003954D9">
        <w:t xml:space="preserve">utöver skälig levnadsnivå </w:t>
      </w:r>
      <w:r w:rsidRPr="003954D9">
        <w:t xml:space="preserve">i </w:t>
      </w:r>
      <w:r w:rsidR="006B1392" w:rsidRPr="003954D9">
        <w:t>Angered</w:t>
      </w:r>
      <w:r w:rsidR="009267B9" w:rsidRPr="003954D9">
        <w:t xml:space="preserve"> och de resterande tre finns i </w:t>
      </w:r>
      <w:r w:rsidR="006B1392" w:rsidRPr="003954D9">
        <w:t>Östra Göteborg</w:t>
      </w:r>
      <w:r w:rsidR="009267B9" w:rsidRPr="003954D9">
        <w:t>.</w:t>
      </w:r>
      <w:r w:rsidR="006B1392" w:rsidRPr="003954D9">
        <w:t xml:space="preserve"> </w:t>
      </w:r>
      <w:r w:rsidR="00774A97" w:rsidRPr="003954D9">
        <w:t xml:space="preserve">I Angered har ensamstående med barn kvar 726 kronor per månad och person och samboende med 2 barn 1959 kronor samt i Östra Göteborg samboende med tre barn 1015 kronor. </w:t>
      </w:r>
    </w:p>
    <w:p w14:paraId="37CE1D92" w14:textId="67495BF1" w:rsidR="00551276" w:rsidRPr="003954D9" w:rsidRDefault="006B1392" w:rsidP="006B1392">
      <w:r w:rsidRPr="003954D9">
        <w:t xml:space="preserve">Mest kvar utöver skälig levnadsnivå har </w:t>
      </w:r>
      <w:r w:rsidR="009267B9" w:rsidRPr="003954D9">
        <w:t xml:space="preserve">hushållen </w:t>
      </w:r>
      <w:r w:rsidRPr="003954D9">
        <w:t>i Centrum och i Majorna-Linné</w:t>
      </w:r>
      <w:r w:rsidR="009267B9" w:rsidRPr="003954D9">
        <w:t>staden</w:t>
      </w:r>
      <w:r w:rsidRPr="003954D9">
        <w:t xml:space="preserve"> i </w:t>
      </w:r>
      <w:r w:rsidR="005077C1" w:rsidRPr="003954D9">
        <w:t xml:space="preserve">vardera </w:t>
      </w:r>
      <w:r w:rsidR="009267B9" w:rsidRPr="003954D9">
        <w:t>fyra</w:t>
      </w:r>
      <w:r w:rsidRPr="003954D9">
        <w:t xml:space="preserve"> av </w:t>
      </w:r>
      <w:r w:rsidR="009267B9" w:rsidRPr="003954D9">
        <w:t xml:space="preserve">de tio </w:t>
      </w:r>
      <w:r w:rsidRPr="003954D9">
        <w:t>hushållstyper</w:t>
      </w:r>
      <w:r w:rsidR="009267B9" w:rsidRPr="003954D9">
        <w:t>na</w:t>
      </w:r>
      <w:r w:rsidRPr="003954D9">
        <w:t>. Övriga</w:t>
      </w:r>
      <w:r w:rsidR="00982799" w:rsidRPr="003954D9">
        <w:t xml:space="preserve"> två</w:t>
      </w:r>
      <w:r w:rsidRPr="003954D9">
        <w:t xml:space="preserve"> hushållstyper med mest kvar finns </w:t>
      </w:r>
      <w:r w:rsidR="005077C1" w:rsidRPr="003954D9">
        <w:t xml:space="preserve">i </w:t>
      </w:r>
      <w:r w:rsidR="00982799" w:rsidRPr="003954D9">
        <w:t xml:space="preserve">Örgryte-Härlanda och Västra Göteborg. Mest av alla har samboende utan barn </w:t>
      </w:r>
      <w:r w:rsidR="00365C66" w:rsidRPr="003954D9">
        <w:t>18–64</w:t>
      </w:r>
      <w:r w:rsidR="00982799" w:rsidRPr="003954D9">
        <w:t xml:space="preserve"> år i Majorna-Linné</w:t>
      </w:r>
      <w:r w:rsidR="009267B9" w:rsidRPr="003954D9">
        <w:t>staden</w:t>
      </w:r>
      <w:r w:rsidR="00982799" w:rsidRPr="003954D9">
        <w:t xml:space="preserve"> med över 11 000 kronor kvar per person och månad utöver skälig levnadsnivå när hyran är betald. För denna hushållstyp är genomsnittet nästan 7 900 kronor i hela urvalet.</w:t>
      </w:r>
      <w:r w:rsidR="00B47A74" w:rsidRPr="003954D9">
        <w:t xml:space="preserve"> </w:t>
      </w:r>
    </w:p>
    <w:p w14:paraId="3BBA61FD" w14:textId="77777777" w:rsidR="00551276" w:rsidRPr="003954D9" w:rsidRDefault="00551276" w:rsidP="006B1392"/>
    <w:p w14:paraId="24FC6720" w14:textId="6657A1FA" w:rsidR="00387126" w:rsidRPr="003954D9" w:rsidRDefault="00551276" w:rsidP="00387126">
      <w:r w:rsidRPr="003954D9">
        <w:t xml:space="preserve">Det finns en stor spridning </w:t>
      </w:r>
      <w:r w:rsidR="00387126" w:rsidRPr="003954D9">
        <w:t xml:space="preserve">mellan stadsdelarna </w:t>
      </w:r>
      <w:r w:rsidRPr="003954D9">
        <w:t xml:space="preserve">i hur mycket man har kvar utöver skälig levnadsnivå när hyran är betald i hushållsgrupperna samboende utan barn 65 år- (6 912 kronor), samboende utan barn </w:t>
      </w:r>
      <w:r w:rsidR="00365C66" w:rsidRPr="003954D9">
        <w:t>18–64</w:t>
      </w:r>
      <w:r w:rsidRPr="003954D9">
        <w:t xml:space="preserve"> år (6 014 kronor) samt bland samboende med 1 barn </w:t>
      </w:r>
      <w:r w:rsidR="00365C66" w:rsidRPr="003954D9">
        <w:t>0–19</w:t>
      </w:r>
      <w:r w:rsidRPr="003954D9">
        <w:t xml:space="preserve"> år (4 307 kronor). Spridningen är betydligt lägre bland samboende med tre barn (2 223 kronor), ensamstående med barn (2 782 kronor) och samboende med två barn (3 647 kronor).  Även här bekräftas alltså bilden att barnhushållen har en särskilt utsatt situation. </w:t>
      </w:r>
      <w:r w:rsidR="005B78DB">
        <w:t>Se tabell 3:2.</w:t>
      </w:r>
    </w:p>
    <w:p w14:paraId="5951EA15" w14:textId="77777777" w:rsidR="00E064D1" w:rsidRDefault="00551276" w:rsidP="00E064D1">
      <w:r w:rsidRPr="003954D9">
        <w:t xml:space="preserve"> </w:t>
      </w:r>
    </w:p>
    <w:p w14:paraId="12C77B03" w14:textId="77777777" w:rsidR="00FF7B9D" w:rsidRDefault="00FF7B9D" w:rsidP="00E064D1">
      <w:r>
        <w:br w:type="page"/>
      </w:r>
    </w:p>
    <w:p w14:paraId="50BB3B90" w14:textId="30C50E6F" w:rsidR="00371545" w:rsidRPr="003954D9" w:rsidRDefault="00371545" w:rsidP="00E064D1">
      <w:r w:rsidRPr="003954D9">
        <w:lastRenderedPageBreak/>
        <w:t xml:space="preserve">Tabell </w:t>
      </w:r>
      <w:r w:rsidR="002B6D36" w:rsidRPr="003954D9">
        <w:t>3:2</w:t>
      </w:r>
      <w:r w:rsidRPr="003954D9">
        <w:t xml:space="preserve">: </w:t>
      </w:r>
      <w:r w:rsidR="00490264" w:rsidRPr="003954D9">
        <w:t>Kvar av</w:t>
      </w:r>
      <w:r w:rsidRPr="003954D9">
        <w:t xml:space="preserve"> </w:t>
      </w:r>
      <w:r w:rsidR="00490264" w:rsidRPr="003954D9">
        <w:t xml:space="preserve">disponibel </w:t>
      </w:r>
      <w:r w:rsidRPr="003954D9">
        <w:t>inkomst</w:t>
      </w:r>
      <w:r w:rsidR="00490264" w:rsidRPr="003954D9">
        <w:t xml:space="preserve"> utöver skälig levnadsnivå</w:t>
      </w:r>
      <w:r w:rsidRPr="003954D9">
        <w:t xml:space="preserve"> </w:t>
      </w:r>
      <w:r w:rsidR="00490264" w:rsidRPr="003954D9">
        <w:t xml:space="preserve">när dagens hyra är betald, kronor </w:t>
      </w:r>
      <w:r w:rsidRPr="003954D9">
        <w:t>per månad och person, hushållstyp och stadsdel – medelvä</w:t>
      </w:r>
      <w:r w:rsidR="00490264" w:rsidRPr="003954D9">
        <w:t>rden</w:t>
      </w:r>
    </w:p>
    <w:tbl>
      <w:tblPr>
        <w:tblW w:w="9244" w:type="dxa"/>
        <w:tblInd w:w="40" w:type="dxa"/>
        <w:tblLayout w:type="fixed"/>
        <w:tblCellMar>
          <w:left w:w="70" w:type="dxa"/>
          <w:right w:w="70" w:type="dxa"/>
        </w:tblCellMar>
        <w:tblLook w:val="0000" w:firstRow="0" w:lastRow="0" w:firstColumn="0" w:lastColumn="0" w:noHBand="0" w:noVBand="0"/>
      </w:tblPr>
      <w:tblGrid>
        <w:gridCol w:w="1032"/>
        <w:gridCol w:w="950"/>
        <w:gridCol w:w="821"/>
        <w:gridCol w:w="742"/>
        <w:gridCol w:w="738"/>
        <w:gridCol w:w="709"/>
        <w:gridCol w:w="855"/>
        <w:gridCol w:w="854"/>
        <w:gridCol w:w="838"/>
        <w:gridCol w:w="855"/>
        <w:gridCol w:w="850"/>
      </w:tblGrid>
      <w:tr w:rsidR="00371545" w:rsidRPr="003954D9" w14:paraId="6545BD4B"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19922C17" w14:textId="77777777" w:rsidR="00371545" w:rsidRPr="003954D9" w:rsidRDefault="00371545">
            <w:pPr>
              <w:autoSpaceDE w:val="0"/>
              <w:autoSpaceDN w:val="0"/>
              <w:adjustRightInd w:val="0"/>
              <w:jc w:val="right"/>
              <w:rPr>
                <w:rFonts w:ascii="Calibri" w:hAnsi="Calibri" w:cs="Calibri"/>
                <w:color w:val="000000"/>
                <w:sz w:val="22"/>
                <w:szCs w:val="22"/>
              </w:rPr>
            </w:pPr>
          </w:p>
        </w:tc>
        <w:tc>
          <w:tcPr>
            <w:tcW w:w="950" w:type="dxa"/>
            <w:tcBorders>
              <w:top w:val="single" w:sz="6" w:space="0" w:color="auto"/>
              <w:left w:val="single" w:sz="6" w:space="0" w:color="auto"/>
              <w:bottom w:val="single" w:sz="6" w:space="0" w:color="auto"/>
              <w:right w:val="single" w:sz="6" w:space="0" w:color="auto"/>
            </w:tcBorders>
          </w:tcPr>
          <w:p w14:paraId="17B23A7C" w14:textId="4E44B858"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821" w:type="dxa"/>
            <w:tcBorders>
              <w:top w:val="single" w:sz="6" w:space="0" w:color="auto"/>
              <w:left w:val="single" w:sz="6" w:space="0" w:color="auto"/>
              <w:bottom w:val="single" w:sz="6" w:space="0" w:color="auto"/>
              <w:right w:val="single" w:sz="6" w:space="0" w:color="auto"/>
            </w:tcBorders>
          </w:tcPr>
          <w:p w14:paraId="2B7A6F81" w14:textId="5DA41B24"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u. barn </w:t>
            </w:r>
            <w:r w:rsidR="00365C66" w:rsidRPr="003954D9">
              <w:rPr>
                <w:rFonts w:ascii="Calibri" w:hAnsi="Calibri" w:cs="Calibri"/>
                <w:b/>
                <w:bCs/>
                <w:color w:val="000000"/>
                <w:sz w:val="16"/>
                <w:szCs w:val="16"/>
              </w:rPr>
              <w:t>65-år</w:t>
            </w:r>
          </w:p>
        </w:tc>
        <w:tc>
          <w:tcPr>
            <w:tcW w:w="742" w:type="dxa"/>
            <w:tcBorders>
              <w:top w:val="single" w:sz="6" w:space="0" w:color="auto"/>
              <w:left w:val="single" w:sz="6" w:space="0" w:color="auto"/>
              <w:bottom w:val="single" w:sz="6" w:space="0" w:color="auto"/>
              <w:right w:val="single" w:sz="6" w:space="0" w:color="auto"/>
            </w:tcBorders>
          </w:tcPr>
          <w:p w14:paraId="13147425" w14:textId="1F5B8D73"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Ensamst. m.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738" w:type="dxa"/>
            <w:tcBorders>
              <w:top w:val="single" w:sz="6" w:space="0" w:color="auto"/>
              <w:left w:val="single" w:sz="6" w:space="0" w:color="auto"/>
              <w:bottom w:val="single" w:sz="6" w:space="0" w:color="auto"/>
              <w:right w:val="single" w:sz="6" w:space="0" w:color="auto"/>
            </w:tcBorders>
          </w:tcPr>
          <w:p w14:paraId="12B85F79" w14:textId="522A024F"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463368FE" w14:textId="0A2F9240"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u. barn </w:t>
            </w:r>
            <w:r w:rsidR="00365C66" w:rsidRPr="003954D9">
              <w:rPr>
                <w:rFonts w:ascii="Calibri" w:hAnsi="Calibri" w:cs="Calibri"/>
                <w:b/>
                <w:bCs/>
                <w:color w:val="000000"/>
                <w:sz w:val="16"/>
                <w:szCs w:val="16"/>
              </w:rPr>
              <w:t>65-år</w:t>
            </w:r>
          </w:p>
        </w:tc>
        <w:tc>
          <w:tcPr>
            <w:tcW w:w="855" w:type="dxa"/>
            <w:tcBorders>
              <w:top w:val="single" w:sz="6" w:space="0" w:color="auto"/>
              <w:left w:val="single" w:sz="6" w:space="0" w:color="auto"/>
              <w:bottom w:val="single" w:sz="6" w:space="0" w:color="auto"/>
              <w:right w:val="single" w:sz="6" w:space="0" w:color="auto"/>
            </w:tcBorders>
          </w:tcPr>
          <w:p w14:paraId="3D4FAF6A" w14:textId="03382859"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1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854" w:type="dxa"/>
            <w:tcBorders>
              <w:top w:val="single" w:sz="6" w:space="0" w:color="auto"/>
              <w:left w:val="single" w:sz="6" w:space="0" w:color="auto"/>
              <w:bottom w:val="single" w:sz="6" w:space="0" w:color="auto"/>
              <w:right w:val="single" w:sz="6" w:space="0" w:color="auto"/>
            </w:tcBorders>
          </w:tcPr>
          <w:p w14:paraId="350958DD" w14:textId="55FBF96D"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2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838" w:type="dxa"/>
            <w:tcBorders>
              <w:top w:val="single" w:sz="6" w:space="0" w:color="auto"/>
              <w:left w:val="single" w:sz="6" w:space="0" w:color="auto"/>
              <w:bottom w:val="single" w:sz="6" w:space="0" w:color="auto"/>
              <w:right w:val="single" w:sz="6" w:space="0" w:color="auto"/>
            </w:tcBorders>
          </w:tcPr>
          <w:p w14:paraId="42A2EA94" w14:textId="6E817C36"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3-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855" w:type="dxa"/>
            <w:tcBorders>
              <w:top w:val="single" w:sz="6" w:space="0" w:color="auto"/>
              <w:left w:val="single" w:sz="6" w:space="0" w:color="auto"/>
              <w:bottom w:val="single" w:sz="6" w:space="0" w:color="auto"/>
              <w:right w:val="single" w:sz="6" w:space="0" w:color="auto"/>
            </w:tcBorders>
          </w:tcPr>
          <w:p w14:paraId="7F0E16DD" w14:textId="11B32749"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Övr. hushåll u. barn </w:t>
            </w:r>
          </w:p>
        </w:tc>
        <w:tc>
          <w:tcPr>
            <w:tcW w:w="850" w:type="dxa"/>
            <w:tcBorders>
              <w:top w:val="single" w:sz="6" w:space="0" w:color="auto"/>
              <w:left w:val="single" w:sz="6" w:space="0" w:color="auto"/>
              <w:bottom w:val="single" w:sz="6" w:space="0" w:color="auto"/>
              <w:right w:val="single" w:sz="6" w:space="0" w:color="auto"/>
            </w:tcBorders>
          </w:tcPr>
          <w:p w14:paraId="5A901A17" w14:textId="77777777"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Övr. hushåll m. barn</w:t>
            </w:r>
          </w:p>
        </w:tc>
      </w:tr>
      <w:tr w:rsidR="00371545" w:rsidRPr="003954D9" w14:paraId="463D495F"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3F7BD763" w14:textId="77777777"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50" w:type="dxa"/>
            <w:tcBorders>
              <w:top w:val="single" w:sz="6" w:space="0" w:color="auto"/>
              <w:left w:val="single" w:sz="6" w:space="0" w:color="auto"/>
              <w:bottom w:val="single" w:sz="6" w:space="0" w:color="auto"/>
              <w:right w:val="single" w:sz="6" w:space="0" w:color="auto"/>
            </w:tcBorders>
            <w:vAlign w:val="center"/>
          </w:tcPr>
          <w:p w14:paraId="0D02D572" w14:textId="77777777" w:rsidR="00371545" w:rsidRPr="003954D9" w:rsidRDefault="0037154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3 717</w:t>
            </w:r>
          </w:p>
        </w:tc>
        <w:tc>
          <w:tcPr>
            <w:tcW w:w="821" w:type="dxa"/>
            <w:tcBorders>
              <w:top w:val="single" w:sz="6" w:space="0" w:color="auto"/>
              <w:left w:val="single" w:sz="6" w:space="0" w:color="auto"/>
              <w:bottom w:val="single" w:sz="6" w:space="0" w:color="auto"/>
              <w:right w:val="single" w:sz="6" w:space="0" w:color="auto"/>
            </w:tcBorders>
            <w:vAlign w:val="center"/>
          </w:tcPr>
          <w:p w14:paraId="40C34025" w14:textId="77777777" w:rsidR="00371545" w:rsidRPr="003954D9" w:rsidRDefault="0037154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2 023</w:t>
            </w:r>
          </w:p>
        </w:tc>
        <w:tc>
          <w:tcPr>
            <w:tcW w:w="742" w:type="dxa"/>
            <w:tcBorders>
              <w:top w:val="single" w:sz="6" w:space="0" w:color="auto"/>
              <w:left w:val="single" w:sz="6" w:space="0" w:color="auto"/>
              <w:bottom w:val="single" w:sz="6" w:space="0" w:color="auto"/>
              <w:right w:val="single" w:sz="6" w:space="0" w:color="auto"/>
            </w:tcBorders>
            <w:vAlign w:val="center"/>
          </w:tcPr>
          <w:p w14:paraId="1D809B18" w14:textId="77777777" w:rsidR="00371545" w:rsidRPr="003954D9" w:rsidRDefault="0037154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726</w:t>
            </w:r>
          </w:p>
        </w:tc>
        <w:tc>
          <w:tcPr>
            <w:tcW w:w="738" w:type="dxa"/>
            <w:tcBorders>
              <w:top w:val="single" w:sz="6" w:space="0" w:color="auto"/>
              <w:left w:val="single" w:sz="6" w:space="0" w:color="auto"/>
              <w:bottom w:val="single" w:sz="6" w:space="0" w:color="auto"/>
              <w:right w:val="single" w:sz="6" w:space="0" w:color="auto"/>
            </w:tcBorders>
            <w:vAlign w:val="center"/>
          </w:tcPr>
          <w:p w14:paraId="69CA9E6A" w14:textId="77777777" w:rsidR="00371545" w:rsidRPr="003954D9" w:rsidRDefault="0037154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4 998</w:t>
            </w:r>
          </w:p>
        </w:tc>
        <w:tc>
          <w:tcPr>
            <w:tcW w:w="709" w:type="dxa"/>
            <w:tcBorders>
              <w:top w:val="single" w:sz="6" w:space="0" w:color="auto"/>
              <w:left w:val="single" w:sz="6" w:space="0" w:color="auto"/>
              <w:bottom w:val="single" w:sz="6" w:space="0" w:color="auto"/>
              <w:right w:val="single" w:sz="6" w:space="0" w:color="auto"/>
            </w:tcBorders>
            <w:vAlign w:val="center"/>
          </w:tcPr>
          <w:p w14:paraId="1D2C3947" w14:textId="77777777" w:rsidR="00371545" w:rsidRPr="003954D9" w:rsidRDefault="0037154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2 770</w:t>
            </w:r>
          </w:p>
        </w:tc>
        <w:tc>
          <w:tcPr>
            <w:tcW w:w="855" w:type="dxa"/>
            <w:tcBorders>
              <w:top w:val="single" w:sz="6" w:space="0" w:color="auto"/>
              <w:left w:val="single" w:sz="6" w:space="0" w:color="auto"/>
              <w:bottom w:val="single" w:sz="6" w:space="0" w:color="auto"/>
              <w:right w:val="single" w:sz="6" w:space="0" w:color="auto"/>
            </w:tcBorders>
            <w:vAlign w:val="center"/>
          </w:tcPr>
          <w:p w14:paraId="449E1A6E"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3 237</w:t>
            </w:r>
          </w:p>
        </w:tc>
        <w:tc>
          <w:tcPr>
            <w:tcW w:w="854" w:type="dxa"/>
            <w:tcBorders>
              <w:top w:val="single" w:sz="6" w:space="0" w:color="auto"/>
              <w:left w:val="single" w:sz="6" w:space="0" w:color="auto"/>
              <w:bottom w:val="single" w:sz="6" w:space="0" w:color="auto"/>
              <w:right w:val="single" w:sz="6" w:space="0" w:color="auto"/>
            </w:tcBorders>
            <w:vAlign w:val="center"/>
          </w:tcPr>
          <w:p w14:paraId="0068CC4D" w14:textId="77777777" w:rsidR="00371545" w:rsidRPr="003954D9" w:rsidRDefault="0037154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1 956</w:t>
            </w:r>
          </w:p>
        </w:tc>
        <w:tc>
          <w:tcPr>
            <w:tcW w:w="838" w:type="dxa"/>
            <w:tcBorders>
              <w:top w:val="single" w:sz="6" w:space="0" w:color="auto"/>
              <w:left w:val="single" w:sz="6" w:space="0" w:color="auto"/>
              <w:bottom w:val="single" w:sz="6" w:space="0" w:color="auto"/>
              <w:right w:val="single" w:sz="6" w:space="0" w:color="auto"/>
            </w:tcBorders>
            <w:vAlign w:val="center"/>
          </w:tcPr>
          <w:p w14:paraId="4F724D62"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1 059</w:t>
            </w:r>
          </w:p>
        </w:tc>
        <w:tc>
          <w:tcPr>
            <w:tcW w:w="855" w:type="dxa"/>
            <w:tcBorders>
              <w:top w:val="single" w:sz="6" w:space="0" w:color="auto"/>
              <w:left w:val="single" w:sz="6" w:space="0" w:color="auto"/>
              <w:bottom w:val="single" w:sz="6" w:space="0" w:color="auto"/>
              <w:right w:val="single" w:sz="6" w:space="0" w:color="auto"/>
            </w:tcBorders>
            <w:vAlign w:val="center"/>
          </w:tcPr>
          <w:p w14:paraId="6F0F9745" w14:textId="3AD6D720"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5 108</w:t>
            </w:r>
          </w:p>
        </w:tc>
        <w:tc>
          <w:tcPr>
            <w:tcW w:w="850" w:type="dxa"/>
            <w:tcBorders>
              <w:top w:val="single" w:sz="6" w:space="0" w:color="auto"/>
              <w:left w:val="single" w:sz="6" w:space="0" w:color="auto"/>
              <w:bottom w:val="single" w:sz="6" w:space="0" w:color="auto"/>
              <w:right w:val="single" w:sz="6" w:space="0" w:color="auto"/>
            </w:tcBorders>
            <w:vAlign w:val="center"/>
          </w:tcPr>
          <w:p w14:paraId="442B2528" w14:textId="77777777" w:rsidR="00371545" w:rsidRPr="003954D9" w:rsidRDefault="0037154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2 812</w:t>
            </w:r>
          </w:p>
        </w:tc>
      </w:tr>
      <w:tr w:rsidR="00371545" w:rsidRPr="003954D9" w14:paraId="1670C5FB"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3834932F" w14:textId="77777777"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950" w:type="dxa"/>
            <w:tcBorders>
              <w:top w:val="single" w:sz="6" w:space="0" w:color="auto"/>
              <w:left w:val="single" w:sz="6" w:space="0" w:color="auto"/>
              <w:bottom w:val="single" w:sz="6" w:space="0" w:color="auto"/>
              <w:right w:val="single" w:sz="6" w:space="0" w:color="auto"/>
            </w:tcBorders>
            <w:vAlign w:val="center"/>
          </w:tcPr>
          <w:p w14:paraId="53FF4B76"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6 145</w:t>
            </w:r>
          </w:p>
        </w:tc>
        <w:tc>
          <w:tcPr>
            <w:tcW w:w="821" w:type="dxa"/>
            <w:tcBorders>
              <w:top w:val="single" w:sz="6" w:space="0" w:color="auto"/>
              <w:left w:val="single" w:sz="6" w:space="0" w:color="auto"/>
              <w:bottom w:val="single" w:sz="6" w:space="0" w:color="auto"/>
              <w:right w:val="single" w:sz="6" w:space="0" w:color="auto"/>
            </w:tcBorders>
            <w:vAlign w:val="center"/>
          </w:tcPr>
          <w:p w14:paraId="03FEE276"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2 977</w:t>
            </w:r>
          </w:p>
        </w:tc>
        <w:tc>
          <w:tcPr>
            <w:tcW w:w="742" w:type="dxa"/>
            <w:tcBorders>
              <w:top w:val="single" w:sz="6" w:space="0" w:color="auto"/>
              <w:left w:val="single" w:sz="6" w:space="0" w:color="auto"/>
              <w:bottom w:val="single" w:sz="6" w:space="0" w:color="auto"/>
              <w:right w:val="single" w:sz="6" w:space="0" w:color="auto"/>
            </w:tcBorders>
            <w:vAlign w:val="center"/>
          </w:tcPr>
          <w:p w14:paraId="64426E41"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1 672</w:t>
            </w:r>
          </w:p>
        </w:tc>
        <w:tc>
          <w:tcPr>
            <w:tcW w:w="738" w:type="dxa"/>
            <w:tcBorders>
              <w:top w:val="single" w:sz="6" w:space="0" w:color="auto"/>
              <w:left w:val="single" w:sz="6" w:space="0" w:color="auto"/>
              <w:bottom w:val="single" w:sz="6" w:space="0" w:color="auto"/>
              <w:right w:val="single" w:sz="6" w:space="0" w:color="auto"/>
            </w:tcBorders>
            <w:vAlign w:val="center"/>
          </w:tcPr>
          <w:p w14:paraId="638CA5F4"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8 490</w:t>
            </w:r>
          </w:p>
        </w:tc>
        <w:tc>
          <w:tcPr>
            <w:tcW w:w="709" w:type="dxa"/>
            <w:tcBorders>
              <w:top w:val="single" w:sz="6" w:space="0" w:color="auto"/>
              <w:left w:val="single" w:sz="6" w:space="0" w:color="auto"/>
              <w:bottom w:val="single" w:sz="6" w:space="0" w:color="auto"/>
              <w:right w:val="single" w:sz="6" w:space="0" w:color="auto"/>
            </w:tcBorders>
            <w:vAlign w:val="center"/>
          </w:tcPr>
          <w:p w14:paraId="25C76286"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5 365</w:t>
            </w:r>
          </w:p>
        </w:tc>
        <w:tc>
          <w:tcPr>
            <w:tcW w:w="855" w:type="dxa"/>
            <w:tcBorders>
              <w:top w:val="single" w:sz="6" w:space="0" w:color="auto"/>
              <w:left w:val="single" w:sz="6" w:space="0" w:color="auto"/>
              <w:bottom w:val="single" w:sz="6" w:space="0" w:color="auto"/>
              <w:right w:val="single" w:sz="6" w:space="0" w:color="auto"/>
            </w:tcBorders>
            <w:vAlign w:val="center"/>
          </w:tcPr>
          <w:p w14:paraId="6D1B8332"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5 378</w:t>
            </w:r>
          </w:p>
        </w:tc>
        <w:tc>
          <w:tcPr>
            <w:tcW w:w="854" w:type="dxa"/>
            <w:tcBorders>
              <w:top w:val="single" w:sz="6" w:space="0" w:color="auto"/>
              <w:left w:val="single" w:sz="6" w:space="0" w:color="auto"/>
              <w:bottom w:val="single" w:sz="6" w:space="0" w:color="auto"/>
              <w:right w:val="single" w:sz="6" w:space="0" w:color="auto"/>
            </w:tcBorders>
            <w:vAlign w:val="center"/>
          </w:tcPr>
          <w:p w14:paraId="5385112B"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3 144</w:t>
            </w:r>
          </w:p>
        </w:tc>
        <w:tc>
          <w:tcPr>
            <w:tcW w:w="838" w:type="dxa"/>
            <w:tcBorders>
              <w:top w:val="single" w:sz="6" w:space="0" w:color="auto"/>
              <w:left w:val="single" w:sz="6" w:space="0" w:color="auto"/>
              <w:bottom w:val="single" w:sz="6" w:space="0" w:color="auto"/>
              <w:right w:val="single" w:sz="6" w:space="0" w:color="auto"/>
            </w:tcBorders>
            <w:vAlign w:val="center"/>
          </w:tcPr>
          <w:p w14:paraId="32F09023"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1 452</w:t>
            </w:r>
          </w:p>
        </w:tc>
        <w:tc>
          <w:tcPr>
            <w:tcW w:w="855" w:type="dxa"/>
            <w:tcBorders>
              <w:top w:val="single" w:sz="6" w:space="0" w:color="auto"/>
              <w:left w:val="single" w:sz="6" w:space="0" w:color="auto"/>
              <w:bottom w:val="single" w:sz="6" w:space="0" w:color="auto"/>
              <w:right w:val="single" w:sz="6" w:space="0" w:color="auto"/>
            </w:tcBorders>
            <w:vAlign w:val="center"/>
          </w:tcPr>
          <w:p w14:paraId="51D66FAC" w14:textId="44366C05"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5 669</w:t>
            </w:r>
          </w:p>
        </w:tc>
        <w:tc>
          <w:tcPr>
            <w:tcW w:w="850" w:type="dxa"/>
            <w:tcBorders>
              <w:top w:val="single" w:sz="6" w:space="0" w:color="auto"/>
              <w:left w:val="single" w:sz="6" w:space="0" w:color="auto"/>
              <w:bottom w:val="single" w:sz="6" w:space="0" w:color="auto"/>
              <w:right w:val="single" w:sz="6" w:space="0" w:color="auto"/>
            </w:tcBorders>
            <w:vAlign w:val="center"/>
          </w:tcPr>
          <w:p w14:paraId="2A86F4F9"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5 121</w:t>
            </w:r>
          </w:p>
        </w:tc>
      </w:tr>
      <w:tr w:rsidR="00371545" w:rsidRPr="003954D9" w14:paraId="3B52AA41"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7F67F9A2" w14:textId="77777777"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950" w:type="dxa"/>
            <w:tcBorders>
              <w:top w:val="single" w:sz="6" w:space="0" w:color="auto"/>
              <w:left w:val="single" w:sz="6" w:space="0" w:color="auto"/>
              <w:bottom w:val="single" w:sz="6" w:space="0" w:color="auto"/>
              <w:right w:val="single" w:sz="6" w:space="0" w:color="auto"/>
            </w:tcBorders>
            <w:vAlign w:val="center"/>
          </w:tcPr>
          <w:p w14:paraId="52E0B8AE"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7 158</w:t>
            </w:r>
          </w:p>
        </w:tc>
        <w:tc>
          <w:tcPr>
            <w:tcW w:w="821" w:type="dxa"/>
            <w:tcBorders>
              <w:top w:val="single" w:sz="6" w:space="0" w:color="auto"/>
              <w:left w:val="single" w:sz="6" w:space="0" w:color="auto"/>
              <w:bottom w:val="single" w:sz="6" w:space="0" w:color="auto"/>
              <w:right w:val="single" w:sz="6" w:space="0" w:color="auto"/>
            </w:tcBorders>
            <w:vAlign w:val="center"/>
          </w:tcPr>
          <w:p w14:paraId="1219DCBB"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4 804</w:t>
            </w:r>
          </w:p>
        </w:tc>
        <w:tc>
          <w:tcPr>
            <w:tcW w:w="742" w:type="dxa"/>
            <w:tcBorders>
              <w:top w:val="single" w:sz="6" w:space="0" w:color="auto"/>
              <w:left w:val="single" w:sz="6" w:space="0" w:color="auto"/>
              <w:bottom w:val="single" w:sz="6" w:space="0" w:color="auto"/>
              <w:right w:val="single" w:sz="6" w:space="0" w:color="auto"/>
            </w:tcBorders>
            <w:vAlign w:val="center"/>
          </w:tcPr>
          <w:p w14:paraId="0535AC88" w14:textId="77777777" w:rsidR="00371545" w:rsidRPr="003954D9" w:rsidRDefault="0037154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3 058</w:t>
            </w:r>
          </w:p>
        </w:tc>
        <w:tc>
          <w:tcPr>
            <w:tcW w:w="738" w:type="dxa"/>
            <w:tcBorders>
              <w:top w:val="single" w:sz="6" w:space="0" w:color="auto"/>
              <w:left w:val="single" w:sz="6" w:space="0" w:color="auto"/>
              <w:bottom w:val="single" w:sz="6" w:space="0" w:color="auto"/>
              <w:right w:val="single" w:sz="6" w:space="0" w:color="auto"/>
            </w:tcBorders>
            <w:vAlign w:val="center"/>
          </w:tcPr>
          <w:p w14:paraId="77289287"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10 807</w:t>
            </w:r>
          </w:p>
        </w:tc>
        <w:tc>
          <w:tcPr>
            <w:tcW w:w="709" w:type="dxa"/>
            <w:tcBorders>
              <w:top w:val="single" w:sz="6" w:space="0" w:color="auto"/>
              <w:left w:val="single" w:sz="6" w:space="0" w:color="auto"/>
              <w:bottom w:val="single" w:sz="6" w:space="0" w:color="auto"/>
              <w:right w:val="single" w:sz="6" w:space="0" w:color="auto"/>
            </w:tcBorders>
            <w:vAlign w:val="center"/>
          </w:tcPr>
          <w:p w14:paraId="6A8A3CED"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8 038</w:t>
            </w:r>
          </w:p>
        </w:tc>
        <w:tc>
          <w:tcPr>
            <w:tcW w:w="855" w:type="dxa"/>
            <w:tcBorders>
              <w:top w:val="single" w:sz="6" w:space="0" w:color="auto"/>
              <w:left w:val="single" w:sz="6" w:space="0" w:color="auto"/>
              <w:bottom w:val="single" w:sz="6" w:space="0" w:color="auto"/>
              <w:right w:val="single" w:sz="6" w:space="0" w:color="auto"/>
            </w:tcBorders>
            <w:vAlign w:val="center"/>
          </w:tcPr>
          <w:p w14:paraId="545041EA" w14:textId="77777777" w:rsidR="00371545" w:rsidRPr="003954D9" w:rsidRDefault="0037154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7 030</w:t>
            </w:r>
          </w:p>
        </w:tc>
        <w:tc>
          <w:tcPr>
            <w:tcW w:w="854" w:type="dxa"/>
            <w:tcBorders>
              <w:top w:val="single" w:sz="6" w:space="0" w:color="auto"/>
              <w:left w:val="single" w:sz="6" w:space="0" w:color="auto"/>
              <w:bottom w:val="single" w:sz="6" w:space="0" w:color="auto"/>
              <w:right w:val="single" w:sz="6" w:space="0" w:color="auto"/>
            </w:tcBorders>
            <w:vAlign w:val="center"/>
          </w:tcPr>
          <w:p w14:paraId="25FD847A" w14:textId="77777777" w:rsidR="00371545" w:rsidRPr="003954D9" w:rsidRDefault="0037154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5 603</w:t>
            </w:r>
          </w:p>
        </w:tc>
        <w:tc>
          <w:tcPr>
            <w:tcW w:w="838" w:type="dxa"/>
            <w:tcBorders>
              <w:top w:val="single" w:sz="6" w:space="0" w:color="auto"/>
              <w:left w:val="single" w:sz="6" w:space="0" w:color="auto"/>
              <w:bottom w:val="single" w:sz="6" w:space="0" w:color="auto"/>
              <w:right w:val="single" w:sz="6" w:space="0" w:color="auto"/>
            </w:tcBorders>
            <w:vAlign w:val="center"/>
          </w:tcPr>
          <w:p w14:paraId="09D00754"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2 968</w:t>
            </w:r>
          </w:p>
        </w:tc>
        <w:tc>
          <w:tcPr>
            <w:tcW w:w="855" w:type="dxa"/>
            <w:tcBorders>
              <w:top w:val="single" w:sz="6" w:space="0" w:color="auto"/>
              <w:left w:val="single" w:sz="6" w:space="0" w:color="auto"/>
              <w:bottom w:val="single" w:sz="6" w:space="0" w:color="auto"/>
              <w:right w:val="single" w:sz="6" w:space="0" w:color="auto"/>
            </w:tcBorders>
            <w:vAlign w:val="center"/>
          </w:tcPr>
          <w:p w14:paraId="0CB5CE2D" w14:textId="43380BBB"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8 017</w:t>
            </w:r>
          </w:p>
        </w:tc>
        <w:tc>
          <w:tcPr>
            <w:tcW w:w="850" w:type="dxa"/>
            <w:tcBorders>
              <w:top w:val="single" w:sz="6" w:space="0" w:color="auto"/>
              <w:left w:val="single" w:sz="6" w:space="0" w:color="auto"/>
              <w:bottom w:val="single" w:sz="6" w:space="0" w:color="auto"/>
              <w:right w:val="single" w:sz="6" w:space="0" w:color="auto"/>
            </w:tcBorders>
            <w:vAlign w:val="center"/>
          </w:tcPr>
          <w:p w14:paraId="35B351B7" w14:textId="77777777" w:rsidR="00371545" w:rsidRPr="003954D9" w:rsidRDefault="0037154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7 054</w:t>
            </w:r>
          </w:p>
        </w:tc>
      </w:tr>
      <w:tr w:rsidR="00371545" w:rsidRPr="003954D9" w14:paraId="065DB6D1"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6D5A521B" w14:textId="77777777"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950" w:type="dxa"/>
            <w:tcBorders>
              <w:top w:val="single" w:sz="6" w:space="0" w:color="auto"/>
              <w:left w:val="single" w:sz="6" w:space="0" w:color="auto"/>
              <w:bottom w:val="single" w:sz="6" w:space="0" w:color="auto"/>
              <w:right w:val="single" w:sz="6" w:space="0" w:color="auto"/>
            </w:tcBorders>
            <w:vAlign w:val="center"/>
          </w:tcPr>
          <w:p w14:paraId="3D0CD57D"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6 537</w:t>
            </w:r>
          </w:p>
        </w:tc>
        <w:tc>
          <w:tcPr>
            <w:tcW w:w="821" w:type="dxa"/>
            <w:tcBorders>
              <w:top w:val="single" w:sz="6" w:space="0" w:color="auto"/>
              <w:left w:val="single" w:sz="6" w:space="0" w:color="auto"/>
              <w:bottom w:val="single" w:sz="6" w:space="0" w:color="auto"/>
              <w:right w:val="single" w:sz="6" w:space="0" w:color="auto"/>
            </w:tcBorders>
            <w:vAlign w:val="center"/>
          </w:tcPr>
          <w:p w14:paraId="3066E3AB"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4 197</w:t>
            </w:r>
          </w:p>
        </w:tc>
        <w:tc>
          <w:tcPr>
            <w:tcW w:w="742" w:type="dxa"/>
            <w:tcBorders>
              <w:top w:val="single" w:sz="6" w:space="0" w:color="auto"/>
              <w:left w:val="single" w:sz="6" w:space="0" w:color="auto"/>
              <w:bottom w:val="single" w:sz="6" w:space="0" w:color="auto"/>
              <w:right w:val="single" w:sz="6" w:space="0" w:color="auto"/>
            </w:tcBorders>
            <w:vAlign w:val="center"/>
          </w:tcPr>
          <w:p w14:paraId="7638E6FE"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1 404</w:t>
            </w:r>
          </w:p>
        </w:tc>
        <w:tc>
          <w:tcPr>
            <w:tcW w:w="738" w:type="dxa"/>
            <w:tcBorders>
              <w:top w:val="single" w:sz="6" w:space="0" w:color="auto"/>
              <w:left w:val="single" w:sz="6" w:space="0" w:color="auto"/>
              <w:bottom w:val="single" w:sz="6" w:space="0" w:color="auto"/>
              <w:right w:val="single" w:sz="6" w:space="0" w:color="auto"/>
            </w:tcBorders>
            <w:vAlign w:val="center"/>
          </w:tcPr>
          <w:p w14:paraId="0002903E"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7 981</w:t>
            </w:r>
          </w:p>
        </w:tc>
        <w:tc>
          <w:tcPr>
            <w:tcW w:w="709" w:type="dxa"/>
            <w:tcBorders>
              <w:top w:val="single" w:sz="6" w:space="0" w:color="auto"/>
              <w:left w:val="single" w:sz="6" w:space="0" w:color="auto"/>
              <w:bottom w:val="single" w:sz="6" w:space="0" w:color="auto"/>
              <w:right w:val="single" w:sz="6" w:space="0" w:color="auto"/>
            </w:tcBorders>
            <w:vAlign w:val="center"/>
          </w:tcPr>
          <w:p w14:paraId="7D6458A3"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4 392</w:t>
            </w:r>
          </w:p>
        </w:tc>
        <w:tc>
          <w:tcPr>
            <w:tcW w:w="855" w:type="dxa"/>
            <w:tcBorders>
              <w:top w:val="single" w:sz="6" w:space="0" w:color="auto"/>
              <w:left w:val="single" w:sz="6" w:space="0" w:color="auto"/>
              <w:bottom w:val="single" w:sz="6" w:space="0" w:color="auto"/>
              <w:right w:val="single" w:sz="6" w:space="0" w:color="auto"/>
            </w:tcBorders>
            <w:vAlign w:val="center"/>
          </w:tcPr>
          <w:p w14:paraId="0DA95550"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3 468</w:t>
            </w:r>
          </w:p>
        </w:tc>
        <w:tc>
          <w:tcPr>
            <w:tcW w:w="854" w:type="dxa"/>
            <w:tcBorders>
              <w:top w:val="single" w:sz="6" w:space="0" w:color="auto"/>
              <w:left w:val="single" w:sz="6" w:space="0" w:color="auto"/>
              <w:bottom w:val="single" w:sz="6" w:space="0" w:color="auto"/>
              <w:right w:val="single" w:sz="6" w:space="0" w:color="auto"/>
            </w:tcBorders>
            <w:vAlign w:val="center"/>
          </w:tcPr>
          <w:p w14:paraId="343A9549"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2 752</w:t>
            </w:r>
          </w:p>
        </w:tc>
        <w:tc>
          <w:tcPr>
            <w:tcW w:w="838" w:type="dxa"/>
            <w:tcBorders>
              <w:top w:val="single" w:sz="6" w:space="0" w:color="auto"/>
              <w:left w:val="single" w:sz="6" w:space="0" w:color="auto"/>
              <w:bottom w:val="single" w:sz="6" w:space="0" w:color="auto"/>
              <w:right w:val="single" w:sz="6" w:space="0" w:color="auto"/>
            </w:tcBorders>
            <w:vAlign w:val="center"/>
          </w:tcPr>
          <w:p w14:paraId="467DE657"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1 493</w:t>
            </w:r>
          </w:p>
        </w:tc>
        <w:tc>
          <w:tcPr>
            <w:tcW w:w="855" w:type="dxa"/>
            <w:tcBorders>
              <w:top w:val="single" w:sz="6" w:space="0" w:color="auto"/>
              <w:left w:val="single" w:sz="6" w:space="0" w:color="auto"/>
              <w:bottom w:val="single" w:sz="6" w:space="0" w:color="auto"/>
              <w:right w:val="single" w:sz="6" w:space="0" w:color="auto"/>
            </w:tcBorders>
            <w:vAlign w:val="center"/>
          </w:tcPr>
          <w:p w14:paraId="66FA62C2" w14:textId="662064E5"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6 118</w:t>
            </w:r>
          </w:p>
        </w:tc>
        <w:tc>
          <w:tcPr>
            <w:tcW w:w="850" w:type="dxa"/>
            <w:tcBorders>
              <w:top w:val="single" w:sz="6" w:space="0" w:color="auto"/>
              <w:left w:val="single" w:sz="6" w:space="0" w:color="auto"/>
              <w:bottom w:val="single" w:sz="6" w:space="0" w:color="auto"/>
              <w:right w:val="single" w:sz="6" w:space="0" w:color="auto"/>
            </w:tcBorders>
            <w:vAlign w:val="center"/>
          </w:tcPr>
          <w:p w14:paraId="2EAB8D6F"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4 209</w:t>
            </w:r>
          </w:p>
        </w:tc>
      </w:tr>
      <w:tr w:rsidR="00371545" w:rsidRPr="003954D9" w14:paraId="71B6EF9D"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543B1B15" w14:textId="6DEA9836" w:rsidR="00371545" w:rsidRPr="003954D9" w:rsidRDefault="009C40F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950" w:type="dxa"/>
            <w:tcBorders>
              <w:top w:val="single" w:sz="6" w:space="0" w:color="auto"/>
              <w:left w:val="single" w:sz="6" w:space="0" w:color="auto"/>
              <w:bottom w:val="single" w:sz="6" w:space="0" w:color="auto"/>
              <w:right w:val="single" w:sz="6" w:space="0" w:color="auto"/>
            </w:tcBorders>
            <w:vAlign w:val="center"/>
          </w:tcPr>
          <w:p w14:paraId="7A8AE671"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7 676</w:t>
            </w:r>
          </w:p>
        </w:tc>
        <w:tc>
          <w:tcPr>
            <w:tcW w:w="821" w:type="dxa"/>
            <w:tcBorders>
              <w:top w:val="single" w:sz="6" w:space="0" w:color="auto"/>
              <w:left w:val="single" w:sz="6" w:space="0" w:color="auto"/>
              <w:bottom w:val="single" w:sz="6" w:space="0" w:color="auto"/>
              <w:right w:val="single" w:sz="6" w:space="0" w:color="auto"/>
            </w:tcBorders>
            <w:vAlign w:val="center"/>
          </w:tcPr>
          <w:p w14:paraId="3DB779E2"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5 179</w:t>
            </w:r>
          </w:p>
        </w:tc>
        <w:tc>
          <w:tcPr>
            <w:tcW w:w="742" w:type="dxa"/>
            <w:tcBorders>
              <w:top w:val="single" w:sz="6" w:space="0" w:color="auto"/>
              <w:left w:val="single" w:sz="6" w:space="0" w:color="auto"/>
              <w:bottom w:val="single" w:sz="6" w:space="0" w:color="auto"/>
              <w:right w:val="single" w:sz="6" w:space="0" w:color="auto"/>
            </w:tcBorders>
            <w:vAlign w:val="center"/>
          </w:tcPr>
          <w:p w14:paraId="42CB9E41"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2 841</w:t>
            </w:r>
          </w:p>
        </w:tc>
        <w:tc>
          <w:tcPr>
            <w:tcW w:w="738" w:type="dxa"/>
            <w:tcBorders>
              <w:top w:val="single" w:sz="6" w:space="0" w:color="auto"/>
              <w:left w:val="single" w:sz="6" w:space="0" w:color="auto"/>
              <w:bottom w:val="single" w:sz="6" w:space="0" w:color="auto"/>
              <w:right w:val="single" w:sz="6" w:space="0" w:color="auto"/>
            </w:tcBorders>
            <w:vAlign w:val="center"/>
          </w:tcPr>
          <w:p w14:paraId="18830493" w14:textId="77777777" w:rsidR="00371545" w:rsidRPr="003954D9" w:rsidRDefault="0037154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11 012</w:t>
            </w:r>
          </w:p>
        </w:tc>
        <w:tc>
          <w:tcPr>
            <w:tcW w:w="709" w:type="dxa"/>
            <w:tcBorders>
              <w:top w:val="single" w:sz="6" w:space="0" w:color="auto"/>
              <w:left w:val="single" w:sz="6" w:space="0" w:color="auto"/>
              <w:bottom w:val="single" w:sz="6" w:space="0" w:color="auto"/>
              <w:right w:val="single" w:sz="6" w:space="0" w:color="auto"/>
            </w:tcBorders>
            <w:vAlign w:val="center"/>
          </w:tcPr>
          <w:p w14:paraId="75533086" w14:textId="77777777" w:rsidR="00371545" w:rsidRPr="003954D9" w:rsidRDefault="0037154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9 682</w:t>
            </w:r>
          </w:p>
        </w:tc>
        <w:tc>
          <w:tcPr>
            <w:tcW w:w="855" w:type="dxa"/>
            <w:tcBorders>
              <w:top w:val="single" w:sz="6" w:space="0" w:color="auto"/>
              <w:left w:val="single" w:sz="6" w:space="0" w:color="auto"/>
              <w:bottom w:val="single" w:sz="6" w:space="0" w:color="auto"/>
              <w:right w:val="single" w:sz="6" w:space="0" w:color="auto"/>
            </w:tcBorders>
            <w:vAlign w:val="center"/>
          </w:tcPr>
          <w:p w14:paraId="13797C91"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6 566</w:t>
            </w:r>
          </w:p>
        </w:tc>
        <w:tc>
          <w:tcPr>
            <w:tcW w:w="854" w:type="dxa"/>
            <w:tcBorders>
              <w:top w:val="single" w:sz="6" w:space="0" w:color="auto"/>
              <w:left w:val="single" w:sz="6" w:space="0" w:color="auto"/>
              <w:bottom w:val="single" w:sz="6" w:space="0" w:color="auto"/>
              <w:right w:val="single" w:sz="6" w:space="0" w:color="auto"/>
            </w:tcBorders>
            <w:vAlign w:val="center"/>
          </w:tcPr>
          <w:p w14:paraId="36AC9221"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4 861</w:t>
            </w:r>
          </w:p>
        </w:tc>
        <w:tc>
          <w:tcPr>
            <w:tcW w:w="838" w:type="dxa"/>
            <w:tcBorders>
              <w:top w:val="single" w:sz="6" w:space="0" w:color="auto"/>
              <w:left w:val="single" w:sz="6" w:space="0" w:color="auto"/>
              <w:bottom w:val="single" w:sz="6" w:space="0" w:color="auto"/>
              <w:right w:val="single" w:sz="6" w:space="0" w:color="auto"/>
            </w:tcBorders>
            <w:vAlign w:val="center"/>
          </w:tcPr>
          <w:p w14:paraId="156ED275" w14:textId="77777777" w:rsidR="00371545" w:rsidRPr="003954D9" w:rsidRDefault="0037154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3 428</w:t>
            </w:r>
          </w:p>
        </w:tc>
        <w:tc>
          <w:tcPr>
            <w:tcW w:w="855" w:type="dxa"/>
            <w:tcBorders>
              <w:top w:val="single" w:sz="6" w:space="0" w:color="auto"/>
              <w:left w:val="single" w:sz="6" w:space="0" w:color="auto"/>
              <w:bottom w:val="single" w:sz="6" w:space="0" w:color="auto"/>
              <w:right w:val="single" w:sz="6" w:space="0" w:color="auto"/>
            </w:tcBorders>
            <w:vAlign w:val="center"/>
          </w:tcPr>
          <w:p w14:paraId="578C9D82" w14:textId="31312371" w:rsidR="00371545" w:rsidRPr="003954D9" w:rsidRDefault="0037154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8 522</w:t>
            </w:r>
          </w:p>
        </w:tc>
        <w:tc>
          <w:tcPr>
            <w:tcW w:w="850" w:type="dxa"/>
            <w:tcBorders>
              <w:top w:val="single" w:sz="6" w:space="0" w:color="auto"/>
              <w:left w:val="single" w:sz="6" w:space="0" w:color="auto"/>
              <w:bottom w:val="single" w:sz="6" w:space="0" w:color="auto"/>
              <w:right w:val="single" w:sz="6" w:space="0" w:color="auto"/>
            </w:tcBorders>
            <w:vAlign w:val="center"/>
          </w:tcPr>
          <w:p w14:paraId="4883573F"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6 765</w:t>
            </w:r>
          </w:p>
        </w:tc>
      </w:tr>
      <w:tr w:rsidR="00371545" w:rsidRPr="003954D9" w14:paraId="59B12666"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1213512D" w14:textId="77777777"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950" w:type="dxa"/>
            <w:tcBorders>
              <w:top w:val="single" w:sz="6" w:space="0" w:color="auto"/>
              <w:left w:val="single" w:sz="6" w:space="0" w:color="auto"/>
              <w:bottom w:val="single" w:sz="6" w:space="0" w:color="auto"/>
              <w:right w:val="single" w:sz="6" w:space="0" w:color="auto"/>
            </w:tcBorders>
            <w:vAlign w:val="center"/>
          </w:tcPr>
          <w:p w14:paraId="0A1DD7A2"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6 350</w:t>
            </w:r>
          </w:p>
        </w:tc>
        <w:tc>
          <w:tcPr>
            <w:tcW w:w="821" w:type="dxa"/>
            <w:tcBorders>
              <w:top w:val="single" w:sz="6" w:space="0" w:color="auto"/>
              <w:left w:val="single" w:sz="6" w:space="0" w:color="auto"/>
              <w:bottom w:val="single" w:sz="6" w:space="0" w:color="auto"/>
              <w:right w:val="single" w:sz="6" w:space="0" w:color="auto"/>
            </w:tcBorders>
            <w:vAlign w:val="center"/>
          </w:tcPr>
          <w:p w14:paraId="35E622BE"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2 909</w:t>
            </w:r>
          </w:p>
        </w:tc>
        <w:tc>
          <w:tcPr>
            <w:tcW w:w="742" w:type="dxa"/>
            <w:tcBorders>
              <w:top w:val="single" w:sz="6" w:space="0" w:color="auto"/>
              <w:left w:val="single" w:sz="6" w:space="0" w:color="auto"/>
              <w:bottom w:val="single" w:sz="6" w:space="0" w:color="auto"/>
              <w:right w:val="single" w:sz="6" w:space="0" w:color="auto"/>
            </w:tcBorders>
            <w:vAlign w:val="center"/>
          </w:tcPr>
          <w:p w14:paraId="58CF9209"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1 669</w:t>
            </w:r>
          </w:p>
        </w:tc>
        <w:tc>
          <w:tcPr>
            <w:tcW w:w="738" w:type="dxa"/>
            <w:tcBorders>
              <w:top w:val="single" w:sz="6" w:space="0" w:color="auto"/>
              <w:left w:val="single" w:sz="6" w:space="0" w:color="auto"/>
              <w:bottom w:val="single" w:sz="6" w:space="0" w:color="auto"/>
              <w:right w:val="single" w:sz="6" w:space="0" w:color="auto"/>
            </w:tcBorders>
            <w:vAlign w:val="center"/>
          </w:tcPr>
          <w:p w14:paraId="2E225A42"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6 738</w:t>
            </w:r>
          </w:p>
        </w:tc>
        <w:tc>
          <w:tcPr>
            <w:tcW w:w="709" w:type="dxa"/>
            <w:tcBorders>
              <w:top w:val="single" w:sz="6" w:space="0" w:color="auto"/>
              <w:left w:val="single" w:sz="6" w:space="0" w:color="auto"/>
              <w:bottom w:val="single" w:sz="6" w:space="0" w:color="auto"/>
              <w:right w:val="single" w:sz="6" w:space="0" w:color="auto"/>
            </w:tcBorders>
            <w:vAlign w:val="center"/>
          </w:tcPr>
          <w:p w14:paraId="76ED5A88"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5 201</w:t>
            </w:r>
          </w:p>
        </w:tc>
        <w:tc>
          <w:tcPr>
            <w:tcW w:w="855" w:type="dxa"/>
            <w:tcBorders>
              <w:top w:val="single" w:sz="6" w:space="0" w:color="auto"/>
              <w:left w:val="single" w:sz="6" w:space="0" w:color="auto"/>
              <w:bottom w:val="single" w:sz="6" w:space="0" w:color="auto"/>
              <w:right w:val="single" w:sz="6" w:space="0" w:color="auto"/>
            </w:tcBorders>
            <w:vAlign w:val="center"/>
          </w:tcPr>
          <w:p w14:paraId="0AB71B54"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3 853</w:t>
            </w:r>
          </w:p>
        </w:tc>
        <w:tc>
          <w:tcPr>
            <w:tcW w:w="854" w:type="dxa"/>
            <w:tcBorders>
              <w:top w:val="single" w:sz="6" w:space="0" w:color="auto"/>
              <w:left w:val="single" w:sz="6" w:space="0" w:color="auto"/>
              <w:bottom w:val="single" w:sz="6" w:space="0" w:color="auto"/>
              <w:right w:val="single" w:sz="6" w:space="0" w:color="auto"/>
            </w:tcBorders>
            <w:vAlign w:val="center"/>
          </w:tcPr>
          <w:p w14:paraId="2DA02C2D"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2 971</w:t>
            </w:r>
          </w:p>
        </w:tc>
        <w:tc>
          <w:tcPr>
            <w:tcW w:w="838" w:type="dxa"/>
            <w:tcBorders>
              <w:top w:val="single" w:sz="6" w:space="0" w:color="auto"/>
              <w:left w:val="single" w:sz="6" w:space="0" w:color="auto"/>
              <w:bottom w:val="single" w:sz="6" w:space="0" w:color="auto"/>
              <w:right w:val="single" w:sz="6" w:space="0" w:color="auto"/>
            </w:tcBorders>
            <w:vAlign w:val="center"/>
          </w:tcPr>
          <w:p w14:paraId="74CB78D6"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1 939</w:t>
            </w:r>
          </w:p>
        </w:tc>
        <w:tc>
          <w:tcPr>
            <w:tcW w:w="855" w:type="dxa"/>
            <w:tcBorders>
              <w:top w:val="single" w:sz="6" w:space="0" w:color="auto"/>
              <w:left w:val="single" w:sz="6" w:space="0" w:color="auto"/>
              <w:bottom w:val="single" w:sz="6" w:space="0" w:color="auto"/>
              <w:right w:val="single" w:sz="6" w:space="0" w:color="auto"/>
            </w:tcBorders>
            <w:vAlign w:val="center"/>
          </w:tcPr>
          <w:p w14:paraId="3CE79650" w14:textId="6186FD3E"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6 228</w:t>
            </w:r>
          </w:p>
        </w:tc>
        <w:tc>
          <w:tcPr>
            <w:tcW w:w="850" w:type="dxa"/>
            <w:tcBorders>
              <w:top w:val="single" w:sz="6" w:space="0" w:color="auto"/>
              <w:left w:val="single" w:sz="6" w:space="0" w:color="auto"/>
              <w:bottom w:val="single" w:sz="6" w:space="0" w:color="auto"/>
              <w:right w:val="single" w:sz="6" w:space="0" w:color="auto"/>
            </w:tcBorders>
            <w:vAlign w:val="center"/>
          </w:tcPr>
          <w:p w14:paraId="1B7E5C8C"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3 982</w:t>
            </w:r>
          </w:p>
        </w:tc>
      </w:tr>
      <w:tr w:rsidR="00371545" w:rsidRPr="003954D9" w14:paraId="199DD8D9"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7C1AF217" w14:textId="77777777"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950" w:type="dxa"/>
            <w:tcBorders>
              <w:top w:val="single" w:sz="6" w:space="0" w:color="auto"/>
              <w:left w:val="single" w:sz="6" w:space="0" w:color="auto"/>
              <w:bottom w:val="single" w:sz="6" w:space="0" w:color="auto"/>
              <w:right w:val="single" w:sz="6" w:space="0" w:color="auto"/>
            </w:tcBorders>
            <w:vAlign w:val="center"/>
          </w:tcPr>
          <w:p w14:paraId="30C650CC"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4 512</w:t>
            </w:r>
          </w:p>
        </w:tc>
        <w:tc>
          <w:tcPr>
            <w:tcW w:w="821" w:type="dxa"/>
            <w:tcBorders>
              <w:top w:val="single" w:sz="6" w:space="0" w:color="auto"/>
              <w:left w:val="single" w:sz="6" w:space="0" w:color="auto"/>
              <w:bottom w:val="single" w:sz="6" w:space="0" w:color="auto"/>
              <w:right w:val="single" w:sz="6" w:space="0" w:color="auto"/>
            </w:tcBorders>
            <w:vAlign w:val="center"/>
          </w:tcPr>
          <w:p w14:paraId="43166013"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2 869</w:t>
            </w:r>
          </w:p>
        </w:tc>
        <w:tc>
          <w:tcPr>
            <w:tcW w:w="742" w:type="dxa"/>
            <w:tcBorders>
              <w:top w:val="single" w:sz="6" w:space="0" w:color="auto"/>
              <w:left w:val="single" w:sz="6" w:space="0" w:color="auto"/>
              <w:bottom w:val="single" w:sz="6" w:space="0" w:color="auto"/>
              <w:right w:val="single" w:sz="6" w:space="0" w:color="auto"/>
            </w:tcBorders>
            <w:vAlign w:val="center"/>
          </w:tcPr>
          <w:p w14:paraId="4C709B0F"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802</w:t>
            </w:r>
          </w:p>
        </w:tc>
        <w:tc>
          <w:tcPr>
            <w:tcW w:w="738" w:type="dxa"/>
            <w:tcBorders>
              <w:top w:val="single" w:sz="6" w:space="0" w:color="auto"/>
              <w:left w:val="single" w:sz="6" w:space="0" w:color="auto"/>
              <w:bottom w:val="single" w:sz="6" w:space="0" w:color="auto"/>
              <w:right w:val="single" w:sz="6" w:space="0" w:color="auto"/>
            </w:tcBorders>
            <w:vAlign w:val="center"/>
          </w:tcPr>
          <w:p w14:paraId="16F96658"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5 828</w:t>
            </w:r>
          </w:p>
        </w:tc>
        <w:tc>
          <w:tcPr>
            <w:tcW w:w="709" w:type="dxa"/>
            <w:tcBorders>
              <w:top w:val="single" w:sz="6" w:space="0" w:color="auto"/>
              <w:left w:val="single" w:sz="6" w:space="0" w:color="auto"/>
              <w:bottom w:val="single" w:sz="6" w:space="0" w:color="auto"/>
              <w:right w:val="single" w:sz="6" w:space="0" w:color="auto"/>
            </w:tcBorders>
            <w:vAlign w:val="center"/>
          </w:tcPr>
          <w:p w14:paraId="78D7F3EA"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3 894</w:t>
            </w:r>
          </w:p>
        </w:tc>
        <w:tc>
          <w:tcPr>
            <w:tcW w:w="855" w:type="dxa"/>
            <w:tcBorders>
              <w:top w:val="single" w:sz="6" w:space="0" w:color="auto"/>
              <w:left w:val="single" w:sz="6" w:space="0" w:color="auto"/>
              <w:bottom w:val="single" w:sz="6" w:space="0" w:color="auto"/>
              <w:right w:val="single" w:sz="6" w:space="0" w:color="auto"/>
            </w:tcBorders>
            <w:vAlign w:val="center"/>
          </w:tcPr>
          <w:p w14:paraId="0FB54FD2"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2 989</w:t>
            </w:r>
          </w:p>
        </w:tc>
        <w:tc>
          <w:tcPr>
            <w:tcW w:w="854" w:type="dxa"/>
            <w:tcBorders>
              <w:top w:val="single" w:sz="6" w:space="0" w:color="auto"/>
              <w:left w:val="single" w:sz="6" w:space="0" w:color="auto"/>
              <w:bottom w:val="single" w:sz="6" w:space="0" w:color="auto"/>
              <w:right w:val="single" w:sz="6" w:space="0" w:color="auto"/>
            </w:tcBorders>
            <w:vAlign w:val="center"/>
          </w:tcPr>
          <w:p w14:paraId="39C3EFD9"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2 067</w:t>
            </w:r>
          </w:p>
        </w:tc>
        <w:tc>
          <w:tcPr>
            <w:tcW w:w="838" w:type="dxa"/>
            <w:tcBorders>
              <w:top w:val="single" w:sz="6" w:space="0" w:color="auto"/>
              <w:left w:val="single" w:sz="6" w:space="0" w:color="auto"/>
              <w:bottom w:val="single" w:sz="6" w:space="0" w:color="auto"/>
              <w:right w:val="single" w:sz="6" w:space="0" w:color="auto"/>
            </w:tcBorders>
            <w:vAlign w:val="center"/>
          </w:tcPr>
          <w:p w14:paraId="2CD53964"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1 044</w:t>
            </w:r>
          </w:p>
        </w:tc>
        <w:tc>
          <w:tcPr>
            <w:tcW w:w="855" w:type="dxa"/>
            <w:tcBorders>
              <w:top w:val="single" w:sz="6" w:space="0" w:color="auto"/>
              <w:left w:val="single" w:sz="6" w:space="0" w:color="auto"/>
              <w:bottom w:val="single" w:sz="6" w:space="0" w:color="auto"/>
              <w:right w:val="single" w:sz="6" w:space="0" w:color="auto"/>
            </w:tcBorders>
            <w:vAlign w:val="center"/>
          </w:tcPr>
          <w:p w14:paraId="0B0777D7" w14:textId="3E42CC6B"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5 110</w:t>
            </w:r>
          </w:p>
        </w:tc>
        <w:tc>
          <w:tcPr>
            <w:tcW w:w="850" w:type="dxa"/>
            <w:tcBorders>
              <w:top w:val="single" w:sz="6" w:space="0" w:color="auto"/>
              <w:left w:val="single" w:sz="6" w:space="0" w:color="auto"/>
              <w:bottom w:val="single" w:sz="6" w:space="0" w:color="auto"/>
              <w:right w:val="single" w:sz="6" w:space="0" w:color="auto"/>
            </w:tcBorders>
            <w:vAlign w:val="center"/>
          </w:tcPr>
          <w:p w14:paraId="388D23A9"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3 101</w:t>
            </w:r>
          </w:p>
        </w:tc>
      </w:tr>
      <w:tr w:rsidR="00371545" w:rsidRPr="003954D9" w14:paraId="79BCC382"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5794B720" w14:textId="77777777"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950" w:type="dxa"/>
            <w:tcBorders>
              <w:top w:val="single" w:sz="6" w:space="0" w:color="auto"/>
              <w:left w:val="single" w:sz="6" w:space="0" w:color="auto"/>
              <w:bottom w:val="single" w:sz="6" w:space="0" w:color="auto"/>
              <w:right w:val="single" w:sz="6" w:space="0" w:color="auto"/>
            </w:tcBorders>
            <w:vAlign w:val="center"/>
          </w:tcPr>
          <w:p w14:paraId="7F422C99"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7 494</w:t>
            </w:r>
          </w:p>
        </w:tc>
        <w:tc>
          <w:tcPr>
            <w:tcW w:w="821" w:type="dxa"/>
            <w:tcBorders>
              <w:top w:val="single" w:sz="6" w:space="0" w:color="auto"/>
              <w:left w:val="single" w:sz="6" w:space="0" w:color="auto"/>
              <w:bottom w:val="single" w:sz="6" w:space="0" w:color="auto"/>
              <w:right w:val="single" w:sz="6" w:space="0" w:color="auto"/>
            </w:tcBorders>
            <w:vAlign w:val="center"/>
          </w:tcPr>
          <w:p w14:paraId="28B5F1F4" w14:textId="77777777" w:rsidR="00371545" w:rsidRPr="003954D9" w:rsidRDefault="0037154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5 707</w:t>
            </w:r>
          </w:p>
        </w:tc>
        <w:tc>
          <w:tcPr>
            <w:tcW w:w="742" w:type="dxa"/>
            <w:tcBorders>
              <w:top w:val="single" w:sz="6" w:space="0" w:color="auto"/>
              <w:left w:val="single" w:sz="6" w:space="0" w:color="auto"/>
              <w:bottom w:val="single" w:sz="6" w:space="0" w:color="auto"/>
              <w:right w:val="single" w:sz="6" w:space="0" w:color="auto"/>
            </w:tcBorders>
            <w:vAlign w:val="center"/>
          </w:tcPr>
          <w:p w14:paraId="670FE798"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2 496</w:t>
            </w:r>
          </w:p>
        </w:tc>
        <w:tc>
          <w:tcPr>
            <w:tcW w:w="738" w:type="dxa"/>
            <w:tcBorders>
              <w:top w:val="single" w:sz="6" w:space="0" w:color="auto"/>
              <w:left w:val="single" w:sz="6" w:space="0" w:color="auto"/>
              <w:bottom w:val="single" w:sz="6" w:space="0" w:color="auto"/>
              <w:right w:val="single" w:sz="6" w:space="0" w:color="auto"/>
            </w:tcBorders>
            <w:vAlign w:val="center"/>
          </w:tcPr>
          <w:p w14:paraId="683496C5"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10 044</w:t>
            </w:r>
          </w:p>
        </w:tc>
        <w:tc>
          <w:tcPr>
            <w:tcW w:w="709" w:type="dxa"/>
            <w:tcBorders>
              <w:top w:val="single" w:sz="6" w:space="0" w:color="auto"/>
              <w:left w:val="single" w:sz="6" w:space="0" w:color="auto"/>
              <w:bottom w:val="single" w:sz="6" w:space="0" w:color="auto"/>
              <w:right w:val="single" w:sz="6" w:space="0" w:color="auto"/>
            </w:tcBorders>
            <w:vAlign w:val="center"/>
          </w:tcPr>
          <w:p w14:paraId="4488FAA1"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8 261</w:t>
            </w:r>
          </w:p>
        </w:tc>
        <w:tc>
          <w:tcPr>
            <w:tcW w:w="855" w:type="dxa"/>
            <w:tcBorders>
              <w:top w:val="single" w:sz="6" w:space="0" w:color="auto"/>
              <w:left w:val="single" w:sz="6" w:space="0" w:color="auto"/>
              <w:bottom w:val="single" w:sz="6" w:space="0" w:color="auto"/>
              <w:right w:val="single" w:sz="6" w:space="0" w:color="auto"/>
            </w:tcBorders>
            <w:vAlign w:val="center"/>
          </w:tcPr>
          <w:p w14:paraId="5603BE04"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6 369</w:t>
            </w:r>
          </w:p>
        </w:tc>
        <w:tc>
          <w:tcPr>
            <w:tcW w:w="854" w:type="dxa"/>
            <w:tcBorders>
              <w:top w:val="single" w:sz="6" w:space="0" w:color="auto"/>
              <w:left w:val="single" w:sz="6" w:space="0" w:color="auto"/>
              <w:bottom w:val="single" w:sz="6" w:space="0" w:color="auto"/>
              <w:right w:val="single" w:sz="6" w:space="0" w:color="auto"/>
            </w:tcBorders>
            <w:vAlign w:val="center"/>
          </w:tcPr>
          <w:p w14:paraId="689D7CE3"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4 882</w:t>
            </w:r>
          </w:p>
        </w:tc>
        <w:tc>
          <w:tcPr>
            <w:tcW w:w="838" w:type="dxa"/>
            <w:tcBorders>
              <w:top w:val="single" w:sz="6" w:space="0" w:color="auto"/>
              <w:left w:val="single" w:sz="6" w:space="0" w:color="auto"/>
              <w:bottom w:val="single" w:sz="6" w:space="0" w:color="auto"/>
              <w:right w:val="single" w:sz="6" w:space="0" w:color="auto"/>
            </w:tcBorders>
            <w:vAlign w:val="center"/>
          </w:tcPr>
          <w:p w14:paraId="7CCCFDB5"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3 010</w:t>
            </w:r>
          </w:p>
        </w:tc>
        <w:tc>
          <w:tcPr>
            <w:tcW w:w="855" w:type="dxa"/>
            <w:tcBorders>
              <w:top w:val="single" w:sz="6" w:space="0" w:color="auto"/>
              <w:left w:val="single" w:sz="6" w:space="0" w:color="auto"/>
              <w:bottom w:val="single" w:sz="6" w:space="0" w:color="auto"/>
              <w:right w:val="single" w:sz="6" w:space="0" w:color="auto"/>
            </w:tcBorders>
            <w:vAlign w:val="center"/>
          </w:tcPr>
          <w:p w14:paraId="5F2E0283" w14:textId="23CAAE9A"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7 273</w:t>
            </w:r>
          </w:p>
        </w:tc>
        <w:tc>
          <w:tcPr>
            <w:tcW w:w="850" w:type="dxa"/>
            <w:tcBorders>
              <w:top w:val="single" w:sz="6" w:space="0" w:color="auto"/>
              <w:left w:val="single" w:sz="6" w:space="0" w:color="auto"/>
              <w:bottom w:val="single" w:sz="6" w:space="0" w:color="auto"/>
              <w:right w:val="single" w:sz="6" w:space="0" w:color="auto"/>
            </w:tcBorders>
            <w:vAlign w:val="center"/>
          </w:tcPr>
          <w:p w14:paraId="03233BE0"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7 026</w:t>
            </w:r>
          </w:p>
        </w:tc>
      </w:tr>
      <w:tr w:rsidR="00371545" w:rsidRPr="003954D9" w14:paraId="7C961E59"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59A548D7" w14:textId="77777777"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50" w:type="dxa"/>
            <w:tcBorders>
              <w:top w:val="single" w:sz="6" w:space="0" w:color="auto"/>
              <w:left w:val="single" w:sz="6" w:space="0" w:color="auto"/>
              <w:bottom w:val="single" w:sz="6" w:space="0" w:color="auto"/>
              <w:right w:val="single" w:sz="6" w:space="0" w:color="auto"/>
            </w:tcBorders>
            <w:vAlign w:val="center"/>
          </w:tcPr>
          <w:p w14:paraId="34E83F31" w14:textId="77777777" w:rsidR="00371545" w:rsidRPr="003954D9" w:rsidRDefault="0037154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7 743</w:t>
            </w:r>
          </w:p>
        </w:tc>
        <w:tc>
          <w:tcPr>
            <w:tcW w:w="821" w:type="dxa"/>
            <w:tcBorders>
              <w:top w:val="single" w:sz="6" w:space="0" w:color="auto"/>
              <w:left w:val="single" w:sz="6" w:space="0" w:color="auto"/>
              <w:bottom w:val="single" w:sz="6" w:space="0" w:color="auto"/>
              <w:right w:val="single" w:sz="6" w:space="0" w:color="auto"/>
            </w:tcBorders>
            <w:vAlign w:val="center"/>
          </w:tcPr>
          <w:p w14:paraId="4CCD0188"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3 903</w:t>
            </w:r>
          </w:p>
        </w:tc>
        <w:tc>
          <w:tcPr>
            <w:tcW w:w="742" w:type="dxa"/>
            <w:tcBorders>
              <w:top w:val="single" w:sz="6" w:space="0" w:color="auto"/>
              <w:left w:val="single" w:sz="6" w:space="0" w:color="auto"/>
              <w:bottom w:val="single" w:sz="6" w:space="0" w:color="auto"/>
              <w:right w:val="single" w:sz="6" w:space="0" w:color="auto"/>
            </w:tcBorders>
            <w:vAlign w:val="center"/>
          </w:tcPr>
          <w:p w14:paraId="6FC0AA3A"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2 239</w:t>
            </w:r>
          </w:p>
        </w:tc>
        <w:tc>
          <w:tcPr>
            <w:tcW w:w="738" w:type="dxa"/>
            <w:tcBorders>
              <w:top w:val="single" w:sz="6" w:space="0" w:color="auto"/>
              <w:left w:val="single" w:sz="6" w:space="0" w:color="auto"/>
              <w:bottom w:val="single" w:sz="6" w:space="0" w:color="auto"/>
              <w:right w:val="single" w:sz="6" w:space="0" w:color="auto"/>
            </w:tcBorders>
            <w:vAlign w:val="center"/>
          </w:tcPr>
          <w:p w14:paraId="4D4F5B85"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9 905</w:t>
            </w:r>
          </w:p>
        </w:tc>
        <w:tc>
          <w:tcPr>
            <w:tcW w:w="709" w:type="dxa"/>
            <w:tcBorders>
              <w:top w:val="single" w:sz="6" w:space="0" w:color="auto"/>
              <w:left w:val="single" w:sz="6" w:space="0" w:color="auto"/>
              <w:bottom w:val="single" w:sz="6" w:space="0" w:color="auto"/>
              <w:right w:val="single" w:sz="6" w:space="0" w:color="auto"/>
            </w:tcBorders>
            <w:vAlign w:val="center"/>
          </w:tcPr>
          <w:p w14:paraId="7876DF3F"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6 943</w:t>
            </w:r>
          </w:p>
        </w:tc>
        <w:tc>
          <w:tcPr>
            <w:tcW w:w="855" w:type="dxa"/>
            <w:tcBorders>
              <w:top w:val="single" w:sz="6" w:space="0" w:color="auto"/>
              <w:left w:val="single" w:sz="6" w:space="0" w:color="auto"/>
              <w:bottom w:val="single" w:sz="6" w:space="0" w:color="auto"/>
              <w:right w:val="single" w:sz="6" w:space="0" w:color="auto"/>
            </w:tcBorders>
            <w:vAlign w:val="center"/>
          </w:tcPr>
          <w:p w14:paraId="035F5D3D"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5 416</w:t>
            </w:r>
          </w:p>
        </w:tc>
        <w:tc>
          <w:tcPr>
            <w:tcW w:w="854" w:type="dxa"/>
            <w:tcBorders>
              <w:top w:val="single" w:sz="6" w:space="0" w:color="auto"/>
              <w:left w:val="single" w:sz="6" w:space="0" w:color="auto"/>
              <w:bottom w:val="single" w:sz="6" w:space="0" w:color="auto"/>
              <w:right w:val="single" w:sz="6" w:space="0" w:color="auto"/>
            </w:tcBorders>
            <w:vAlign w:val="center"/>
          </w:tcPr>
          <w:p w14:paraId="7C88AF9E"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5 481</w:t>
            </w:r>
          </w:p>
        </w:tc>
        <w:tc>
          <w:tcPr>
            <w:tcW w:w="838" w:type="dxa"/>
            <w:tcBorders>
              <w:top w:val="single" w:sz="6" w:space="0" w:color="auto"/>
              <w:left w:val="single" w:sz="6" w:space="0" w:color="auto"/>
              <w:bottom w:val="single" w:sz="6" w:space="0" w:color="auto"/>
              <w:right w:val="single" w:sz="6" w:space="0" w:color="auto"/>
            </w:tcBorders>
            <w:vAlign w:val="center"/>
          </w:tcPr>
          <w:p w14:paraId="22C64506"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2 286</w:t>
            </w:r>
          </w:p>
        </w:tc>
        <w:tc>
          <w:tcPr>
            <w:tcW w:w="855" w:type="dxa"/>
            <w:tcBorders>
              <w:top w:val="single" w:sz="6" w:space="0" w:color="auto"/>
              <w:left w:val="single" w:sz="6" w:space="0" w:color="auto"/>
              <w:bottom w:val="single" w:sz="6" w:space="0" w:color="auto"/>
              <w:right w:val="single" w:sz="6" w:space="0" w:color="auto"/>
            </w:tcBorders>
            <w:vAlign w:val="center"/>
          </w:tcPr>
          <w:p w14:paraId="2B52BE23" w14:textId="5AB9AACB"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7 243</w:t>
            </w:r>
          </w:p>
        </w:tc>
        <w:tc>
          <w:tcPr>
            <w:tcW w:w="850" w:type="dxa"/>
            <w:tcBorders>
              <w:top w:val="single" w:sz="6" w:space="0" w:color="auto"/>
              <w:left w:val="single" w:sz="6" w:space="0" w:color="auto"/>
              <w:bottom w:val="single" w:sz="6" w:space="0" w:color="auto"/>
              <w:right w:val="single" w:sz="6" w:space="0" w:color="auto"/>
            </w:tcBorders>
            <w:vAlign w:val="center"/>
          </w:tcPr>
          <w:p w14:paraId="20551F15"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5 889</w:t>
            </w:r>
          </w:p>
        </w:tc>
      </w:tr>
      <w:tr w:rsidR="00371545" w:rsidRPr="003954D9" w14:paraId="5887DD8A"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2617459A" w14:textId="77777777"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950" w:type="dxa"/>
            <w:tcBorders>
              <w:top w:val="single" w:sz="6" w:space="0" w:color="auto"/>
              <w:left w:val="single" w:sz="6" w:space="0" w:color="auto"/>
              <w:bottom w:val="single" w:sz="6" w:space="0" w:color="auto"/>
              <w:right w:val="single" w:sz="6" w:space="0" w:color="auto"/>
            </w:tcBorders>
            <w:vAlign w:val="center"/>
          </w:tcPr>
          <w:p w14:paraId="65D5F5CA"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4 476</w:t>
            </w:r>
          </w:p>
        </w:tc>
        <w:tc>
          <w:tcPr>
            <w:tcW w:w="821" w:type="dxa"/>
            <w:tcBorders>
              <w:top w:val="single" w:sz="6" w:space="0" w:color="auto"/>
              <w:left w:val="single" w:sz="6" w:space="0" w:color="auto"/>
              <w:bottom w:val="single" w:sz="6" w:space="0" w:color="auto"/>
              <w:right w:val="single" w:sz="6" w:space="0" w:color="auto"/>
            </w:tcBorders>
            <w:vAlign w:val="center"/>
          </w:tcPr>
          <w:p w14:paraId="5C434636"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2 485</w:t>
            </w:r>
          </w:p>
        </w:tc>
        <w:tc>
          <w:tcPr>
            <w:tcW w:w="742" w:type="dxa"/>
            <w:tcBorders>
              <w:top w:val="single" w:sz="6" w:space="0" w:color="auto"/>
              <w:left w:val="single" w:sz="6" w:space="0" w:color="auto"/>
              <w:bottom w:val="single" w:sz="6" w:space="0" w:color="auto"/>
              <w:right w:val="single" w:sz="6" w:space="0" w:color="auto"/>
            </w:tcBorders>
            <w:vAlign w:val="center"/>
          </w:tcPr>
          <w:p w14:paraId="1BE95AD0"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937</w:t>
            </w:r>
          </w:p>
        </w:tc>
        <w:tc>
          <w:tcPr>
            <w:tcW w:w="738" w:type="dxa"/>
            <w:tcBorders>
              <w:top w:val="single" w:sz="6" w:space="0" w:color="auto"/>
              <w:left w:val="single" w:sz="6" w:space="0" w:color="auto"/>
              <w:bottom w:val="single" w:sz="6" w:space="0" w:color="auto"/>
              <w:right w:val="single" w:sz="6" w:space="0" w:color="auto"/>
            </w:tcBorders>
            <w:vAlign w:val="center"/>
          </w:tcPr>
          <w:p w14:paraId="624DA531"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5 678</w:t>
            </w:r>
          </w:p>
        </w:tc>
        <w:tc>
          <w:tcPr>
            <w:tcW w:w="709" w:type="dxa"/>
            <w:tcBorders>
              <w:top w:val="single" w:sz="6" w:space="0" w:color="auto"/>
              <w:left w:val="single" w:sz="6" w:space="0" w:color="auto"/>
              <w:bottom w:val="single" w:sz="6" w:space="0" w:color="auto"/>
              <w:right w:val="single" w:sz="6" w:space="0" w:color="auto"/>
            </w:tcBorders>
            <w:vAlign w:val="center"/>
          </w:tcPr>
          <w:p w14:paraId="57C73B84"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3 613</w:t>
            </w:r>
          </w:p>
        </w:tc>
        <w:tc>
          <w:tcPr>
            <w:tcW w:w="855" w:type="dxa"/>
            <w:tcBorders>
              <w:top w:val="single" w:sz="6" w:space="0" w:color="auto"/>
              <w:left w:val="single" w:sz="6" w:space="0" w:color="auto"/>
              <w:bottom w:val="single" w:sz="6" w:space="0" w:color="auto"/>
              <w:right w:val="single" w:sz="6" w:space="0" w:color="auto"/>
            </w:tcBorders>
            <w:vAlign w:val="center"/>
          </w:tcPr>
          <w:p w14:paraId="11431451" w14:textId="77777777" w:rsidR="00371545" w:rsidRPr="003954D9" w:rsidRDefault="0037154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2 723</w:t>
            </w:r>
          </w:p>
        </w:tc>
        <w:tc>
          <w:tcPr>
            <w:tcW w:w="854" w:type="dxa"/>
            <w:tcBorders>
              <w:top w:val="single" w:sz="6" w:space="0" w:color="auto"/>
              <w:left w:val="single" w:sz="6" w:space="0" w:color="auto"/>
              <w:bottom w:val="single" w:sz="6" w:space="0" w:color="auto"/>
              <w:right w:val="single" w:sz="6" w:space="0" w:color="auto"/>
            </w:tcBorders>
            <w:vAlign w:val="center"/>
          </w:tcPr>
          <w:p w14:paraId="556F2757"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2 063</w:t>
            </w:r>
          </w:p>
        </w:tc>
        <w:tc>
          <w:tcPr>
            <w:tcW w:w="838" w:type="dxa"/>
            <w:tcBorders>
              <w:top w:val="single" w:sz="6" w:space="0" w:color="auto"/>
              <w:left w:val="single" w:sz="6" w:space="0" w:color="auto"/>
              <w:bottom w:val="single" w:sz="6" w:space="0" w:color="auto"/>
              <w:right w:val="single" w:sz="6" w:space="0" w:color="auto"/>
            </w:tcBorders>
            <w:vAlign w:val="center"/>
          </w:tcPr>
          <w:p w14:paraId="24450C20" w14:textId="77777777" w:rsidR="00371545" w:rsidRPr="003954D9" w:rsidRDefault="0037154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1 015</w:t>
            </w:r>
          </w:p>
        </w:tc>
        <w:tc>
          <w:tcPr>
            <w:tcW w:w="855" w:type="dxa"/>
            <w:tcBorders>
              <w:top w:val="single" w:sz="6" w:space="0" w:color="auto"/>
              <w:left w:val="single" w:sz="6" w:space="0" w:color="auto"/>
              <w:bottom w:val="single" w:sz="6" w:space="0" w:color="auto"/>
              <w:right w:val="single" w:sz="6" w:space="0" w:color="auto"/>
            </w:tcBorders>
            <w:vAlign w:val="center"/>
          </w:tcPr>
          <w:p w14:paraId="07EEE119" w14:textId="0DA371AA" w:rsidR="00371545" w:rsidRPr="003954D9" w:rsidRDefault="0037154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4 410</w:t>
            </w:r>
          </w:p>
        </w:tc>
        <w:tc>
          <w:tcPr>
            <w:tcW w:w="850" w:type="dxa"/>
            <w:tcBorders>
              <w:top w:val="single" w:sz="6" w:space="0" w:color="auto"/>
              <w:left w:val="single" w:sz="6" w:space="0" w:color="auto"/>
              <w:bottom w:val="single" w:sz="6" w:space="0" w:color="auto"/>
              <w:right w:val="single" w:sz="6" w:space="0" w:color="auto"/>
            </w:tcBorders>
            <w:vAlign w:val="center"/>
          </w:tcPr>
          <w:p w14:paraId="723E3BC5" w14:textId="77777777" w:rsidR="00371545" w:rsidRPr="003954D9" w:rsidRDefault="0037154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2 924</w:t>
            </w:r>
          </w:p>
        </w:tc>
      </w:tr>
      <w:tr w:rsidR="00371545" w:rsidRPr="003954D9" w14:paraId="35C99663"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6F4AE367" w14:textId="77777777" w:rsidR="00371545" w:rsidRPr="003954D9" w:rsidRDefault="0037154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Alla</w:t>
            </w:r>
          </w:p>
        </w:tc>
        <w:tc>
          <w:tcPr>
            <w:tcW w:w="950" w:type="dxa"/>
            <w:tcBorders>
              <w:top w:val="single" w:sz="6" w:space="0" w:color="auto"/>
              <w:left w:val="single" w:sz="6" w:space="0" w:color="auto"/>
              <w:bottom w:val="single" w:sz="6" w:space="0" w:color="auto"/>
              <w:right w:val="single" w:sz="6" w:space="0" w:color="auto"/>
            </w:tcBorders>
            <w:vAlign w:val="center"/>
          </w:tcPr>
          <w:p w14:paraId="2702D251" w14:textId="77777777" w:rsidR="00371545" w:rsidRPr="003954D9" w:rsidRDefault="00371545">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5 981</w:t>
            </w:r>
          </w:p>
        </w:tc>
        <w:tc>
          <w:tcPr>
            <w:tcW w:w="821" w:type="dxa"/>
            <w:tcBorders>
              <w:top w:val="single" w:sz="6" w:space="0" w:color="auto"/>
              <w:left w:val="single" w:sz="6" w:space="0" w:color="auto"/>
              <w:bottom w:val="single" w:sz="6" w:space="0" w:color="auto"/>
              <w:right w:val="single" w:sz="6" w:space="0" w:color="auto"/>
            </w:tcBorders>
            <w:vAlign w:val="center"/>
          </w:tcPr>
          <w:p w14:paraId="324B367B" w14:textId="77777777" w:rsidR="00371545" w:rsidRPr="003954D9" w:rsidRDefault="00371545">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3 722</w:t>
            </w:r>
          </w:p>
        </w:tc>
        <w:tc>
          <w:tcPr>
            <w:tcW w:w="742" w:type="dxa"/>
            <w:tcBorders>
              <w:top w:val="single" w:sz="6" w:space="0" w:color="auto"/>
              <w:left w:val="single" w:sz="6" w:space="0" w:color="auto"/>
              <w:bottom w:val="single" w:sz="6" w:space="0" w:color="auto"/>
              <w:right w:val="single" w:sz="6" w:space="0" w:color="auto"/>
            </w:tcBorders>
            <w:vAlign w:val="center"/>
          </w:tcPr>
          <w:p w14:paraId="0A75EA59" w14:textId="77777777" w:rsidR="00371545" w:rsidRPr="003954D9" w:rsidRDefault="00371545">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1 382</w:t>
            </w:r>
          </w:p>
        </w:tc>
        <w:tc>
          <w:tcPr>
            <w:tcW w:w="738" w:type="dxa"/>
            <w:tcBorders>
              <w:top w:val="single" w:sz="6" w:space="0" w:color="auto"/>
              <w:left w:val="single" w:sz="6" w:space="0" w:color="auto"/>
              <w:bottom w:val="single" w:sz="6" w:space="0" w:color="auto"/>
              <w:right w:val="single" w:sz="6" w:space="0" w:color="auto"/>
            </w:tcBorders>
            <w:vAlign w:val="center"/>
          </w:tcPr>
          <w:p w14:paraId="68AC0DC1" w14:textId="77777777" w:rsidR="00371545" w:rsidRPr="003954D9" w:rsidRDefault="00371545">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7 873</w:t>
            </w:r>
          </w:p>
        </w:tc>
        <w:tc>
          <w:tcPr>
            <w:tcW w:w="709" w:type="dxa"/>
            <w:tcBorders>
              <w:top w:val="single" w:sz="6" w:space="0" w:color="auto"/>
              <w:left w:val="single" w:sz="6" w:space="0" w:color="auto"/>
              <w:bottom w:val="single" w:sz="6" w:space="0" w:color="auto"/>
              <w:right w:val="single" w:sz="6" w:space="0" w:color="auto"/>
            </w:tcBorders>
            <w:vAlign w:val="center"/>
          </w:tcPr>
          <w:p w14:paraId="2B989283" w14:textId="77777777" w:rsidR="00371545" w:rsidRPr="003954D9" w:rsidRDefault="00371545">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5 870</w:t>
            </w:r>
          </w:p>
        </w:tc>
        <w:tc>
          <w:tcPr>
            <w:tcW w:w="855" w:type="dxa"/>
            <w:tcBorders>
              <w:top w:val="single" w:sz="6" w:space="0" w:color="auto"/>
              <w:left w:val="single" w:sz="6" w:space="0" w:color="auto"/>
              <w:bottom w:val="single" w:sz="6" w:space="0" w:color="auto"/>
              <w:right w:val="single" w:sz="6" w:space="0" w:color="auto"/>
            </w:tcBorders>
            <w:vAlign w:val="center"/>
          </w:tcPr>
          <w:p w14:paraId="17396690" w14:textId="77777777" w:rsidR="00371545" w:rsidRPr="003954D9" w:rsidRDefault="00371545">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4 360</w:t>
            </w:r>
          </w:p>
        </w:tc>
        <w:tc>
          <w:tcPr>
            <w:tcW w:w="854" w:type="dxa"/>
            <w:tcBorders>
              <w:top w:val="single" w:sz="6" w:space="0" w:color="auto"/>
              <w:left w:val="single" w:sz="6" w:space="0" w:color="auto"/>
              <w:bottom w:val="single" w:sz="6" w:space="0" w:color="auto"/>
              <w:right w:val="single" w:sz="6" w:space="0" w:color="auto"/>
            </w:tcBorders>
            <w:vAlign w:val="center"/>
          </w:tcPr>
          <w:p w14:paraId="102053EB" w14:textId="77777777" w:rsidR="00371545" w:rsidRPr="003954D9" w:rsidRDefault="00371545">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2 958</w:t>
            </w:r>
          </w:p>
        </w:tc>
        <w:tc>
          <w:tcPr>
            <w:tcW w:w="838" w:type="dxa"/>
            <w:tcBorders>
              <w:top w:val="single" w:sz="6" w:space="0" w:color="auto"/>
              <w:left w:val="single" w:sz="6" w:space="0" w:color="auto"/>
              <w:bottom w:val="single" w:sz="6" w:space="0" w:color="auto"/>
              <w:right w:val="single" w:sz="6" w:space="0" w:color="auto"/>
            </w:tcBorders>
            <w:vAlign w:val="center"/>
          </w:tcPr>
          <w:p w14:paraId="43401B4A" w14:textId="77777777" w:rsidR="00371545" w:rsidRPr="003954D9" w:rsidRDefault="00371545">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1 351</w:t>
            </w:r>
          </w:p>
        </w:tc>
        <w:tc>
          <w:tcPr>
            <w:tcW w:w="855" w:type="dxa"/>
            <w:tcBorders>
              <w:top w:val="single" w:sz="6" w:space="0" w:color="auto"/>
              <w:left w:val="single" w:sz="6" w:space="0" w:color="auto"/>
              <w:bottom w:val="single" w:sz="6" w:space="0" w:color="auto"/>
              <w:right w:val="single" w:sz="6" w:space="0" w:color="auto"/>
            </w:tcBorders>
            <w:vAlign w:val="center"/>
          </w:tcPr>
          <w:p w14:paraId="0D63B336" w14:textId="50716C55" w:rsidR="00371545" w:rsidRPr="003954D9" w:rsidRDefault="00371545">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5 878</w:t>
            </w:r>
          </w:p>
        </w:tc>
        <w:tc>
          <w:tcPr>
            <w:tcW w:w="850" w:type="dxa"/>
            <w:tcBorders>
              <w:top w:val="single" w:sz="6" w:space="0" w:color="auto"/>
              <w:left w:val="single" w:sz="6" w:space="0" w:color="auto"/>
              <w:bottom w:val="single" w:sz="6" w:space="0" w:color="auto"/>
              <w:right w:val="single" w:sz="6" w:space="0" w:color="auto"/>
            </w:tcBorders>
            <w:vAlign w:val="center"/>
          </w:tcPr>
          <w:p w14:paraId="44DEE37A" w14:textId="77777777" w:rsidR="00371545" w:rsidRPr="003954D9" w:rsidRDefault="00371545">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3 793</w:t>
            </w:r>
          </w:p>
        </w:tc>
      </w:tr>
      <w:tr w:rsidR="00BF0887" w:rsidRPr="003954D9" w14:paraId="38BA71C1" w14:textId="77777777" w:rsidTr="00371545">
        <w:trPr>
          <w:trHeight w:val="227"/>
        </w:trPr>
        <w:tc>
          <w:tcPr>
            <w:tcW w:w="1032" w:type="dxa"/>
            <w:tcBorders>
              <w:top w:val="single" w:sz="6" w:space="0" w:color="auto"/>
              <w:left w:val="single" w:sz="6" w:space="0" w:color="auto"/>
              <w:bottom w:val="single" w:sz="6" w:space="0" w:color="auto"/>
              <w:right w:val="single" w:sz="6" w:space="0" w:color="auto"/>
            </w:tcBorders>
          </w:tcPr>
          <w:p w14:paraId="7D3E9580" w14:textId="47D23994" w:rsidR="00BF0887" w:rsidRPr="003954D9" w:rsidRDefault="00057FF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Spännvidd</w:t>
            </w:r>
          </w:p>
        </w:tc>
        <w:tc>
          <w:tcPr>
            <w:tcW w:w="950" w:type="dxa"/>
            <w:tcBorders>
              <w:top w:val="single" w:sz="6" w:space="0" w:color="auto"/>
              <w:left w:val="single" w:sz="6" w:space="0" w:color="auto"/>
              <w:bottom w:val="single" w:sz="6" w:space="0" w:color="auto"/>
              <w:right w:val="single" w:sz="6" w:space="0" w:color="auto"/>
            </w:tcBorders>
            <w:vAlign w:val="center"/>
          </w:tcPr>
          <w:p w14:paraId="64FA53F9" w14:textId="66F7D03C" w:rsidR="00BF0887" w:rsidRPr="003954D9" w:rsidRDefault="00057FF9">
            <w:pPr>
              <w:autoSpaceDE w:val="0"/>
              <w:autoSpaceDN w:val="0"/>
              <w:adjustRightInd w:val="0"/>
              <w:jc w:val="right"/>
              <w:rPr>
                <w:rFonts w:ascii="Calibri" w:hAnsi="Calibri" w:cs="Calibri"/>
                <w:bCs/>
                <w:color w:val="000000"/>
                <w:sz w:val="16"/>
                <w:szCs w:val="16"/>
              </w:rPr>
            </w:pPr>
            <w:r w:rsidRPr="003954D9">
              <w:rPr>
                <w:rFonts w:ascii="Calibri" w:hAnsi="Calibri" w:cs="Calibri"/>
                <w:bCs/>
                <w:color w:val="000000"/>
                <w:sz w:val="16"/>
                <w:szCs w:val="16"/>
              </w:rPr>
              <w:t>4 026</w:t>
            </w:r>
          </w:p>
        </w:tc>
        <w:tc>
          <w:tcPr>
            <w:tcW w:w="821" w:type="dxa"/>
            <w:tcBorders>
              <w:top w:val="single" w:sz="6" w:space="0" w:color="auto"/>
              <w:left w:val="single" w:sz="6" w:space="0" w:color="auto"/>
              <w:bottom w:val="single" w:sz="6" w:space="0" w:color="auto"/>
              <w:right w:val="single" w:sz="6" w:space="0" w:color="auto"/>
            </w:tcBorders>
            <w:vAlign w:val="center"/>
          </w:tcPr>
          <w:p w14:paraId="727456B0" w14:textId="4BFC7619" w:rsidR="00BF0887" w:rsidRPr="003954D9" w:rsidRDefault="00057FF9">
            <w:pPr>
              <w:autoSpaceDE w:val="0"/>
              <w:autoSpaceDN w:val="0"/>
              <w:adjustRightInd w:val="0"/>
              <w:jc w:val="right"/>
              <w:rPr>
                <w:rFonts w:ascii="Calibri" w:hAnsi="Calibri" w:cs="Calibri"/>
                <w:bCs/>
                <w:color w:val="000000"/>
                <w:sz w:val="16"/>
                <w:szCs w:val="16"/>
              </w:rPr>
            </w:pPr>
            <w:r w:rsidRPr="003954D9">
              <w:rPr>
                <w:rFonts w:ascii="Calibri" w:hAnsi="Calibri" w:cs="Calibri"/>
                <w:bCs/>
                <w:color w:val="000000"/>
                <w:sz w:val="16"/>
                <w:szCs w:val="16"/>
              </w:rPr>
              <w:t>3 684</w:t>
            </w:r>
          </w:p>
        </w:tc>
        <w:tc>
          <w:tcPr>
            <w:tcW w:w="742" w:type="dxa"/>
            <w:tcBorders>
              <w:top w:val="single" w:sz="6" w:space="0" w:color="auto"/>
              <w:left w:val="single" w:sz="6" w:space="0" w:color="auto"/>
              <w:bottom w:val="single" w:sz="6" w:space="0" w:color="auto"/>
              <w:right w:val="single" w:sz="6" w:space="0" w:color="auto"/>
            </w:tcBorders>
            <w:vAlign w:val="center"/>
          </w:tcPr>
          <w:p w14:paraId="742E98F8" w14:textId="2F4B70EE" w:rsidR="00BF0887" w:rsidRPr="003954D9" w:rsidRDefault="00BF0887">
            <w:pPr>
              <w:autoSpaceDE w:val="0"/>
              <w:autoSpaceDN w:val="0"/>
              <w:adjustRightInd w:val="0"/>
              <w:jc w:val="right"/>
              <w:rPr>
                <w:rFonts w:ascii="Calibri" w:hAnsi="Calibri" w:cs="Calibri"/>
                <w:bCs/>
                <w:color w:val="000000"/>
                <w:sz w:val="16"/>
                <w:szCs w:val="16"/>
              </w:rPr>
            </w:pPr>
            <w:r w:rsidRPr="003954D9">
              <w:rPr>
                <w:rFonts w:ascii="Calibri" w:hAnsi="Calibri" w:cs="Calibri"/>
                <w:bCs/>
                <w:color w:val="000000"/>
                <w:sz w:val="16"/>
                <w:szCs w:val="16"/>
              </w:rPr>
              <w:t>2</w:t>
            </w:r>
            <w:r w:rsidR="00057FF9" w:rsidRPr="003954D9">
              <w:rPr>
                <w:rFonts w:ascii="Calibri" w:hAnsi="Calibri" w:cs="Calibri"/>
                <w:bCs/>
                <w:color w:val="000000"/>
                <w:sz w:val="16"/>
                <w:szCs w:val="16"/>
              </w:rPr>
              <w:t xml:space="preserve"> </w:t>
            </w:r>
            <w:r w:rsidRPr="003954D9">
              <w:rPr>
                <w:rFonts w:ascii="Calibri" w:hAnsi="Calibri" w:cs="Calibri"/>
                <w:bCs/>
                <w:color w:val="000000"/>
                <w:sz w:val="16"/>
                <w:szCs w:val="16"/>
              </w:rPr>
              <w:t>782</w:t>
            </w:r>
          </w:p>
        </w:tc>
        <w:tc>
          <w:tcPr>
            <w:tcW w:w="738" w:type="dxa"/>
            <w:tcBorders>
              <w:top w:val="single" w:sz="6" w:space="0" w:color="auto"/>
              <w:left w:val="single" w:sz="6" w:space="0" w:color="auto"/>
              <w:bottom w:val="single" w:sz="6" w:space="0" w:color="auto"/>
              <w:right w:val="single" w:sz="6" w:space="0" w:color="auto"/>
            </w:tcBorders>
            <w:vAlign w:val="center"/>
          </w:tcPr>
          <w:p w14:paraId="3AAF45D3" w14:textId="7C3817C0" w:rsidR="00BF0887" w:rsidRPr="003954D9" w:rsidRDefault="00BF0887">
            <w:pPr>
              <w:autoSpaceDE w:val="0"/>
              <w:autoSpaceDN w:val="0"/>
              <w:adjustRightInd w:val="0"/>
              <w:jc w:val="right"/>
              <w:rPr>
                <w:rFonts w:ascii="Calibri" w:hAnsi="Calibri" w:cs="Calibri"/>
                <w:bCs/>
                <w:color w:val="000000"/>
                <w:sz w:val="16"/>
                <w:szCs w:val="16"/>
              </w:rPr>
            </w:pPr>
            <w:r w:rsidRPr="003954D9">
              <w:rPr>
                <w:rFonts w:ascii="Calibri" w:hAnsi="Calibri" w:cs="Calibri"/>
                <w:bCs/>
                <w:color w:val="000000"/>
                <w:sz w:val="16"/>
                <w:szCs w:val="16"/>
              </w:rPr>
              <w:t>6</w:t>
            </w:r>
            <w:r w:rsidR="00057FF9" w:rsidRPr="003954D9">
              <w:rPr>
                <w:rFonts w:ascii="Calibri" w:hAnsi="Calibri" w:cs="Calibri"/>
                <w:bCs/>
                <w:color w:val="000000"/>
                <w:sz w:val="16"/>
                <w:szCs w:val="16"/>
              </w:rPr>
              <w:t xml:space="preserve"> </w:t>
            </w:r>
            <w:r w:rsidRPr="003954D9">
              <w:rPr>
                <w:rFonts w:ascii="Calibri" w:hAnsi="Calibri" w:cs="Calibri"/>
                <w:bCs/>
                <w:color w:val="000000"/>
                <w:sz w:val="16"/>
                <w:szCs w:val="16"/>
              </w:rPr>
              <w:t>014</w:t>
            </w:r>
          </w:p>
        </w:tc>
        <w:tc>
          <w:tcPr>
            <w:tcW w:w="709" w:type="dxa"/>
            <w:tcBorders>
              <w:top w:val="single" w:sz="6" w:space="0" w:color="auto"/>
              <w:left w:val="single" w:sz="6" w:space="0" w:color="auto"/>
              <w:bottom w:val="single" w:sz="6" w:space="0" w:color="auto"/>
              <w:right w:val="single" w:sz="6" w:space="0" w:color="auto"/>
            </w:tcBorders>
            <w:vAlign w:val="center"/>
          </w:tcPr>
          <w:p w14:paraId="7116807F" w14:textId="0EF410EC" w:rsidR="00BF0887" w:rsidRPr="003954D9" w:rsidRDefault="00BF0887">
            <w:pPr>
              <w:autoSpaceDE w:val="0"/>
              <w:autoSpaceDN w:val="0"/>
              <w:adjustRightInd w:val="0"/>
              <w:jc w:val="right"/>
              <w:rPr>
                <w:rFonts w:ascii="Calibri" w:hAnsi="Calibri" w:cs="Calibri"/>
                <w:bCs/>
                <w:color w:val="000000"/>
                <w:sz w:val="16"/>
                <w:szCs w:val="16"/>
              </w:rPr>
            </w:pPr>
            <w:r w:rsidRPr="003954D9">
              <w:rPr>
                <w:rFonts w:ascii="Calibri" w:hAnsi="Calibri" w:cs="Calibri"/>
                <w:bCs/>
                <w:color w:val="000000"/>
                <w:sz w:val="16"/>
                <w:szCs w:val="16"/>
              </w:rPr>
              <w:t>6</w:t>
            </w:r>
            <w:r w:rsidR="00057FF9" w:rsidRPr="003954D9">
              <w:rPr>
                <w:rFonts w:ascii="Calibri" w:hAnsi="Calibri" w:cs="Calibri"/>
                <w:bCs/>
                <w:color w:val="000000"/>
                <w:sz w:val="16"/>
                <w:szCs w:val="16"/>
              </w:rPr>
              <w:t xml:space="preserve"> </w:t>
            </w:r>
            <w:r w:rsidRPr="003954D9">
              <w:rPr>
                <w:rFonts w:ascii="Calibri" w:hAnsi="Calibri" w:cs="Calibri"/>
                <w:bCs/>
                <w:color w:val="000000"/>
                <w:sz w:val="16"/>
                <w:szCs w:val="16"/>
              </w:rPr>
              <w:t>912</w:t>
            </w:r>
          </w:p>
        </w:tc>
        <w:tc>
          <w:tcPr>
            <w:tcW w:w="855" w:type="dxa"/>
            <w:tcBorders>
              <w:top w:val="single" w:sz="6" w:space="0" w:color="auto"/>
              <w:left w:val="single" w:sz="6" w:space="0" w:color="auto"/>
              <w:bottom w:val="single" w:sz="6" w:space="0" w:color="auto"/>
              <w:right w:val="single" w:sz="6" w:space="0" w:color="auto"/>
            </w:tcBorders>
            <w:vAlign w:val="center"/>
          </w:tcPr>
          <w:p w14:paraId="074C87F8" w14:textId="4439DE10" w:rsidR="00BF0887" w:rsidRPr="003954D9" w:rsidRDefault="00BF0887">
            <w:pPr>
              <w:autoSpaceDE w:val="0"/>
              <w:autoSpaceDN w:val="0"/>
              <w:adjustRightInd w:val="0"/>
              <w:jc w:val="right"/>
              <w:rPr>
                <w:rFonts w:ascii="Calibri" w:hAnsi="Calibri" w:cs="Calibri"/>
                <w:bCs/>
                <w:color w:val="000000"/>
                <w:sz w:val="16"/>
                <w:szCs w:val="16"/>
              </w:rPr>
            </w:pPr>
            <w:r w:rsidRPr="003954D9">
              <w:rPr>
                <w:rFonts w:ascii="Calibri" w:hAnsi="Calibri" w:cs="Calibri"/>
                <w:bCs/>
                <w:color w:val="000000"/>
                <w:sz w:val="16"/>
                <w:szCs w:val="16"/>
              </w:rPr>
              <w:t>4</w:t>
            </w:r>
            <w:r w:rsidR="00057FF9" w:rsidRPr="003954D9">
              <w:rPr>
                <w:rFonts w:ascii="Calibri" w:hAnsi="Calibri" w:cs="Calibri"/>
                <w:bCs/>
                <w:color w:val="000000"/>
                <w:sz w:val="16"/>
                <w:szCs w:val="16"/>
              </w:rPr>
              <w:t xml:space="preserve"> </w:t>
            </w:r>
            <w:r w:rsidRPr="003954D9">
              <w:rPr>
                <w:rFonts w:ascii="Calibri" w:hAnsi="Calibri" w:cs="Calibri"/>
                <w:bCs/>
                <w:color w:val="000000"/>
                <w:sz w:val="16"/>
                <w:szCs w:val="16"/>
              </w:rPr>
              <w:t>307</w:t>
            </w:r>
          </w:p>
        </w:tc>
        <w:tc>
          <w:tcPr>
            <w:tcW w:w="854" w:type="dxa"/>
            <w:tcBorders>
              <w:top w:val="single" w:sz="6" w:space="0" w:color="auto"/>
              <w:left w:val="single" w:sz="6" w:space="0" w:color="auto"/>
              <w:bottom w:val="single" w:sz="6" w:space="0" w:color="auto"/>
              <w:right w:val="single" w:sz="6" w:space="0" w:color="auto"/>
            </w:tcBorders>
            <w:vAlign w:val="center"/>
          </w:tcPr>
          <w:p w14:paraId="1E08E414" w14:textId="7B08EBB8" w:rsidR="00BF0887" w:rsidRPr="003954D9" w:rsidRDefault="00BF0887">
            <w:pPr>
              <w:autoSpaceDE w:val="0"/>
              <w:autoSpaceDN w:val="0"/>
              <w:adjustRightInd w:val="0"/>
              <w:jc w:val="right"/>
              <w:rPr>
                <w:rFonts w:ascii="Calibri" w:hAnsi="Calibri" w:cs="Calibri"/>
                <w:bCs/>
                <w:color w:val="000000"/>
                <w:sz w:val="16"/>
                <w:szCs w:val="16"/>
              </w:rPr>
            </w:pPr>
            <w:r w:rsidRPr="003954D9">
              <w:rPr>
                <w:rFonts w:ascii="Calibri" w:hAnsi="Calibri" w:cs="Calibri"/>
                <w:bCs/>
                <w:color w:val="000000"/>
                <w:sz w:val="16"/>
                <w:szCs w:val="16"/>
              </w:rPr>
              <w:t>3</w:t>
            </w:r>
            <w:r w:rsidR="00057FF9" w:rsidRPr="003954D9">
              <w:rPr>
                <w:rFonts w:ascii="Calibri" w:hAnsi="Calibri" w:cs="Calibri"/>
                <w:bCs/>
                <w:color w:val="000000"/>
                <w:sz w:val="16"/>
                <w:szCs w:val="16"/>
              </w:rPr>
              <w:t xml:space="preserve"> </w:t>
            </w:r>
            <w:r w:rsidRPr="003954D9">
              <w:rPr>
                <w:rFonts w:ascii="Calibri" w:hAnsi="Calibri" w:cs="Calibri"/>
                <w:bCs/>
                <w:color w:val="000000"/>
                <w:sz w:val="16"/>
                <w:szCs w:val="16"/>
              </w:rPr>
              <w:t>647</w:t>
            </w:r>
          </w:p>
        </w:tc>
        <w:tc>
          <w:tcPr>
            <w:tcW w:w="838" w:type="dxa"/>
            <w:tcBorders>
              <w:top w:val="single" w:sz="6" w:space="0" w:color="auto"/>
              <w:left w:val="single" w:sz="6" w:space="0" w:color="auto"/>
              <w:bottom w:val="single" w:sz="6" w:space="0" w:color="auto"/>
              <w:right w:val="single" w:sz="6" w:space="0" w:color="auto"/>
            </w:tcBorders>
            <w:vAlign w:val="center"/>
          </w:tcPr>
          <w:p w14:paraId="56228278" w14:textId="2047DEDE" w:rsidR="00BF0887" w:rsidRPr="003954D9" w:rsidRDefault="00BF0887">
            <w:pPr>
              <w:autoSpaceDE w:val="0"/>
              <w:autoSpaceDN w:val="0"/>
              <w:adjustRightInd w:val="0"/>
              <w:jc w:val="right"/>
              <w:rPr>
                <w:rFonts w:ascii="Calibri" w:hAnsi="Calibri" w:cs="Calibri"/>
                <w:bCs/>
                <w:color w:val="000000"/>
                <w:sz w:val="16"/>
                <w:szCs w:val="16"/>
              </w:rPr>
            </w:pPr>
            <w:r w:rsidRPr="003954D9">
              <w:rPr>
                <w:rFonts w:ascii="Calibri" w:hAnsi="Calibri" w:cs="Calibri"/>
                <w:bCs/>
                <w:color w:val="000000"/>
                <w:sz w:val="16"/>
                <w:szCs w:val="16"/>
              </w:rPr>
              <w:t>2</w:t>
            </w:r>
            <w:r w:rsidR="00057FF9" w:rsidRPr="003954D9">
              <w:rPr>
                <w:rFonts w:ascii="Calibri" w:hAnsi="Calibri" w:cs="Calibri"/>
                <w:bCs/>
                <w:color w:val="000000"/>
                <w:sz w:val="16"/>
                <w:szCs w:val="16"/>
              </w:rPr>
              <w:t xml:space="preserve"> </w:t>
            </w:r>
            <w:r w:rsidRPr="003954D9">
              <w:rPr>
                <w:rFonts w:ascii="Calibri" w:hAnsi="Calibri" w:cs="Calibri"/>
                <w:bCs/>
                <w:color w:val="000000"/>
                <w:sz w:val="16"/>
                <w:szCs w:val="16"/>
              </w:rPr>
              <w:t>223</w:t>
            </w:r>
          </w:p>
        </w:tc>
        <w:tc>
          <w:tcPr>
            <w:tcW w:w="855" w:type="dxa"/>
            <w:tcBorders>
              <w:top w:val="single" w:sz="6" w:space="0" w:color="auto"/>
              <w:left w:val="single" w:sz="6" w:space="0" w:color="auto"/>
              <w:bottom w:val="single" w:sz="6" w:space="0" w:color="auto"/>
              <w:right w:val="single" w:sz="6" w:space="0" w:color="auto"/>
            </w:tcBorders>
            <w:vAlign w:val="center"/>
          </w:tcPr>
          <w:p w14:paraId="04F42012" w14:textId="003DA938" w:rsidR="00BF0887" w:rsidRPr="003954D9" w:rsidRDefault="00BF0887">
            <w:pPr>
              <w:autoSpaceDE w:val="0"/>
              <w:autoSpaceDN w:val="0"/>
              <w:adjustRightInd w:val="0"/>
              <w:jc w:val="right"/>
              <w:rPr>
                <w:rFonts w:ascii="Calibri" w:hAnsi="Calibri" w:cs="Calibri"/>
                <w:bCs/>
                <w:color w:val="000000"/>
                <w:sz w:val="16"/>
                <w:szCs w:val="16"/>
              </w:rPr>
            </w:pPr>
            <w:r w:rsidRPr="003954D9">
              <w:rPr>
                <w:rFonts w:ascii="Calibri" w:hAnsi="Calibri" w:cs="Calibri"/>
                <w:bCs/>
                <w:color w:val="000000"/>
                <w:sz w:val="16"/>
                <w:szCs w:val="16"/>
              </w:rPr>
              <w:t>4</w:t>
            </w:r>
            <w:r w:rsidR="00057FF9" w:rsidRPr="003954D9">
              <w:rPr>
                <w:rFonts w:ascii="Calibri" w:hAnsi="Calibri" w:cs="Calibri"/>
                <w:bCs/>
                <w:color w:val="000000"/>
                <w:sz w:val="16"/>
                <w:szCs w:val="16"/>
              </w:rPr>
              <w:t xml:space="preserve"> </w:t>
            </w:r>
            <w:r w:rsidRPr="003954D9">
              <w:rPr>
                <w:rFonts w:ascii="Calibri" w:hAnsi="Calibri" w:cs="Calibri"/>
                <w:bCs/>
                <w:color w:val="000000"/>
                <w:sz w:val="16"/>
                <w:szCs w:val="16"/>
              </w:rPr>
              <w:t>112</w:t>
            </w:r>
          </w:p>
        </w:tc>
        <w:tc>
          <w:tcPr>
            <w:tcW w:w="850" w:type="dxa"/>
            <w:tcBorders>
              <w:top w:val="single" w:sz="6" w:space="0" w:color="auto"/>
              <w:left w:val="single" w:sz="6" w:space="0" w:color="auto"/>
              <w:bottom w:val="single" w:sz="6" w:space="0" w:color="auto"/>
              <w:right w:val="single" w:sz="6" w:space="0" w:color="auto"/>
            </w:tcBorders>
            <w:vAlign w:val="center"/>
          </w:tcPr>
          <w:p w14:paraId="247F0A4A" w14:textId="58917028" w:rsidR="00BF0887" w:rsidRPr="003954D9" w:rsidRDefault="00BF0887">
            <w:pPr>
              <w:autoSpaceDE w:val="0"/>
              <w:autoSpaceDN w:val="0"/>
              <w:adjustRightInd w:val="0"/>
              <w:jc w:val="right"/>
              <w:rPr>
                <w:rFonts w:ascii="Calibri" w:hAnsi="Calibri" w:cs="Calibri"/>
                <w:bCs/>
                <w:color w:val="000000"/>
                <w:sz w:val="16"/>
                <w:szCs w:val="16"/>
              </w:rPr>
            </w:pPr>
            <w:r w:rsidRPr="003954D9">
              <w:rPr>
                <w:rFonts w:ascii="Calibri" w:hAnsi="Calibri" w:cs="Calibri"/>
                <w:bCs/>
                <w:color w:val="000000"/>
                <w:sz w:val="16"/>
                <w:szCs w:val="16"/>
              </w:rPr>
              <w:t>4</w:t>
            </w:r>
            <w:r w:rsidR="00057FF9" w:rsidRPr="003954D9">
              <w:rPr>
                <w:rFonts w:ascii="Calibri" w:hAnsi="Calibri" w:cs="Calibri"/>
                <w:bCs/>
                <w:color w:val="000000"/>
                <w:sz w:val="16"/>
                <w:szCs w:val="16"/>
              </w:rPr>
              <w:t xml:space="preserve"> </w:t>
            </w:r>
            <w:r w:rsidRPr="003954D9">
              <w:rPr>
                <w:rFonts w:ascii="Calibri" w:hAnsi="Calibri" w:cs="Calibri"/>
                <w:bCs/>
                <w:color w:val="000000"/>
                <w:sz w:val="16"/>
                <w:szCs w:val="16"/>
              </w:rPr>
              <w:t>242</w:t>
            </w:r>
          </w:p>
        </w:tc>
      </w:tr>
    </w:tbl>
    <w:p w14:paraId="644D12A7" w14:textId="77777777" w:rsidR="00B8252D" w:rsidRPr="003954D9" w:rsidRDefault="00B8252D" w:rsidP="00B8252D">
      <w:pPr>
        <w:rPr>
          <w:b/>
          <w:color w:val="002060"/>
          <w:sz w:val="16"/>
          <w:szCs w:val="16"/>
        </w:rPr>
      </w:pPr>
      <w:r w:rsidRPr="003954D9">
        <w:rPr>
          <w:b/>
          <w:color w:val="FF0000"/>
          <w:sz w:val="16"/>
          <w:szCs w:val="16"/>
        </w:rPr>
        <w:t>Rött = högsta värde</w:t>
      </w:r>
      <w:r w:rsidRPr="003954D9">
        <w:rPr>
          <w:b/>
          <w:color w:val="002060"/>
          <w:sz w:val="16"/>
          <w:szCs w:val="16"/>
        </w:rPr>
        <w:t xml:space="preserve"> </w:t>
      </w:r>
      <w:r w:rsidRPr="0073239D">
        <w:rPr>
          <w:b/>
          <w:color w:val="0070C0"/>
          <w:sz w:val="16"/>
          <w:szCs w:val="16"/>
        </w:rPr>
        <w:t>Blått= lägsta värde</w:t>
      </w:r>
    </w:p>
    <w:p w14:paraId="1EFEDA70" w14:textId="05EE67D4" w:rsidR="00BF22AF" w:rsidRPr="003954D9" w:rsidRDefault="00BF22AF" w:rsidP="00BF22AF"/>
    <w:p w14:paraId="785ED160" w14:textId="1566CFB3" w:rsidR="00BF22AF" w:rsidRPr="003954D9" w:rsidRDefault="00BF22AF" w:rsidP="00306924">
      <w:pPr>
        <w:pStyle w:val="Rubrik3"/>
      </w:pPr>
      <w:bookmarkStart w:id="94" w:name="_Toc463184401"/>
      <w:bookmarkStart w:id="95" w:name="_Toc464828406"/>
      <w:r w:rsidRPr="003954D9">
        <w:t xml:space="preserve">Inkomster i olika lägenhetstyper </w:t>
      </w:r>
      <w:r w:rsidR="00306924" w:rsidRPr="003954D9">
        <w:t>– hela urvalet</w:t>
      </w:r>
      <w:bookmarkEnd w:id="94"/>
      <w:bookmarkEnd w:id="95"/>
    </w:p>
    <w:p w14:paraId="78285DDD" w14:textId="1CC9E434" w:rsidR="00306924" w:rsidRPr="003954D9" w:rsidRDefault="009B3555" w:rsidP="00306924">
      <w:r w:rsidRPr="003954D9">
        <w:t xml:space="preserve">Skillnaderna i inkomst är inte lika stora bland hushållen </w:t>
      </w:r>
      <w:r w:rsidR="00306924" w:rsidRPr="003954D9">
        <w:t xml:space="preserve">i </w:t>
      </w:r>
      <w:r w:rsidRPr="003954D9">
        <w:t xml:space="preserve">de olika </w:t>
      </w:r>
      <w:r w:rsidR="00306924" w:rsidRPr="003954D9">
        <w:t>lägenhetstyper</w:t>
      </w:r>
      <w:r w:rsidRPr="003954D9">
        <w:t>na</w:t>
      </w:r>
      <w:r w:rsidR="005B78DB">
        <w:rPr>
          <w:rStyle w:val="Fotnotsreferens"/>
        </w:rPr>
        <w:footnoteReference w:id="4"/>
      </w:r>
      <w:r w:rsidR="00306924" w:rsidRPr="003954D9">
        <w:t xml:space="preserve">, som mellan </w:t>
      </w:r>
      <w:r w:rsidRPr="003954D9">
        <w:t xml:space="preserve">de olika </w:t>
      </w:r>
      <w:r w:rsidR="00306924" w:rsidRPr="003954D9">
        <w:t>hushållstyper</w:t>
      </w:r>
      <w:r w:rsidRPr="003954D9">
        <w:t>na. B</w:t>
      </w:r>
      <w:r w:rsidR="00306924" w:rsidRPr="003954D9">
        <w:t>oende i 1 r</w:t>
      </w:r>
      <w:r w:rsidR="005B78DB">
        <w:t>um och kök</w:t>
      </w:r>
      <w:r w:rsidR="00306924" w:rsidRPr="003954D9">
        <w:t xml:space="preserve"> tycks ha mest kvar </w:t>
      </w:r>
      <w:r w:rsidRPr="003954D9">
        <w:t>utöver skälig levnadsnivå</w:t>
      </w:r>
      <w:r w:rsidR="00306924" w:rsidRPr="003954D9">
        <w:t xml:space="preserve"> </w:t>
      </w:r>
      <w:r w:rsidRPr="003954D9">
        <w:t>o</w:t>
      </w:r>
      <w:r w:rsidR="00306924" w:rsidRPr="003954D9">
        <w:t xml:space="preserve">ch </w:t>
      </w:r>
      <w:r w:rsidRPr="003954D9">
        <w:t xml:space="preserve">hushållen </w:t>
      </w:r>
      <w:r w:rsidR="00306924" w:rsidRPr="003954D9">
        <w:t>i 3 r</w:t>
      </w:r>
      <w:r w:rsidR="005B78DB">
        <w:t>um och kök</w:t>
      </w:r>
      <w:r w:rsidR="00306924" w:rsidRPr="003954D9">
        <w:t xml:space="preserve"> minst kvar utöver skälig levnadsnivå per person och månad när dagens hyra är betald.</w:t>
      </w:r>
      <w:r w:rsidR="00B47A74" w:rsidRPr="003954D9">
        <w:t xml:space="preserve"> Se diagram 3:2</w:t>
      </w:r>
      <w:r w:rsidR="005B78DB">
        <w:t>.</w:t>
      </w:r>
    </w:p>
    <w:p w14:paraId="3FA5D38F" w14:textId="2217C775" w:rsidR="00306924" w:rsidRPr="003954D9" w:rsidRDefault="00306924" w:rsidP="00306924">
      <w:pPr>
        <w:pStyle w:val="Rubrik5"/>
      </w:pPr>
      <w:r w:rsidRPr="003954D9">
        <w:t>Diagram 3:2</w:t>
      </w:r>
    </w:p>
    <w:p w14:paraId="243AD321" w14:textId="3FA99676" w:rsidR="00306924" w:rsidRPr="003954D9" w:rsidRDefault="00306924" w:rsidP="00306924">
      <w:r w:rsidRPr="003954D9">
        <w:rPr>
          <w:noProof/>
        </w:rPr>
        <w:drawing>
          <wp:inline distT="0" distB="0" distL="0" distR="0" wp14:anchorId="6725143C" wp14:editId="7DDA6D8C">
            <wp:extent cx="3324225" cy="221932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4225" cy="2219325"/>
                    </a:xfrm>
                    <a:prstGeom prst="rect">
                      <a:avLst/>
                    </a:prstGeom>
                    <a:noFill/>
                    <a:ln>
                      <a:noFill/>
                    </a:ln>
                  </pic:spPr>
                </pic:pic>
              </a:graphicData>
            </a:graphic>
          </wp:inline>
        </w:drawing>
      </w:r>
    </w:p>
    <w:p w14:paraId="15485F1E" w14:textId="021B69A1" w:rsidR="00306924" w:rsidRPr="003954D9" w:rsidRDefault="00306924" w:rsidP="00306924">
      <w:pPr>
        <w:pStyle w:val="Rubrik3"/>
      </w:pPr>
      <w:bookmarkStart w:id="96" w:name="_Toc463184402"/>
      <w:bookmarkStart w:id="97" w:name="_Toc464828407"/>
      <w:r w:rsidRPr="003954D9">
        <w:t>Inkomster i olika lägenhetstyper – stadsdelar</w:t>
      </w:r>
      <w:bookmarkEnd w:id="96"/>
      <w:bookmarkEnd w:id="97"/>
    </w:p>
    <w:p w14:paraId="4E5B3CA9" w14:textId="535EA2CA" w:rsidR="00DF6622" w:rsidRPr="003954D9" w:rsidRDefault="00774A97" w:rsidP="008D4FBC">
      <w:pPr>
        <w:rPr>
          <w:color w:val="000000" w:themeColor="text1"/>
        </w:rPr>
      </w:pPr>
      <w:r w:rsidRPr="003954D9">
        <w:rPr>
          <w:color w:val="000000" w:themeColor="text1"/>
        </w:rPr>
        <w:t xml:space="preserve">Även här </w:t>
      </w:r>
      <w:r w:rsidR="00276A6E" w:rsidRPr="003954D9">
        <w:rPr>
          <w:color w:val="000000" w:themeColor="text1"/>
        </w:rPr>
        <w:t>finns</w:t>
      </w:r>
      <w:r w:rsidR="00C7202A" w:rsidRPr="003954D9">
        <w:rPr>
          <w:color w:val="000000" w:themeColor="text1"/>
        </w:rPr>
        <w:t xml:space="preserve"> betydande skillnader mellan hushållen i de olika lägenhetstyperna </w:t>
      </w:r>
      <w:r w:rsidRPr="003954D9">
        <w:rPr>
          <w:color w:val="000000" w:themeColor="text1"/>
        </w:rPr>
        <w:t xml:space="preserve">och </w:t>
      </w:r>
      <w:r w:rsidR="00C7202A" w:rsidRPr="003954D9">
        <w:rPr>
          <w:color w:val="000000" w:themeColor="text1"/>
        </w:rPr>
        <w:t>mellan stadsdelarna</w:t>
      </w:r>
      <w:r w:rsidR="00EC08B7">
        <w:rPr>
          <w:color w:val="000000" w:themeColor="text1"/>
        </w:rPr>
        <w:t>. S</w:t>
      </w:r>
      <w:r w:rsidR="009B3555" w:rsidRPr="003954D9">
        <w:rPr>
          <w:color w:val="000000" w:themeColor="text1"/>
        </w:rPr>
        <w:t xml:space="preserve">pridningen </w:t>
      </w:r>
      <w:r w:rsidR="00EC08B7">
        <w:rPr>
          <w:color w:val="000000" w:themeColor="text1"/>
        </w:rPr>
        <w:t xml:space="preserve">är </w:t>
      </w:r>
      <w:r w:rsidR="009B3555" w:rsidRPr="003954D9">
        <w:rPr>
          <w:color w:val="000000" w:themeColor="text1"/>
        </w:rPr>
        <w:t xml:space="preserve">inte är så stor </w:t>
      </w:r>
      <w:r w:rsidR="00C7202A" w:rsidRPr="003954D9">
        <w:rPr>
          <w:color w:val="000000" w:themeColor="text1"/>
        </w:rPr>
        <w:t xml:space="preserve">i hela urvalet </w:t>
      </w:r>
      <w:r w:rsidR="009B3555" w:rsidRPr="003954D9">
        <w:rPr>
          <w:color w:val="000000" w:themeColor="text1"/>
        </w:rPr>
        <w:t>(”Alla” i tabellen nedan)</w:t>
      </w:r>
      <w:r w:rsidR="00EC08B7">
        <w:rPr>
          <w:color w:val="000000" w:themeColor="text1"/>
        </w:rPr>
        <w:t>. B</w:t>
      </w:r>
      <w:r w:rsidR="00C7202A" w:rsidRPr="003954D9">
        <w:rPr>
          <w:color w:val="000000" w:themeColor="text1"/>
        </w:rPr>
        <w:t>oende i 3 rok har minst kvar utöver skälig levnadsnivå när dagens hyra är betald (1 3</w:t>
      </w:r>
      <w:r w:rsidR="009F1EE3">
        <w:rPr>
          <w:color w:val="000000" w:themeColor="text1"/>
        </w:rPr>
        <w:t>59</w:t>
      </w:r>
      <w:r w:rsidR="00C7202A" w:rsidRPr="003954D9">
        <w:rPr>
          <w:color w:val="000000" w:themeColor="text1"/>
        </w:rPr>
        <w:t xml:space="preserve"> kronor per person och månad)</w:t>
      </w:r>
      <w:r w:rsidR="00EC08B7">
        <w:rPr>
          <w:color w:val="000000" w:themeColor="text1"/>
        </w:rPr>
        <w:t xml:space="preserve"> och boende i 1 rok mest </w:t>
      </w:r>
      <w:r w:rsidR="00527415" w:rsidRPr="003954D9">
        <w:rPr>
          <w:color w:val="000000" w:themeColor="text1"/>
        </w:rPr>
        <w:t>(2 8</w:t>
      </w:r>
      <w:r w:rsidR="009F1EE3">
        <w:rPr>
          <w:color w:val="000000" w:themeColor="text1"/>
        </w:rPr>
        <w:t>39</w:t>
      </w:r>
      <w:r w:rsidR="00527415" w:rsidRPr="003954D9">
        <w:rPr>
          <w:color w:val="000000" w:themeColor="text1"/>
        </w:rPr>
        <w:t xml:space="preserve"> kronor per person och månad).</w:t>
      </w:r>
    </w:p>
    <w:p w14:paraId="21D551BE" w14:textId="707D37DB" w:rsidR="00527415" w:rsidRPr="003954D9" w:rsidRDefault="00527415" w:rsidP="008D4FBC"/>
    <w:p w14:paraId="0ED4D169" w14:textId="51266620" w:rsidR="00527415" w:rsidRPr="003954D9" w:rsidRDefault="009F1EE3" w:rsidP="008D4FBC">
      <w:r>
        <w:lastRenderedPageBreak/>
        <w:t>B</w:t>
      </w:r>
      <w:r w:rsidR="00527415" w:rsidRPr="003954D9">
        <w:t>oende i 1 rokv har mest kvar i Lundby och minst kvar i Östra Göteborg</w:t>
      </w:r>
      <w:r>
        <w:t xml:space="preserve"> och skillnaderna i denna grupp </w:t>
      </w:r>
      <w:r w:rsidR="00527415" w:rsidRPr="003954D9">
        <w:t xml:space="preserve">är mycket stora mellan stadsdelarna. </w:t>
      </w:r>
      <w:r w:rsidR="009B3555" w:rsidRPr="003954D9">
        <w:t xml:space="preserve">I 1 rok </w:t>
      </w:r>
      <w:r w:rsidR="00527415" w:rsidRPr="003954D9">
        <w:t xml:space="preserve">har </w:t>
      </w:r>
      <w:r w:rsidR="009B3555" w:rsidRPr="003954D9">
        <w:t>boende</w:t>
      </w:r>
      <w:r w:rsidR="00527415" w:rsidRPr="003954D9">
        <w:t xml:space="preserve"> i Västra Göteborg </w:t>
      </w:r>
      <w:r w:rsidR="009B3555" w:rsidRPr="003954D9">
        <w:t xml:space="preserve">mest kvar </w:t>
      </w:r>
      <w:r w:rsidR="00527415" w:rsidRPr="003954D9">
        <w:t>(7 800 kronor per person och månad) och minst på Västra Hisin</w:t>
      </w:r>
      <w:r w:rsidR="00A0050A" w:rsidRPr="003954D9">
        <w:t xml:space="preserve">gen (500 kronor per person och </w:t>
      </w:r>
      <w:r w:rsidR="00527415" w:rsidRPr="003954D9">
        <w:t>månad).</w:t>
      </w:r>
    </w:p>
    <w:p w14:paraId="6E32421F" w14:textId="3D0EA4A6" w:rsidR="00A0050A" w:rsidRPr="003954D9" w:rsidRDefault="00527415" w:rsidP="008D4FBC">
      <w:r w:rsidRPr="003954D9">
        <w:t xml:space="preserve">Bland </w:t>
      </w:r>
      <w:r w:rsidR="00A0050A" w:rsidRPr="003954D9">
        <w:t>boende</w:t>
      </w:r>
      <w:r w:rsidRPr="003954D9">
        <w:t xml:space="preserve"> i 2</w:t>
      </w:r>
      <w:r w:rsidR="00A0050A" w:rsidRPr="003954D9">
        <w:t xml:space="preserve"> </w:t>
      </w:r>
      <w:r w:rsidRPr="003954D9">
        <w:t xml:space="preserve">rokv är skillnaderna också stora </w:t>
      </w:r>
      <w:r w:rsidR="00A0050A" w:rsidRPr="003954D9">
        <w:t>(</w:t>
      </w:r>
      <w:r w:rsidRPr="003954D9">
        <w:t xml:space="preserve">Askim-Frölunda-Högsbo 30 kronor kvar och </w:t>
      </w:r>
      <w:r w:rsidR="00A0050A" w:rsidRPr="003954D9">
        <w:t xml:space="preserve">mot </w:t>
      </w:r>
      <w:r w:rsidRPr="003954D9">
        <w:t>nästan 5 000 kronor per person och månad</w:t>
      </w:r>
      <w:r w:rsidR="00A0050A" w:rsidRPr="003954D9">
        <w:t xml:space="preserve"> i Örgryte-Härlanda)</w:t>
      </w:r>
      <w:r w:rsidRPr="003954D9">
        <w:t>.</w:t>
      </w:r>
      <w:r w:rsidR="00D5638B" w:rsidRPr="003954D9">
        <w:t xml:space="preserve"> Bland de i 2 rok har </w:t>
      </w:r>
      <w:r w:rsidR="00A0050A" w:rsidRPr="003954D9">
        <w:t>boende</w:t>
      </w:r>
      <w:r w:rsidR="00D5638B" w:rsidRPr="003954D9">
        <w:t xml:space="preserve"> i Majorna-Linné</w:t>
      </w:r>
      <w:r w:rsidR="009267B9" w:rsidRPr="003954D9">
        <w:t>staden</w:t>
      </w:r>
      <w:r w:rsidR="00D5638B" w:rsidRPr="003954D9">
        <w:t xml:space="preserve"> mest kvar och </w:t>
      </w:r>
      <w:r w:rsidR="009F1EE3">
        <w:t>boende</w:t>
      </w:r>
      <w:r w:rsidR="00D5638B" w:rsidRPr="003954D9">
        <w:t xml:space="preserve"> på Västra Hisingen minst kvar. </w:t>
      </w:r>
    </w:p>
    <w:p w14:paraId="08EA99CD" w14:textId="2B5AA59C" w:rsidR="00A0050A" w:rsidRPr="003954D9" w:rsidRDefault="00D5638B" w:rsidP="008D4FBC">
      <w:r w:rsidRPr="003954D9">
        <w:t xml:space="preserve">Bland </w:t>
      </w:r>
      <w:r w:rsidR="00A0050A" w:rsidRPr="003954D9">
        <w:t>boende</w:t>
      </w:r>
      <w:r w:rsidRPr="003954D9">
        <w:t xml:space="preserve"> i 3 rok har man mest kvar i Centrum och minst i Östra Göteborg. I 4 rok har </w:t>
      </w:r>
      <w:r w:rsidR="009F1EE3">
        <w:t>man</w:t>
      </w:r>
      <w:r w:rsidRPr="003954D9">
        <w:t xml:space="preserve"> mest kvar i Västra Göteborg och minst i Angered. </w:t>
      </w:r>
    </w:p>
    <w:p w14:paraId="10CC267C" w14:textId="25592922" w:rsidR="00527415" w:rsidRPr="003954D9" w:rsidRDefault="00D5638B" w:rsidP="008D4FBC">
      <w:r w:rsidRPr="003954D9">
        <w:t xml:space="preserve">I de största lägenheterna </w:t>
      </w:r>
      <w:r w:rsidR="009F1EE3">
        <w:t xml:space="preserve">kan man notera att </w:t>
      </w:r>
      <w:r w:rsidR="009F1EE3" w:rsidRPr="003954D9">
        <w:t xml:space="preserve">medelvärdet </w:t>
      </w:r>
      <w:r w:rsidR="009F1EE3">
        <w:t xml:space="preserve">för hushållen i Östra Göteborg </w:t>
      </w:r>
      <w:r w:rsidRPr="003954D9">
        <w:t xml:space="preserve">ligger under skälig levnadsnivå - </w:t>
      </w:r>
      <w:r w:rsidR="00B978BC">
        <w:t>631 kronor per person och månad</w:t>
      </w:r>
      <w:r w:rsidRPr="003954D9">
        <w:t xml:space="preserve">, medan </w:t>
      </w:r>
      <w:r w:rsidR="009F1EE3">
        <w:t>hushållen</w:t>
      </w:r>
      <w:r w:rsidRPr="003954D9">
        <w:t xml:space="preserve"> i Centrum har mer än 4 800 kronor per person och månad kvar utöver skälig levnadsnivå när dagens hyra är betald.</w:t>
      </w:r>
      <w:r w:rsidR="005B78DB">
        <w:t xml:space="preserve"> Se tabell 3:3.</w:t>
      </w:r>
    </w:p>
    <w:p w14:paraId="7A88DC72" w14:textId="47C8858F" w:rsidR="008D4FBC" w:rsidRPr="003954D9" w:rsidRDefault="00490264" w:rsidP="00B12933">
      <w:pPr>
        <w:pStyle w:val="Rubrik5"/>
      </w:pPr>
      <w:r w:rsidRPr="003954D9">
        <w:t xml:space="preserve">Tabell </w:t>
      </w:r>
      <w:r w:rsidR="00306924" w:rsidRPr="003954D9">
        <w:t>3:3</w:t>
      </w:r>
      <w:r w:rsidRPr="003954D9">
        <w:t xml:space="preserve">: </w:t>
      </w:r>
      <w:r w:rsidR="008D4FBC" w:rsidRPr="003954D9">
        <w:t>Kvar av d</w:t>
      </w:r>
      <w:r w:rsidRPr="003954D9">
        <w:t>isponibel inkomst</w:t>
      </w:r>
      <w:r w:rsidR="008D4FBC" w:rsidRPr="003954D9">
        <w:t xml:space="preserve"> utöver skälig </w:t>
      </w:r>
      <w:r w:rsidR="003954D9" w:rsidRPr="003954D9">
        <w:t>levnadsnivå när</w:t>
      </w:r>
      <w:r w:rsidR="008D4FBC" w:rsidRPr="003954D9">
        <w:t xml:space="preserve"> dagens hyra är betald, kronor per månad och person, lägenhetstyp och stadsdel – medelvärden</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553"/>
        <w:gridCol w:w="501"/>
        <w:gridCol w:w="553"/>
        <w:gridCol w:w="501"/>
        <w:gridCol w:w="501"/>
        <w:gridCol w:w="501"/>
        <w:gridCol w:w="563"/>
        <w:gridCol w:w="714"/>
      </w:tblGrid>
      <w:tr w:rsidR="00DF6622" w:rsidRPr="003954D9" w14:paraId="00EEB46A" w14:textId="77777777" w:rsidTr="00B978BC">
        <w:trPr>
          <w:trHeight w:val="227"/>
        </w:trPr>
        <w:tc>
          <w:tcPr>
            <w:tcW w:w="0" w:type="auto"/>
            <w:shd w:val="clear" w:color="auto" w:fill="auto"/>
          </w:tcPr>
          <w:p w14:paraId="51AFDC6F"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Lägenhetstyp</w:t>
            </w:r>
          </w:p>
        </w:tc>
        <w:tc>
          <w:tcPr>
            <w:tcW w:w="0" w:type="auto"/>
            <w:shd w:val="clear" w:color="auto" w:fill="auto"/>
          </w:tcPr>
          <w:p w14:paraId="62A872E0"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rokv</w:t>
            </w:r>
          </w:p>
        </w:tc>
        <w:tc>
          <w:tcPr>
            <w:tcW w:w="0" w:type="auto"/>
            <w:shd w:val="clear" w:color="auto" w:fill="auto"/>
          </w:tcPr>
          <w:p w14:paraId="734BF26F"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w:t>
            </w:r>
          </w:p>
        </w:tc>
        <w:tc>
          <w:tcPr>
            <w:tcW w:w="0" w:type="auto"/>
            <w:shd w:val="clear" w:color="auto" w:fill="auto"/>
          </w:tcPr>
          <w:p w14:paraId="43A07E37"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rokv</w:t>
            </w:r>
          </w:p>
        </w:tc>
        <w:tc>
          <w:tcPr>
            <w:tcW w:w="0" w:type="auto"/>
            <w:shd w:val="clear" w:color="auto" w:fill="auto"/>
          </w:tcPr>
          <w:p w14:paraId="7F16E16A"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w:t>
            </w:r>
          </w:p>
        </w:tc>
        <w:tc>
          <w:tcPr>
            <w:tcW w:w="0" w:type="auto"/>
            <w:shd w:val="clear" w:color="auto" w:fill="auto"/>
          </w:tcPr>
          <w:p w14:paraId="2BD28CC1"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3 rok</w:t>
            </w:r>
          </w:p>
        </w:tc>
        <w:tc>
          <w:tcPr>
            <w:tcW w:w="0" w:type="auto"/>
            <w:shd w:val="clear" w:color="auto" w:fill="auto"/>
          </w:tcPr>
          <w:p w14:paraId="476E9BA8"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4 rok</w:t>
            </w:r>
          </w:p>
        </w:tc>
        <w:tc>
          <w:tcPr>
            <w:tcW w:w="0" w:type="auto"/>
            <w:shd w:val="clear" w:color="auto" w:fill="auto"/>
          </w:tcPr>
          <w:p w14:paraId="79566A2C"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5 - rok</w:t>
            </w:r>
          </w:p>
        </w:tc>
        <w:tc>
          <w:tcPr>
            <w:tcW w:w="0" w:type="auto"/>
            <w:shd w:val="clear" w:color="auto" w:fill="auto"/>
          </w:tcPr>
          <w:p w14:paraId="03341AA4"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Samtliga</w:t>
            </w:r>
          </w:p>
        </w:tc>
      </w:tr>
      <w:tr w:rsidR="00DF6622" w:rsidRPr="003954D9" w14:paraId="7A3417AB" w14:textId="77777777" w:rsidTr="00B978BC">
        <w:trPr>
          <w:trHeight w:val="227"/>
        </w:trPr>
        <w:tc>
          <w:tcPr>
            <w:tcW w:w="0" w:type="auto"/>
            <w:shd w:val="clear" w:color="auto" w:fill="auto"/>
          </w:tcPr>
          <w:p w14:paraId="608BE7C7"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0" w:type="auto"/>
            <w:shd w:val="clear" w:color="auto" w:fill="auto"/>
          </w:tcPr>
          <w:p w14:paraId="7247A0A4"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2 282</w:t>
            </w:r>
          </w:p>
        </w:tc>
        <w:tc>
          <w:tcPr>
            <w:tcW w:w="0" w:type="auto"/>
            <w:shd w:val="clear" w:color="auto" w:fill="auto"/>
          </w:tcPr>
          <w:p w14:paraId="40EA9B21"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2 355</w:t>
            </w:r>
          </w:p>
        </w:tc>
        <w:tc>
          <w:tcPr>
            <w:tcW w:w="0" w:type="auto"/>
            <w:shd w:val="clear" w:color="auto" w:fill="auto"/>
          </w:tcPr>
          <w:p w14:paraId="034E1C08"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1 162</w:t>
            </w:r>
          </w:p>
        </w:tc>
        <w:tc>
          <w:tcPr>
            <w:tcW w:w="0" w:type="auto"/>
            <w:shd w:val="clear" w:color="auto" w:fill="auto"/>
          </w:tcPr>
          <w:p w14:paraId="6696069E"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1 044</w:t>
            </w:r>
          </w:p>
        </w:tc>
        <w:tc>
          <w:tcPr>
            <w:tcW w:w="0" w:type="auto"/>
            <w:shd w:val="clear" w:color="auto" w:fill="auto"/>
          </w:tcPr>
          <w:p w14:paraId="2488BF95"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685</w:t>
            </w:r>
          </w:p>
        </w:tc>
        <w:tc>
          <w:tcPr>
            <w:tcW w:w="0" w:type="auto"/>
            <w:shd w:val="clear" w:color="auto" w:fill="auto"/>
          </w:tcPr>
          <w:p w14:paraId="2D2A7BFD" w14:textId="77777777" w:rsidR="00DF6622" w:rsidRPr="003954D9" w:rsidRDefault="00DF662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878</w:t>
            </w:r>
          </w:p>
        </w:tc>
        <w:tc>
          <w:tcPr>
            <w:tcW w:w="0" w:type="auto"/>
            <w:shd w:val="clear" w:color="auto" w:fill="auto"/>
          </w:tcPr>
          <w:p w14:paraId="51E36FFA"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w:t>
            </w:r>
          </w:p>
        </w:tc>
        <w:tc>
          <w:tcPr>
            <w:tcW w:w="0" w:type="auto"/>
            <w:shd w:val="clear" w:color="auto" w:fill="auto"/>
          </w:tcPr>
          <w:p w14:paraId="1D4BA636" w14:textId="77777777" w:rsidR="00DF6622" w:rsidRPr="003954D9" w:rsidRDefault="00DF6622">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861</w:t>
            </w:r>
          </w:p>
        </w:tc>
      </w:tr>
      <w:tr w:rsidR="00DF6622" w:rsidRPr="003954D9" w14:paraId="64503507" w14:textId="77777777" w:rsidTr="00B978BC">
        <w:trPr>
          <w:trHeight w:val="227"/>
        </w:trPr>
        <w:tc>
          <w:tcPr>
            <w:tcW w:w="0" w:type="auto"/>
            <w:shd w:val="clear" w:color="auto" w:fill="auto"/>
          </w:tcPr>
          <w:p w14:paraId="3B7CE1D9"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0" w:type="auto"/>
            <w:shd w:val="clear" w:color="auto" w:fill="auto"/>
          </w:tcPr>
          <w:p w14:paraId="40F11CDF"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1 286</w:t>
            </w:r>
          </w:p>
        </w:tc>
        <w:tc>
          <w:tcPr>
            <w:tcW w:w="0" w:type="auto"/>
            <w:shd w:val="clear" w:color="auto" w:fill="auto"/>
          </w:tcPr>
          <w:p w14:paraId="7CED6515"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2 443</w:t>
            </w:r>
          </w:p>
        </w:tc>
        <w:tc>
          <w:tcPr>
            <w:tcW w:w="0" w:type="auto"/>
            <w:shd w:val="clear" w:color="auto" w:fill="auto"/>
          </w:tcPr>
          <w:p w14:paraId="3A4BE12C" w14:textId="77777777" w:rsidR="00DF6622" w:rsidRPr="003954D9" w:rsidRDefault="00DF662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31</w:t>
            </w:r>
          </w:p>
        </w:tc>
        <w:tc>
          <w:tcPr>
            <w:tcW w:w="0" w:type="auto"/>
            <w:shd w:val="clear" w:color="auto" w:fill="auto"/>
          </w:tcPr>
          <w:p w14:paraId="0C0A2948"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2 047</w:t>
            </w:r>
          </w:p>
        </w:tc>
        <w:tc>
          <w:tcPr>
            <w:tcW w:w="0" w:type="auto"/>
            <w:shd w:val="clear" w:color="auto" w:fill="auto"/>
          </w:tcPr>
          <w:p w14:paraId="7CDE6FE4"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1 682</w:t>
            </w:r>
          </w:p>
        </w:tc>
        <w:tc>
          <w:tcPr>
            <w:tcW w:w="0" w:type="auto"/>
            <w:shd w:val="clear" w:color="auto" w:fill="auto"/>
          </w:tcPr>
          <w:p w14:paraId="7C777BA1"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2 554</w:t>
            </w:r>
          </w:p>
        </w:tc>
        <w:tc>
          <w:tcPr>
            <w:tcW w:w="0" w:type="auto"/>
            <w:shd w:val="clear" w:color="auto" w:fill="auto"/>
          </w:tcPr>
          <w:p w14:paraId="0ECECECB"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1 717</w:t>
            </w:r>
          </w:p>
        </w:tc>
        <w:tc>
          <w:tcPr>
            <w:tcW w:w="0" w:type="auto"/>
            <w:shd w:val="clear" w:color="auto" w:fill="auto"/>
          </w:tcPr>
          <w:p w14:paraId="2EE00C9A"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1 926</w:t>
            </w:r>
          </w:p>
        </w:tc>
      </w:tr>
      <w:tr w:rsidR="00DF6622" w:rsidRPr="003954D9" w14:paraId="4B640A94" w14:textId="77777777" w:rsidTr="00B978BC">
        <w:trPr>
          <w:trHeight w:val="227"/>
        </w:trPr>
        <w:tc>
          <w:tcPr>
            <w:tcW w:w="0" w:type="auto"/>
            <w:shd w:val="clear" w:color="auto" w:fill="auto"/>
          </w:tcPr>
          <w:p w14:paraId="740F3983"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0" w:type="auto"/>
            <w:shd w:val="clear" w:color="auto" w:fill="auto"/>
          </w:tcPr>
          <w:p w14:paraId="071E4CFB"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2 180</w:t>
            </w:r>
          </w:p>
        </w:tc>
        <w:tc>
          <w:tcPr>
            <w:tcW w:w="0" w:type="auto"/>
            <w:shd w:val="clear" w:color="auto" w:fill="auto"/>
          </w:tcPr>
          <w:p w14:paraId="307BEC5C"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4 811</w:t>
            </w:r>
          </w:p>
        </w:tc>
        <w:tc>
          <w:tcPr>
            <w:tcW w:w="0" w:type="auto"/>
            <w:shd w:val="clear" w:color="auto" w:fill="auto"/>
          </w:tcPr>
          <w:p w14:paraId="1D276196"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3 038</w:t>
            </w:r>
          </w:p>
        </w:tc>
        <w:tc>
          <w:tcPr>
            <w:tcW w:w="0" w:type="auto"/>
            <w:shd w:val="clear" w:color="auto" w:fill="auto"/>
          </w:tcPr>
          <w:p w14:paraId="0AD77B02"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3 845</w:t>
            </w:r>
          </w:p>
        </w:tc>
        <w:tc>
          <w:tcPr>
            <w:tcW w:w="0" w:type="auto"/>
            <w:shd w:val="clear" w:color="auto" w:fill="auto"/>
          </w:tcPr>
          <w:p w14:paraId="0796A218" w14:textId="77777777" w:rsidR="00DF6622" w:rsidRPr="003954D9" w:rsidRDefault="00DF662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3 577</w:t>
            </w:r>
          </w:p>
        </w:tc>
        <w:tc>
          <w:tcPr>
            <w:tcW w:w="0" w:type="auto"/>
            <w:shd w:val="clear" w:color="auto" w:fill="auto"/>
          </w:tcPr>
          <w:p w14:paraId="38D52632"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3 461</w:t>
            </w:r>
          </w:p>
        </w:tc>
        <w:tc>
          <w:tcPr>
            <w:tcW w:w="0" w:type="auto"/>
            <w:shd w:val="clear" w:color="auto" w:fill="auto"/>
          </w:tcPr>
          <w:p w14:paraId="64271DD6" w14:textId="77777777" w:rsidR="00DF6622" w:rsidRPr="003954D9" w:rsidRDefault="00DF6622">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4 842</w:t>
            </w:r>
          </w:p>
        </w:tc>
        <w:tc>
          <w:tcPr>
            <w:tcW w:w="0" w:type="auto"/>
            <w:shd w:val="clear" w:color="auto" w:fill="auto"/>
          </w:tcPr>
          <w:p w14:paraId="4BB07422"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3 575</w:t>
            </w:r>
          </w:p>
        </w:tc>
      </w:tr>
      <w:tr w:rsidR="00DF6622" w:rsidRPr="003954D9" w14:paraId="41C203FC" w14:textId="77777777" w:rsidTr="00B978BC">
        <w:trPr>
          <w:trHeight w:val="227"/>
        </w:trPr>
        <w:tc>
          <w:tcPr>
            <w:tcW w:w="0" w:type="auto"/>
            <w:shd w:val="clear" w:color="auto" w:fill="auto"/>
          </w:tcPr>
          <w:p w14:paraId="57F69B84"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0" w:type="auto"/>
            <w:shd w:val="clear" w:color="auto" w:fill="auto"/>
          </w:tcPr>
          <w:p w14:paraId="2AB9094C" w14:textId="77777777" w:rsidR="00DF6622" w:rsidRPr="003954D9" w:rsidRDefault="00DF6622">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3 595</w:t>
            </w:r>
          </w:p>
        </w:tc>
        <w:tc>
          <w:tcPr>
            <w:tcW w:w="0" w:type="auto"/>
            <w:shd w:val="clear" w:color="auto" w:fill="auto"/>
          </w:tcPr>
          <w:p w14:paraId="17A66322"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3 296</w:t>
            </w:r>
          </w:p>
        </w:tc>
        <w:tc>
          <w:tcPr>
            <w:tcW w:w="0" w:type="auto"/>
            <w:shd w:val="clear" w:color="auto" w:fill="auto"/>
          </w:tcPr>
          <w:p w14:paraId="6535BD81"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2 880</w:t>
            </w:r>
          </w:p>
        </w:tc>
        <w:tc>
          <w:tcPr>
            <w:tcW w:w="0" w:type="auto"/>
            <w:shd w:val="clear" w:color="auto" w:fill="auto"/>
          </w:tcPr>
          <w:p w14:paraId="59B3F9DE"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2 801</w:t>
            </w:r>
          </w:p>
        </w:tc>
        <w:tc>
          <w:tcPr>
            <w:tcW w:w="0" w:type="auto"/>
            <w:shd w:val="clear" w:color="auto" w:fill="auto"/>
          </w:tcPr>
          <w:p w14:paraId="6885AB16"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2 842</w:t>
            </w:r>
          </w:p>
        </w:tc>
        <w:tc>
          <w:tcPr>
            <w:tcW w:w="0" w:type="auto"/>
            <w:shd w:val="clear" w:color="auto" w:fill="auto"/>
          </w:tcPr>
          <w:p w14:paraId="6B016B58"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1 265</w:t>
            </w:r>
          </w:p>
        </w:tc>
        <w:tc>
          <w:tcPr>
            <w:tcW w:w="0" w:type="auto"/>
            <w:shd w:val="clear" w:color="auto" w:fill="auto"/>
          </w:tcPr>
          <w:p w14:paraId="307FEE94"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1 193</w:t>
            </w:r>
          </w:p>
        </w:tc>
        <w:tc>
          <w:tcPr>
            <w:tcW w:w="0" w:type="auto"/>
            <w:shd w:val="clear" w:color="auto" w:fill="auto"/>
          </w:tcPr>
          <w:p w14:paraId="36F074EA"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2 593</w:t>
            </w:r>
          </w:p>
        </w:tc>
      </w:tr>
      <w:tr w:rsidR="00DF6622" w:rsidRPr="003954D9" w14:paraId="4515F2F3" w14:textId="77777777" w:rsidTr="00B978BC">
        <w:trPr>
          <w:trHeight w:val="227"/>
        </w:trPr>
        <w:tc>
          <w:tcPr>
            <w:tcW w:w="0" w:type="auto"/>
            <w:shd w:val="clear" w:color="auto" w:fill="auto"/>
          </w:tcPr>
          <w:p w14:paraId="4B1F9F41"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0" w:type="auto"/>
            <w:shd w:val="clear" w:color="auto" w:fill="auto"/>
          </w:tcPr>
          <w:p w14:paraId="172D701C"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3 465</w:t>
            </w:r>
          </w:p>
        </w:tc>
        <w:tc>
          <w:tcPr>
            <w:tcW w:w="0" w:type="auto"/>
            <w:shd w:val="clear" w:color="auto" w:fill="auto"/>
          </w:tcPr>
          <w:p w14:paraId="4532A070"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3 351</w:t>
            </w:r>
          </w:p>
        </w:tc>
        <w:tc>
          <w:tcPr>
            <w:tcW w:w="0" w:type="auto"/>
            <w:shd w:val="clear" w:color="auto" w:fill="auto"/>
          </w:tcPr>
          <w:p w14:paraId="4241C05B"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4 574</w:t>
            </w:r>
          </w:p>
        </w:tc>
        <w:tc>
          <w:tcPr>
            <w:tcW w:w="0" w:type="auto"/>
            <w:shd w:val="clear" w:color="auto" w:fill="auto"/>
          </w:tcPr>
          <w:p w14:paraId="6F7D2A76" w14:textId="77777777" w:rsidR="00DF6622" w:rsidRPr="003954D9" w:rsidRDefault="00DF6622">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4 648</w:t>
            </w:r>
          </w:p>
        </w:tc>
        <w:tc>
          <w:tcPr>
            <w:tcW w:w="0" w:type="auto"/>
            <w:shd w:val="clear" w:color="auto" w:fill="auto"/>
          </w:tcPr>
          <w:p w14:paraId="2FD2F50B"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2 822</w:t>
            </w:r>
          </w:p>
        </w:tc>
        <w:tc>
          <w:tcPr>
            <w:tcW w:w="0" w:type="auto"/>
            <w:shd w:val="clear" w:color="auto" w:fill="auto"/>
          </w:tcPr>
          <w:p w14:paraId="4B0F6A5B"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3 656</w:t>
            </w:r>
          </w:p>
        </w:tc>
        <w:tc>
          <w:tcPr>
            <w:tcW w:w="0" w:type="auto"/>
            <w:shd w:val="clear" w:color="auto" w:fill="auto"/>
          </w:tcPr>
          <w:p w14:paraId="29700A37"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3 660</w:t>
            </w:r>
          </w:p>
        </w:tc>
        <w:tc>
          <w:tcPr>
            <w:tcW w:w="0" w:type="auto"/>
            <w:shd w:val="clear" w:color="auto" w:fill="auto"/>
          </w:tcPr>
          <w:p w14:paraId="4A449BB3"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3 809</w:t>
            </w:r>
          </w:p>
        </w:tc>
      </w:tr>
      <w:tr w:rsidR="00DF6622" w:rsidRPr="003954D9" w14:paraId="2BD20CC0" w14:textId="77777777" w:rsidTr="00B978BC">
        <w:trPr>
          <w:trHeight w:val="227"/>
        </w:trPr>
        <w:tc>
          <w:tcPr>
            <w:tcW w:w="0" w:type="auto"/>
            <w:shd w:val="clear" w:color="auto" w:fill="auto"/>
          </w:tcPr>
          <w:p w14:paraId="761634B5"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0" w:type="auto"/>
            <w:shd w:val="clear" w:color="auto" w:fill="auto"/>
          </w:tcPr>
          <w:p w14:paraId="4CF0FB30"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3 184</w:t>
            </w:r>
          </w:p>
        </w:tc>
        <w:tc>
          <w:tcPr>
            <w:tcW w:w="0" w:type="auto"/>
            <w:shd w:val="clear" w:color="auto" w:fill="auto"/>
          </w:tcPr>
          <w:p w14:paraId="53E14EF5"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2 855</w:t>
            </w:r>
          </w:p>
        </w:tc>
        <w:tc>
          <w:tcPr>
            <w:tcW w:w="0" w:type="auto"/>
            <w:shd w:val="clear" w:color="auto" w:fill="auto"/>
          </w:tcPr>
          <w:p w14:paraId="059EE3C6"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2 962</w:t>
            </w:r>
          </w:p>
        </w:tc>
        <w:tc>
          <w:tcPr>
            <w:tcW w:w="0" w:type="auto"/>
            <w:shd w:val="clear" w:color="auto" w:fill="auto"/>
          </w:tcPr>
          <w:p w14:paraId="3B94E372"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1 645</w:t>
            </w:r>
          </w:p>
        </w:tc>
        <w:tc>
          <w:tcPr>
            <w:tcW w:w="0" w:type="auto"/>
            <w:shd w:val="clear" w:color="auto" w:fill="auto"/>
          </w:tcPr>
          <w:p w14:paraId="59E64EF3"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1 682</w:t>
            </w:r>
          </w:p>
        </w:tc>
        <w:tc>
          <w:tcPr>
            <w:tcW w:w="0" w:type="auto"/>
            <w:shd w:val="clear" w:color="auto" w:fill="auto"/>
          </w:tcPr>
          <w:p w14:paraId="736FA581"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1 613</w:t>
            </w:r>
          </w:p>
        </w:tc>
        <w:tc>
          <w:tcPr>
            <w:tcW w:w="0" w:type="auto"/>
            <w:shd w:val="clear" w:color="auto" w:fill="auto"/>
          </w:tcPr>
          <w:p w14:paraId="1D2D2EEA" w14:textId="77777777" w:rsidR="00DF6622" w:rsidRPr="003954D9" w:rsidRDefault="00DF6622">
            <w:pPr>
              <w:autoSpaceDE w:val="0"/>
              <w:autoSpaceDN w:val="0"/>
              <w:adjustRightInd w:val="0"/>
              <w:jc w:val="right"/>
              <w:rPr>
                <w:rFonts w:ascii="Calibri" w:hAnsi="Calibri" w:cs="Calibri"/>
                <w:color w:val="000000"/>
                <w:sz w:val="16"/>
                <w:szCs w:val="16"/>
              </w:rPr>
            </w:pPr>
          </w:p>
        </w:tc>
        <w:tc>
          <w:tcPr>
            <w:tcW w:w="0" w:type="auto"/>
            <w:shd w:val="clear" w:color="auto" w:fill="auto"/>
          </w:tcPr>
          <w:p w14:paraId="696D93F5"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1 869</w:t>
            </w:r>
          </w:p>
        </w:tc>
      </w:tr>
      <w:tr w:rsidR="00DF6622" w:rsidRPr="003954D9" w14:paraId="6D39FB24" w14:textId="77777777" w:rsidTr="00B978BC">
        <w:trPr>
          <w:trHeight w:val="227"/>
        </w:trPr>
        <w:tc>
          <w:tcPr>
            <w:tcW w:w="0" w:type="auto"/>
            <w:shd w:val="clear" w:color="auto" w:fill="auto"/>
          </w:tcPr>
          <w:p w14:paraId="343FE70F"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0" w:type="auto"/>
            <w:shd w:val="clear" w:color="auto" w:fill="auto"/>
          </w:tcPr>
          <w:p w14:paraId="129004F7"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2 576</w:t>
            </w:r>
          </w:p>
        </w:tc>
        <w:tc>
          <w:tcPr>
            <w:tcW w:w="0" w:type="auto"/>
            <w:shd w:val="clear" w:color="auto" w:fill="auto"/>
          </w:tcPr>
          <w:p w14:paraId="3A1B3B64" w14:textId="77777777" w:rsidR="00DF6622" w:rsidRPr="003954D9" w:rsidRDefault="00DF662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499</w:t>
            </w:r>
          </w:p>
        </w:tc>
        <w:tc>
          <w:tcPr>
            <w:tcW w:w="0" w:type="auto"/>
            <w:shd w:val="clear" w:color="auto" w:fill="auto"/>
          </w:tcPr>
          <w:p w14:paraId="41C245FE" w14:textId="77777777" w:rsidR="00DF6622" w:rsidRPr="003954D9" w:rsidRDefault="00DF6622">
            <w:pPr>
              <w:autoSpaceDE w:val="0"/>
              <w:autoSpaceDN w:val="0"/>
              <w:adjustRightInd w:val="0"/>
              <w:jc w:val="right"/>
              <w:rPr>
                <w:rFonts w:ascii="Calibri" w:hAnsi="Calibri" w:cs="Calibri"/>
                <w:color w:val="000000"/>
                <w:sz w:val="16"/>
                <w:szCs w:val="16"/>
              </w:rPr>
            </w:pPr>
          </w:p>
        </w:tc>
        <w:tc>
          <w:tcPr>
            <w:tcW w:w="0" w:type="auto"/>
            <w:shd w:val="clear" w:color="auto" w:fill="auto"/>
          </w:tcPr>
          <w:p w14:paraId="5503F2DF" w14:textId="77777777" w:rsidR="00DF6622" w:rsidRPr="003954D9" w:rsidRDefault="00DF6622">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740</w:t>
            </w:r>
          </w:p>
        </w:tc>
        <w:tc>
          <w:tcPr>
            <w:tcW w:w="0" w:type="auto"/>
            <w:shd w:val="clear" w:color="auto" w:fill="auto"/>
          </w:tcPr>
          <w:p w14:paraId="13892770"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780</w:t>
            </w:r>
          </w:p>
        </w:tc>
        <w:tc>
          <w:tcPr>
            <w:tcW w:w="0" w:type="auto"/>
            <w:shd w:val="clear" w:color="auto" w:fill="auto"/>
          </w:tcPr>
          <w:p w14:paraId="0FBA9FAC"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1 907</w:t>
            </w:r>
          </w:p>
        </w:tc>
        <w:tc>
          <w:tcPr>
            <w:tcW w:w="0" w:type="auto"/>
            <w:shd w:val="clear" w:color="auto" w:fill="auto"/>
          </w:tcPr>
          <w:p w14:paraId="058C54DE"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1 710</w:t>
            </w:r>
          </w:p>
        </w:tc>
        <w:tc>
          <w:tcPr>
            <w:tcW w:w="0" w:type="auto"/>
            <w:shd w:val="clear" w:color="auto" w:fill="auto"/>
          </w:tcPr>
          <w:p w14:paraId="73A071C8"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1 114</w:t>
            </w:r>
          </w:p>
        </w:tc>
      </w:tr>
      <w:tr w:rsidR="00DF6622" w:rsidRPr="003954D9" w14:paraId="560E5EA0" w14:textId="77777777" w:rsidTr="00B978BC">
        <w:trPr>
          <w:trHeight w:val="227"/>
        </w:trPr>
        <w:tc>
          <w:tcPr>
            <w:tcW w:w="0" w:type="auto"/>
            <w:shd w:val="clear" w:color="auto" w:fill="auto"/>
          </w:tcPr>
          <w:p w14:paraId="64648D16"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0" w:type="auto"/>
            <w:shd w:val="clear" w:color="auto" w:fill="auto"/>
          </w:tcPr>
          <w:p w14:paraId="00856C53"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2 572</w:t>
            </w:r>
          </w:p>
        </w:tc>
        <w:tc>
          <w:tcPr>
            <w:tcW w:w="0" w:type="auto"/>
            <w:shd w:val="clear" w:color="auto" w:fill="auto"/>
          </w:tcPr>
          <w:p w14:paraId="19994BC6"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3 380</w:t>
            </w:r>
          </w:p>
        </w:tc>
        <w:tc>
          <w:tcPr>
            <w:tcW w:w="0" w:type="auto"/>
            <w:shd w:val="clear" w:color="auto" w:fill="auto"/>
          </w:tcPr>
          <w:p w14:paraId="28FCB76F" w14:textId="77777777" w:rsidR="00DF6622" w:rsidRPr="003954D9" w:rsidRDefault="00DF662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4 974</w:t>
            </w:r>
          </w:p>
        </w:tc>
        <w:tc>
          <w:tcPr>
            <w:tcW w:w="0" w:type="auto"/>
            <w:shd w:val="clear" w:color="auto" w:fill="auto"/>
          </w:tcPr>
          <w:p w14:paraId="0215EDC4"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3 648</w:t>
            </w:r>
          </w:p>
        </w:tc>
        <w:tc>
          <w:tcPr>
            <w:tcW w:w="0" w:type="auto"/>
            <w:shd w:val="clear" w:color="auto" w:fill="auto"/>
          </w:tcPr>
          <w:p w14:paraId="1E4F182A"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3 510</w:t>
            </w:r>
          </w:p>
        </w:tc>
        <w:tc>
          <w:tcPr>
            <w:tcW w:w="0" w:type="auto"/>
            <w:shd w:val="clear" w:color="auto" w:fill="auto"/>
          </w:tcPr>
          <w:p w14:paraId="5B5EB593"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4 253</w:t>
            </w:r>
          </w:p>
        </w:tc>
        <w:tc>
          <w:tcPr>
            <w:tcW w:w="0" w:type="auto"/>
            <w:shd w:val="clear" w:color="auto" w:fill="auto"/>
          </w:tcPr>
          <w:p w14:paraId="5B68A4FA"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3 960</w:t>
            </w:r>
          </w:p>
        </w:tc>
        <w:tc>
          <w:tcPr>
            <w:tcW w:w="0" w:type="auto"/>
            <w:shd w:val="clear" w:color="auto" w:fill="auto"/>
          </w:tcPr>
          <w:p w14:paraId="588DE170" w14:textId="77777777" w:rsidR="00DF6622" w:rsidRPr="003954D9" w:rsidRDefault="00DF662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3 680</w:t>
            </w:r>
          </w:p>
        </w:tc>
      </w:tr>
      <w:tr w:rsidR="00DF6622" w:rsidRPr="003954D9" w14:paraId="7F858FC9" w14:textId="77777777" w:rsidTr="00B978BC">
        <w:trPr>
          <w:trHeight w:val="227"/>
        </w:trPr>
        <w:tc>
          <w:tcPr>
            <w:tcW w:w="0" w:type="auto"/>
            <w:shd w:val="clear" w:color="auto" w:fill="auto"/>
          </w:tcPr>
          <w:p w14:paraId="00511145"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0" w:type="auto"/>
            <w:shd w:val="clear" w:color="auto" w:fill="auto"/>
          </w:tcPr>
          <w:p w14:paraId="4110422F"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1 894</w:t>
            </w:r>
          </w:p>
        </w:tc>
        <w:tc>
          <w:tcPr>
            <w:tcW w:w="0" w:type="auto"/>
            <w:shd w:val="clear" w:color="auto" w:fill="auto"/>
          </w:tcPr>
          <w:p w14:paraId="27C7CECF" w14:textId="77777777" w:rsidR="00DF6622" w:rsidRPr="003954D9" w:rsidRDefault="00DF662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7 832</w:t>
            </w:r>
          </w:p>
        </w:tc>
        <w:tc>
          <w:tcPr>
            <w:tcW w:w="0" w:type="auto"/>
            <w:shd w:val="clear" w:color="auto" w:fill="auto"/>
          </w:tcPr>
          <w:p w14:paraId="375592DF" w14:textId="77777777" w:rsidR="00DF6622" w:rsidRPr="003954D9" w:rsidRDefault="00DF6622">
            <w:pPr>
              <w:autoSpaceDE w:val="0"/>
              <w:autoSpaceDN w:val="0"/>
              <w:adjustRightInd w:val="0"/>
              <w:jc w:val="right"/>
              <w:rPr>
                <w:rFonts w:ascii="Calibri" w:hAnsi="Calibri" w:cs="Calibri"/>
                <w:color w:val="000000"/>
                <w:sz w:val="16"/>
                <w:szCs w:val="16"/>
              </w:rPr>
            </w:pPr>
          </w:p>
        </w:tc>
        <w:tc>
          <w:tcPr>
            <w:tcW w:w="0" w:type="auto"/>
            <w:shd w:val="clear" w:color="auto" w:fill="auto"/>
          </w:tcPr>
          <w:p w14:paraId="68F04D46"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2 223</w:t>
            </w:r>
          </w:p>
        </w:tc>
        <w:tc>
          <w:tcPr>
            <w:tcW w:w="0" w:type="auto"/>
            <w:shd w:val="clear" w:color="auto" w:fill="auto"/>
          </w:tcPr>
          <w:p w14:paraId="65D17595"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2 070</w:t>
            </w:r>
          </w:p>
        </w:tc>
        <w:tc>
          <w:tcPr>
            <w:tcW w:w="0" w:type="auto"/>
            <w:shd w:val="clear" w:color="auto" w:fill="auto"/>
          </w:tcPr>
          <w:p w14:paraId="2F98B856" w14:textId="77777777" w:rsidR="00DF6622" w:rsidRPr="003954D9" w:rsidRDefault="00DF662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4 581</w:t>
            </w:r>
          </w:p>
        </w:tc>
        <w:tc>
          <w:tcPr>
            <w:tcW w:w="0" w:type="auto"/>
            <w:shd w:val="clear" w:color="auto" w:fill="auto"/>
          </w:tcPr>
          <w:p w14:paraId="10E4819A" w14:textId="77777777" w:rsidR="00DF6622" w:rsidRPr="003954D9" w:rsidRDefault="00DF6622">
            <w:pPr>
              <w:autoSpaceDE w:val="0"/>
              <w:autoSpaceDN w:val="0"/>
              <w:adjustRightInd w:val="0"/>
              <w:jc w:val="right"/>
              <w:rPr>
                <w:rFonts w:ascii="Calibri" w:hAnsi="Calibri" w:cs="Calibri"/>
                <w:color w:val="000000"/>
                <w:sz w:val="16"/>
                <w:szCs w:val="16"/>
              </w:rPr>
            </w:pPr>
          </w:p>
        </w:tc>
        <w:tc>
          <w:tcPr>
            <w:tcW w:w="0" w:type="auto"/>
            <w:shd w:val="clear" w:color="auto" w:fill="auto"/>
          </w:tcPr>
          <w:p w14:paraId="294CB9ED"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2 841</w:t>
            </w:r>
          </w:p>
        </w:tc>
      </w:tr>
      <w:tr w:rsidR="00DF6622" w:rsidRPr="003954D9" w14:paraId="1D600800" w14:textId="77777777" w:rsidTr="00B978BC">
        <w:trPr>
          <w:trHeight w:val="227"/>
        </w:trPr>
        <w:tc>
          <w:tcPr>
            <w:tcW w:w="0" w:type="auto"/>
            <w:shd w:val="clear" w:color="auto" w:fill="auto"/>
          </w:tcPr>
          <w:p w14:paraId="41EA184B"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0" w:type="auto"/>
            <w:shd w:val="clear" w:color="auto" w:fill="auto"/>
          </w:tcPr>
          <w:p w14:paraId="4CB2BBE7" w14:textId="77777777" w:rsidR="00DF6622" w:rsidRPr="003954D9" w:rsidRDefault="00DF662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1 119</w:t>
            </w:r>
          </w:p>
        </w:tc>
        <w:tc>
          <w:tcPr>
            <w:tcW w:w="0" w:type="auto"/>
            <w:shd w:val="clear" w:color="auto" w:fill="auto"/>
          </w:tcPr>
          <w:p w14:paraId="7FDF71C5"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1 413</w:t>
            </w:r>
          </w:p>
        </w:tc>
        <w:tc>
          <w:tcPr>
            <w:tcW w:w="0" w:type="auto"/>
            <w:shd w:val="clear" w:color="auto" w:fill="auto"/>
          </w:tcPr>
          <w:p w14:paraId="3A1C7F23"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956</w:t>
            </w:r>
          </w:p>
        </w:tc>
        <w:tc>
          <w:tcPr>
            <w:tcW w:w="0" w:type="auto"/>
            <w:shd w:val="clear" w:color="auto" w:fill="auto"/>
          </w:tcPr>
          <w:p w14:paraId="72464332"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1 393</w:t>
            </w:r>
          </w:p>
        </w:tc>
        <w:tc>
          <w:tcPr>
            <w:tcW w:w="0" w:type="auto"/>
            <w:shd w:val="clear" w:color="auto" w:fill="auto"/>
          </w:tcPr>
          <w:p w14:paraId="0C8CBB12" w14:textId="77777777" w:rsidR="00DF6622" w:rsidRPr="003954D9" w:rsidRDefault="00DF662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526</w:t>
            </w:r>
          </w:p>
        </w:tc>
        <w:tc>
          <w:tcPr>
            <w:tcW w:w="0" w:type="auto"/>
            <w:shd w:val="clear" w:color="auto" w:fill="auto"/>
          </w:tcPr>
          <w:p w14:paraId="0DF15638"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1 030</w:t>
            </w:r>
          </w:p>
        </w:tc>
        <w:tc>
          <w:tcPr>
            <w:tcW w:w="0" w:type="auto"/>
            <w:shd w:val="clear" w:color="auto" w:fill="auto"/>
          </w:tcPr>
          <w:p w14:paraId="7E854A0D" w14:textId="77777777" w:rsidR="00DF6622" w:rsidRPr="003954D9" w:rsidRDefault="00DF6622">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-631</w:t>
            </w:r>
          </w:p>
        </w:tc>
        <w:tc>
          <w:tcPr>
            <w:tcW w:w="0" w:type="auto"/>
            <w:shd w:val="clear" w:color="auto" w:fill="auto"/>
          </w:tcPr>
          <w:p w14:paraId="5A76DF44"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921</w:t>
            </w:r>
          </w:p>
        </w:tc>
      </w:tr>
      <w:tr w:rsidR="00DF6622" w:rsidRPr="003954D9" w14:paraId="28940F65" w14:textId="77777777" w:rsidTr="00B978BC">
        <w:trPr>
          <w:trHeight w:val="227"/>
        </w:trPr>
        <w:tc>
          <w:tcPr>
            <w:tcW w:w="0" w:type="auto"/>
            <w:shd w:val="clear" w:color="auto" w:fill="auto"/>
          </w:tcPr>
          <w:p w14:paraId="081FA8BE" w14:textId="77777777" w:rsidR="00DF6622" w:rsidRPr="003954D9" w:rsidRDefault="00DF662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Alla</w:t>
            </w:r>
          </w:p>
        </w:tc>
        <w:tc>
          <w:tcPr>
            <w:tcW w:w="0" w:type="auto"/>
            <w:shd w:val="clear" w:color="auto" w:fill="auto"/>
          </w:tcPr>
          <w:p w14:paraId="4199321A"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2 332</w:t>
            </w:r>
          </w:p>
        </w:tc>
        <w:tc>
          <w:tcPr>
            <w:tcW w:w="0" w:type="auto"/>
            <w:shd w:val="clear" w:color="auto" w:fill="auto"/>
          </w:tcPr>
          <w:p w14:paraId="2D23E850"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2 839</w:t>
            </w:r>
          </w:p>
        </w:tc>
        <w:tc>
          <w:tcPr>
            <w:tcW w:w="0" w:type="auto"/>
            <w:shd w:val="clear" w:color="auto" w:fill="auto"/>
          </w:tcPr>
          <w:p w14:paraId="559408DF"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2 346</w:t>
            </w:r>
          </w:p>
        </w:tc>
        <w:tc>
          <w:tcPr>
            <w:tcW w:w="0" w:type="auto"/>
            <w:shd w:val="clear" w:color="auto" w:fill="auto"/>
          </w:tcPr>
          <w:p w14:paraId="2B253B9D"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2 149</w:t>
            </w:r>
          </w:p>
        </w:tc>
        <w:tc>
          <w:tcPr>
            <w:tcW w:w="0" w:type="auto"/>
            <w:shd w:val="clear" w:color="auto" w:fill="auto"/>
          </w:tcPr>
          <w:p w14:paraId="4E6CBF64"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1 359</w:t>
            </w:r>
          </w:p>
        </w:tc>
        <w:tc>
          <w:tcPr>
            <w:tcW w:w="0" w:type="auto"/>
            <w:shd w:val="clear" w:color="auto" w:fill="auto"/>
          </w:tcPr>
          <w:p w14:paraId="3CF73280"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1 964</w:t>
            </w:r>
          </w:p>
        </w:tc>
        <w:tc>
          <w:tcPr>
            <w:tcW w:w="0" w:type="auto"/>
            <w:shd w:val="clear" w:color="auto" w:fill="auto"/>
          </w:tcPr>
          <w:p w14:paraId="725923CD"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2 042</w:t>
            </w:r>
          </w:p>
        </w:tc>
        <w:tc>
          <w:tcPr>
            <w:tcW w:w="0" w:type="auto"/>
            <w:shd w:val="clear" w:color="auto" w:fill="auto"/>
          </w:tcPr>
          <w:p w14:paraId="60BF5E5D" w14:textId="77777777" w:rsidR="00DF6622" w:rsidRPr="003954D9" w:rsidRDefault="00DF662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1 856</w:t>
            </w:r>
          </w:p>
        </w:tc>
      </w:tr>
    </w:tbl>
    <w:p w14:paraId="28585470" w14:textId="77777777" w:rsidR="00BE6A74" w:rsidRPr="003954D9" w:rsidRDefault="00BE6A74" w:rsidP="00BE6A74">
      <w:pPr>
        <w:rPr>
          <w:b/>
          <w:color w:val="002060"/>
          <w:sz w:val="16"/>
          <w:szCs w:val="16"/>
        </w:rPr>
      </w:pPr>
      <w:r w:rsidRPr="003954D9">
        <w:rPr>
          <w:b/>
          <w:color w:val="FF0000"/>
          <w:sz w:val="16"/>
          <w:szCs w:val="16"/>
        </w:rPr>
        <w:t>Rött = högsta värde</w:t>
      </w:r>
      <w:r w:rsidRPr="003954D9">
        <w:rPr>
          <w:b/>
          <w:color w:val="002060"/>
          <w:sz w:val="16"/>
          <w:szCs w:val="16"/>
        </w:rPr>
        <w:t xml:space="preserve"> </w:t>
      </w:r>
      <w:r w:rsidRPr="0073239D">
        <w:rPr>
          <w:b/>
          <w:color w:val="0070C0"/>
          <w:sz w:val="16"/>
          <w:szCs w:val="16"/>
        </w:rPr>
        <w:t>Blått= lägsta värde</w:t>
      </w:r>
    </w:p>
    <w:p w14:paraId="356AFF5E" w14:textId="4AFD1CE3" w:rsidR="00D200CA" w:rsidRPr="003954D9" w:rsidRDefault="00540A4D" w:rsidP="00540A4D">
      <w:pPr>
        <w:pStyle w:val="Rubrik1"/>
      </w:pPr>
      <w:bookmarkStart w:id="98" w:name="_Toc463184403"/>
      <w:bookmarkStart w:id="99" w:name="_Toc464828408"/>
      <w:bookmarkStart w:id="100" w:name="_Toc467818479"/>
      <w:bookmarkStart w:id="101" w:name="_Toc468614365"/>
      <w:bookmarkEnd w:id="80"/>
      <w:bookmarkEnd w:id="81"/>
      <w:bookmarkEnd w:id="82"/>
      <w:bookmarkEnd w:id="83"/>
      <w:r w:rsidRPr="003954D9">
        <w:t xml:space="preserve">4. </w:t>
      </w:r>
      <w:r w:rsidR="00D200CA" w:rsidRPr="003954D9">
        <w:t>Hushållssammansättningen</w:t>
      </w:r>
      <w:bookmarkEnd w:id="98"/>
      <w:bookmarkEnd w:id="99"/>
      <w:bookmarkEnd w:id="100"/>
      <w:bookmarkEnd w:id="101"/>
      <w:r w:rsidRPr="003954D9">
        <w:t xml:space="preserve"> </w:t>
      </w:r>
    </w:p>
    <w:p w14:paraId="4748F94D" w14:textId="281CDD2D" w:rsidR="00C1595A" w:rsidRPr="003954D9" w:rsidRDefault="00E501C0" w:rsidP="00540A4D">
      <w:pPr>
        <w:pStyle w:val="Rubrik2"/>
      </w:pPr>
      <w:bookmarkStart w:id="102" w:name="_Toc463184404"/>
      <w:bookmarkStart w:id="103" w:name="_Toc464828409"/>
      <w:bookmarkStart w:id="104" w:name="_Toc333217231"/>
      <w:bookmarkStart w:id="105" w:name="_Toc333217326"/>
      <w:bookmarkStart w:id="106" w:name="_Toc333795974"/>
      <w:bookmarkStart w:id="107" w:name="_Toc333796226"/>
      <w:bookmarkStart w:id="108" w:name="_Toc333800756"/>
      <w:bookmarkStart w:id="109" w:name="_Toc333800874"/>
      <w:r w:rsidRPr="003954D9">
        <w:t>Hushåll</w:t>
      </w:r>
      <w:r w:rsidR="00C1595A" w:rsidRPr="003954D9">
        <w:t>ssammansättningen</w:t>
      </w:r>
      <w:r w:rsidR="00A32063" w:rsidRPr="003954D9">
        <w:t xml:space="preserve"> </w:t>
      </w:r>
      <w:r w:rsidR="00C1595A" w:rsidRPr="003954D9">
        <w:t xml:space="preserve">– hela </w:t>
      </w:r>
      <w:r w:rsidR="00A917D2" w:rsidRPr="003954D9">
        <w:t>urvalet</w:t>
      </w:r>
      <w:bookmarkEnd w:id="102"/>
      <w:bookmarkEnd w:id="103"/>
    </w:p>
    <w:p w14:paraId="1D8A33E2" w14:textId="68733575" w:rsidR="00B9357B" w:rsidRPr="003954D9" w:rsidRDefault="00C1595A" w:rsidP="00716972">
      <w:r w:rsidRPr="003954D9">
        <w:t xml:space="preserve"> </w:t>
      </w:r>
      <w:bookmarkEnd w:id="104"/>
      <w:bookmarkEnd w:id="105"/>
      <w:bookmarkEnd w:id="106"/>
      <w:bookmarkEnd w:id="107"/>
      <w:bookmarkEnd w:id="108"/>
      <w:bookmarkEnd w:id="109"/>
      <w:r w:rsidR="00B9357B" w:rsidRPr="003954D9">
        <w:t xml:space="preserve">I den undersökta gruppen utgör </w:t>
      </w:r>
      <w:r w:rsidR="00B9357B" w:rsidRPr="003954D9">
        <w:rPr>
          <w:i/>
        </w:rPr>
        <w:t>ensamboende</w:t>
      </w:r>
      <w:r w:rsidR="00B9357B" w:rsidRPr="003954D9">
        <w:t xml:space="preserve"> utan barn den största gruppen (45 </w:t>
      </w:r>
      <w:r w:rsidR="00475673" w:rsidRPr="003954D9">
        <w:t>procent</w:t>
      </w:r>
      <w:r w:rsidR="00B9357B" w:rsidRPr="003954D9">
        <w:t>). Av dem återfinns drygt</w:t>
      </w:r>
      <w:r w:rsidR="00387126" w:rsidRPr="003954D9">
        <w:t xml:space="preserve"> två tredjedelar i åldrarna </w:t>
      </w:r>
      <w:r w:rsidR="00365C66" w:rsidRPr="00E064D1">
        <w:t>18–64</w:t>
      </w:r>
      <w:r w:rsidR="00B9357B" w:rsidRPr="00E064D1">
        <w:t xml:space="preserve"> år</w:t>
      </w:r>
      <w:r w:rsidR="009F1EE3">
        <w:t>.</w:t>
      </w:r>
      <w:r w:rsidR="00B9357B" w:rsidRPr="003954D9">
        <w:t xml:space="preserve"> </w:t>
      </w:r>
      <w:r w:rsidR="00716972" w:rsidRPr="003954D9">
        <w:t xml:space="preserve">Lägger man till dem </w:t>
      </w:r>
      <w:r w:rsidR="00DD37B9" w:rsidRPr="003954D9">
        <w:t xml:space="preserve">ensamstående med barn </w:t>
      </w:r>
      <w:r w:rsidR="00A0050A" w:rsidRPr="003954D9">
        <w:t xml:space="preserve">(8 procent) </w:t>
      </w:r>
      <w:r w:rsidR="00DD37B9" w:rsidRPr="003954D9">
        <w:t xml:space="preserve">betyder det att över hälften av hushållen har </w:t>
      </w:r>
      <w:r w:rsidR="009F1EE3">
        <w:t xml:space="preserve">bara </w:t>
      </w:r>
      <w:r w:rsidR="00DD37B9" w:rsidRPr="003954D9">
        <w:t xml:space="preserve">en försörjare, vilket skapar större utsatthet exempelvis vid hyreshöjningar jämfört med andra hushåll. </w:t>
      </w:r>
    </w:p>
    <w:p w14:paraId="34411D2F" w14:textId="7B2D66A6" w:rsidR="00C1595A" w:rsidRPr="003954D9" w:rsidRDefault="00C1595A" w:rsidP="00C1595A">
      <w:r w:rsidRPr="003954D9">
        <w:t xml:space="preserve">I vart tredje hushåll finns </w:t>
      </w:r>
      <w:r w:rsidRPr="003954D9">
        <w:rPr>
          <w:i/>
        </w:rPr>
        <w:t>barn</w:t>
      </w:r>
      <w:r w:rsidRPr="003954D9">
        <w:t xml:space="preserve"> och här utgör samboende med barn den största gruppen följd av </w:t>
      </w:r>
    </w:p>
    <w:p w14:paraId="1B596A5D" w14:textId="7DCBB39C" w:rsidR="00C1595A" w:rsidRPr="003954D9" w:rsidRDefault="00C1595A" w:rsidP="00CE0196">
      <w:r w:rsidRPr="003954D9">
        <w:t xml:space="preserve">gruppen övriga hushåll med barn (med fler än två vuxna) – vart tredje barnhushåll har fler än två vuxna i hushållet. Gruppen ensamstående </w:t>
      </w:r>
      <w:r w:rsidR="00D1005E" w:rsidRPr="003954D9">
        <w:t>med</w:t>
      </w:r>
      <w:r w:rsidRPr="003954D9">
        <w:t xml:space="preserve"> barn utgör 8 procent av hushållen. </w:t>
      </w:r>
    </w:p>
    <w:p w14:paraId="5B2E97E2" w14:textId="7EFAC5A7" w:rsidR="00B9357B" w:rsidRPr="003954D9" w:rsidRDefault="00C1595A" w:rsidP="00C1595A">
      <w:r w:rsidRPr="003954D9">
        <w:rPr>
          <w:i/>
        </w:rPr>
        <w:t>Samboende</w:t>
      </w:r>
      <w:r w:rsidRPr="003954D9">
        <w:t xml:space="preserve"> </w:t>
      </w:r>
      <w:r w:rsidRPr="003954D9">
        <w:rPr>
          <w:i/>
        </w:rPr>
        <w:t>utan barn</w:t>
      </w:r>
      <w:r w:rsidRPr="003954D9">
        <w:t xml:space="preserve"> utgör ungefär vart sjunde hushåll och här är flertalet i åldrarna </w:t>
      </w:r>
      <w:r w:rsidR="00365C66" w:rsidRPr="003954D9">
        <w:t>18–64</w:t>
      </w:r>
      <w:r w:rsidRPr="003954D9">
        <w:t xml:space="preserve"> år. </w:t>
      </w:r>
    </w:p>
    <w:p w14:paraId="0F72C51D" w14:textId="26D6C177" w:rsidR="00CD1413" w:rsidRPr="003954D9" w:rsidRDefault="00DD37B9" w:rsidP="00CE0196">
      <w:r w:rsidRPr="003954D9">
        <w:t>I vart femte hushåll finns fler än två vuxna (1</w:t>
      </w:r>
      <w:r w:rsidR="00A32063" w:rsidRPr="003954D9">
        <w:t xml:space="preserve">9,5 </w:t>
      </w:r>
      <w:r w:rsidR="00365C66" w:rsidRPr="003954D9">
        <w:t>procent</w:t>
      </w:r>
      <w:r w:rsidR="009F1EE3">
        <w:t xml:space="preserve"> </w:t>
      </w:r>
      <w:r w:rsidR="00365C66" w:rsidRPr="003954D9">
        <w:t>med</w:t>
      </w:r>
      <w:r w:rsidR="00A32063" w:rsidRPr="003954D9">
        <w:t xml:space="preserve"> och utan barn)</w:t>
      </w:r>
      <w:r w:rsidRPr="003954D9">
        <w:t xml:space="preserve">. </w:t>
      </w:r>
    </w:p>
    <w:p w14:paraId="7435A733" w14:textId="2BD0A0C9" w:rsidR="00D1005E" w:rsidRPr="003954D9" w:rsidRDefault="00A0050A" w:rsidP="00CE0196">
      <w:r w:rsidRPr="003954D9">
        <w:t>O</w:t>
      </w:r>
      <w:r w:rsidR="00D1005E" w:rsidRPr="003954D9">
        <w:t xml:space="preserve">m vi stället utgår från antalet </w:t>
      </w:r>
      <w:r w:rsidR="00D1005E" w:rsidRPr="003954D9">
        <w:rPr>
          <w:i/>
        </w:rPr>
        <w:t>personer</w:t>
      </w:r>
      <w:r w:rsidR="00D1005E" w:rsidRPr="003954D9">
        <w:t xml:space="preserve">, bor </w:t>
      </w:r>
      <w:r w:rsidR="009F1EE3">
        <w:t xml:space="preserve">flertalet i </w:t>
      </w:r>
      <w:r w:rsidR="009F1EE3" w:rsidRPr="003954D9">
        <w:t xml:space="preserve">hushåll med barn </w:t>
      </w:r>
      <w:r w:rsidR="00D1005E" w:rsidRPr="003954D9">
        <w:t>(58 procent)</w:t>
      </w:r>
      <w:r w:rsidR="009F1EE3">
        <w:t xml:space="preserve">. </w:t>
      </w:r>
      <w:r w:rsidR="00E97783" w:rsidRPr="003954D9">
        <w:t xml:space="preserve">Den största boendearean per person har ensamboende utan barn i åldern 65 år och äldre (62,5 kvm). Den minsta </w:t>
      </w:r>
      <w:r w:rsidRPr="003954D9">
        <w:t xml:space="preserve">boendearean </w:t>
      </w:r>
      <w:r w:rsidR="00E97783" w:rsidRPr="003954D9">
        <w:t xml:space="preserve">har samboende med 3 eller flera barn </w:t>
      </w:r>
      <w:r w:rsidR="00365C66" w:rsidRPr="003954D9">
        <w:t>0–19</w:t>
      </w:r>
      <w:r w:rsidR="00E97783" w:rsidRPr="003954D9">
        <w:t xml:space="preserve"> år (15,5 kvm).</w:t>
      </w:r>
      <w:r w:rsidR="005B78DB">
        <w:t xml:space="preserve"> Se tabell 4:1.</w:t>
      </w:r>
    </w:p>
    <w:p w14:paraId="0954387A" w14:textId="77777777" w:rsidR="00282B9F" w:rsidRPr="003954D9" w:rsidRDefault="00282B9F" w:rsidP="00B12933">
      <w:pPr>
        <w:pStyle w:val="Rubrik5"/>
      </w:pPr>
      <w:r w:rsidRPr="003954D9">
        <w:br w:type="page"/>
      </w:r>
    </w:p>
    <w:p w14:paraId="775F721A" w14:textId="2509F04B" w:rsidR="00E97783" w:rsidRPr="003954D9" w:rsidRDefault="00E97783" w:rsidP="00B12933">
      <w:pPr>
        <w:pStyle w:val="Rubrik5"/>
      </w:pPr>
      <w:r w:rsidRPr="003954D9">
        <w:lastRenderedPageBreak/>
        <w:t xml:space="preserve">Tabell </w:t>
      </w:r>
      <w:r w:rsidR="0044416B" w:rsidRPr="003954D9">
        <w:t>4:1</w:t>
      </w:r>
      <w:r w:rsidRPr="003954D9">
        <w:t xml:space="preserve">: Hushållstyper, antal personer, boarea per person och boende per hushåll </w:t>
      </w:r>
      <w:r w:rsidR="00747DCB" w:rsidRPr="003954D9">
        <w:t>– medelvärden-</w:t>
      </w:r>
      <w:r w:rsidRPr="003954D9">
        <w:t xml:space="preserve"> </w:t>
      </w:r>
      <w:r w:rsidR="00747DCB" w:rsidRPr="003954D9">
        <w:t>hela urvalet</w:t>
      </w:r>
    </w:p>
    <w:tbl>
      <w:tblPr>
        <w:tblW w:w="0" w:type="auto"/>
        <w:tblInd w:w="-38" w:type="dxa"/>
        <w:tblLayout w:type="fixed"/>
        <w:tblCellMar>
          <w:left w:w="70" w:type="dxa"/>
          <w:right w:w="70" w:type="dxa"/>
        </w:tblCellMar>
        <w:tblLook w:val="0000" w:firstRow="0" w:lastRow="0" w:firstColumn="0" w:lastColumn="0" w:noHBand="0" w:noVBand="0"/>
      </w:tblPr>
      <w:tblGrid>
        <w:gridCol w:w="2157"/>
        <w:gridCol w:w="789"/>
        <w:gridCol w:w="654"/>
        <w:gridCol w:w="709"/>
        <w:gridCol w:w="567"/>
        <w:gridCol w:w="919"/>
        <w:gridCol w:w="782"/>
        <w:gridCol w:w="807"/>
      </w:tblGrid>
      <w:tr w:rsidR="00F32099" w:rsidRPr="003954D9" w14:paraId="7674AA8E" w14:textId="77777777" w:rsidTr="00F32099">
        <w:trPr>
          <w:trHeight w:val="227"/>
        </w:trPr>
        <w:tc>
          <w:tcPr>
            <w:tcW w:w="2157" w:type="dxa"/>
            <w:vMerge w:val="restart"/>
            <w:tcBorders>
              <w:top w:val="single" w:sz="6" w:space="0" w:color="auto"/>
              <w:left w:val="single" w:sz="6" w:space="0" w:color="auto"/>
              <w:right w:val="single" w:sz="6" w:space="0" w:color="auto"/>
            </w:tcBorders>
            <w:vAlign w:val="center"/>
          </w:tcPr>
          <w:p w14:paraId="7CA061E7" w14:textId="77777777" w:rsidR="00F32099" w:rsidRPr="003954D9" w:rsidRDefault="00F32099" w:rsidP="00D1005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Hushållstyp</w:t>
            </w:r>
          </w:p>
        </w:tc>
        <w:tc>
          <w:tcPr>
            <w:tcW w:w="1443" w:type="dxa"/>
            <w:gridSpan w:val="2"/>
            <w:tcBorders>
              <w:top w:val="single" w:sz="6" w:space="0" w:color="auto"/>
              <w:left w:val="single" w:sz="6" w:space="0" w:color="auto"/>
              <w:bottom w:val="single" w:sz="6" w:space="0" w:color="auto"/>
              <w:right w:val="single" w:sz="6" w:space="0" w:color="auto"/>
            </w:tcBorders>
            <w:vAlign w:val="center"/>
          </w:tcPr>
          <w:p w14:paraId="29C8EF23" w14:textId="7A1E7A99" w:rsidR="00F32099" w:rsidRPr="003954D9" w:rsidRDefault="00F32099" w:rsidP="00F32099">
            <w:pPr>
              <w:autoSpaceDE w:val="0"/>
              <w:autoSpaceDN w:val="0"/>
              <w:adjustRightInd w:val="0"/>
              <w:rPr>
                <w:rFonts w:ascii="Calibri" w:hAnsi="Calibri" w:cs="Calibri"/>
                <w:color w:val="000000"/>
                <w:sz w:val="22"/>
                <w:szCs w:val="22"/>
              </w:rPr>
            </w:pPr>
            <w:r w:rsidRPr="003954D9">
              <w:rPr>
                <w:rFonts w:ascii="Calibri" w:hAnsi="Calibri" w:cs="Calibri"/>
                <w:b/>
                <w:bCs/>
                <w:color w:val="000000"/>
                <w:sz w:val="16"/>
                <w:szCs w:val="16"/>
              </w:rPr>
              <w:t>Hushåll</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C8AD1DB" w14:textId="77777777" w:rsidR="00F32099" w:rsidRPr="003954D9" w:rsidRDefault="00F32099" w:rsidP="00F3209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w:t>
            </w:r>
          </w:p>
        </w:tc>
        <w:tc>
          <w:tcPr>
            <w:tcW w:w="1701" w:type="dxa"/>
            <w:gridSpan w:val="2"/>
            <w:tcBorders>
              <w:top w:val="single" w:sz="6" w:space="0" w:color="auto"/>
              <w:left w:val="single" w:sz="6" w:space="0" w:color="auto"/>
              <w:bottom w:val="single" w:sz="4" w:space="0" w:color="auto"/>
              <w:right w:val="single" w:sz="6" w:space="0" w:color="auto"/>
            </w:tcBorders>
            <w:vAlign w:val="center"/>
          </w:tcPr>
          <w:p w14:paraId="4FB54FD3" w14:textId="19CBB233" w:rsidR="00F32099" w:rsidRPr="003954D9" w:rsidRDefault="00F32099" w:rsidP="00D1005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Boarea</w:t>
            </w:r>
          </w:p>
        </w:tc>
        <w:tc>
          <w:tcPr>
            <w:tcW w:w="807" w:type="dxa"/>
            <w:vMerge w:val="restart"/>
            <w:tcBorders>
              <w:top w:val="single" w:sz="6" w:space="0" w:color="auto"/>
              <w:left w:val="single" w:sz="6" w:space="0" w:color="auto"/>
              <w:right w:val="single" w:sz="6" w:space="0" w:color="auto"/>
            </w:tcBorders>
            <w:vAlign w:val="center"/>
          </w:tcPr>
          <w:p w14:paraId="79C4300F" w14:textId="2DBF027F" w:rsidR="00F32099" w:rsidRPr="003954D9" w:rsidRDefault="00F32099" w:rsidP="00D1005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Boende/ hushåll</w:t>
            </w:r>
          </w:p>
        </w:tc>
      </w:tr>
      <w:tr w:rsidR="00F32099" w:rsidRPr="003954D9" w14:paraId="1772616B" w14:textId="77777777" w:rsidTr="00F32099">
        <w:trPr>
          <w:trHeight w:val="133"/>
        </w:trPr>
        <w:tc>
          <w:tcPr>
            <w:tcW w:w="2157" w:type="dxa"/>
            <w:vMerge/>
            <w:tcBorders>
              <w:left w:val="single" w:sz="6" w:space="0" w:color="auto"/>
              <w:bottom w:val="single" w:sz="6" w:space="0" w:color="auto"/>
              <w:right w:val="single" w:sz="6" w:space="0" w:color="auto"/>
            </w:tcBorders>
            <w:vAlign w:val="center"/>
          </w:tcPr>
          <w:p w14:paraId="74BFF435" w14:textId="77777777" w:rsidR="00F32099" w:rsidRPr="003954D9" w:rsidRDefault="00F32099" w:rsidP="00D1005E">
            <w:pPr>
              <w:autoSpaceDE w:val="0"/>
              <w:autoSpaceDN w:val="0"/>
              <w:adjustRightInd w:val="0"/>
              <w:jc w:val="right"/>
              <w:rPr>
                <w:rFonts w:ascii="Calibri" w:hAnsi="Calibri" w:cs="Calibri"/>
                <w:color w:val="000000"/>
                <w:sz w:val="22"/>
                <w:szCs w:val="22"/>
              </w:rPr>
            </w:pPr>
          </w:p>
        </w:tc>
        <w:tc>
          <w:tcPr>
            <w:tcW w:w="789" w:type="dxa"/>
            <w:tcBorders>
              <w:top w:val="single" w:sz="6" w:space="0" w:color="auto"/>
              <w:left w:val="single" w:sz="6" w:space="0" w:color="auto"/>
              <w:bottom w:val="single" w:sz="6" w:space="0" w:color="auto"/>
              <w:right w:val="single" w:sz="6" w:space="0" w:color="auto"/>
            </w:tcBorders>
            <w:vAlign w:val="center"/>
          </w:tcPr>
          <w:p w14:paraId="03088161" w14:textId="70F5F85D" w:rsidR="00F32099" w:rsidRPr="003954D9" w:rsidRDefault="00F32099" w:rsidP="00D1005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654" w:type="dxa"/>
            <w:tcBorders>
              <w:top w:val="single" w:sz="6" w:space="0" w:color="auto"/>
              <w:left w:val="single" w:sz="6" w:space="0" w:color="auto"/>
              <w:bottom w:val="single" w:sz="6" w:space="0" w:color="auto"/>
              <w:right w:val="single" w:sz="6" w:space="0" w:color="auto"/>
            </w:tcBorders>
            <w:vAlign w:val="center"/>
          </w:tcPr>
          <w:p w14:paraId="78581DE8" w14:textId="317A6E77" w:rsidR="00F32099" w:rsidRPr="003954D9" w:rsidRDefault="00F32099" w:rsidP="00D1005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vAlign w:val="center"/>
          </w:tcPr>
          <w:p w14:paraId="67804BE9" w14:textId="44957C6F" w:rsidR="00F32099" w:rsidRPr="003954D9" w:rsidRDefault="00F32099" w:rsidP="00D1005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567" w:type="dxa"/>
            <w:tcBorders>
              <w:top w:val="single" w:sz="6" w:space="0" w:color="auto"/>
              <w:left w:val="single" w:sz="6" w:space="0" w:color="auto"/>
              <w:bottom w:val="single" w:sz="6" w:space="0" w:color="auto"/>
              <w:right w:val="single" w:sz="4" w:space="0" w:color="auto"/>
            </w:tcBorders>
            <w:vAlign w:val="center"/>
          </w:tcPr>
          <w:p w14:paraId="3FED1983" w14:textId="57C6839A" w:rsidR="00F32099" w:rsidRPr="003954D9" w:rsidRDefault="00F32099" w:rsidP="00D1005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919" w:type="dxa"/>
            <w:tcBorders>
              <w:top w:val="single" w:sz="4" w:space="0" w:color="auto"/>
              <w:left w:val="single" w:sz="4" w:space="0" w:color="auto"/>
              <w:bottom w:val="single" w:sz="4" w:space="0" w:color="auto"/>
              <w:right w:val="single" w:sz="4" w:space="0" w:color="auto"/>
            </w:tcBorders>
            <w:vAlign w:val="center"/>
          </w:tcPr>
          <w:p w14:paraId="05F897B3" w14:textId="58B2779D" w:rsidR="00F32099" w:rsidRPr="003954D9" w:rsidRDefault="00F32099" w:rsidP="00D1005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Medelv.</w:t>
            </w:r>
          </w:p>
        </w:tc>
        <w:tc>
          <w:tcPr>
            <w:tcW w:w="782" w:type="dxa"/>
            <w:tcBorders>
              <w:top w:val="single" w:sz="4" w:space="0" w:color="auto"/>
              <w:left w:val="single" w:sz="4" w:space="0" w:color="auto"/>
              <w:bottom w:val="single" w:sz="4" w:space="0" w:color="auto"/>
              <w:right w:val="single" w:sz="6" w:space="0" w:color="auto"/>
            </w:tcBorders>
            <w:vAlign w:val="center"/>
          </w:tcPr>
          <w:p w14:paraId="2CE07117" w14:textId="0D1DC1EB" w:rsidR="00F32099" w:rsidRPr="003954D9" w:rsidRDefault="00F32099" w:rsidP="00996865">
            <w:pPr>
              <w:autoSpaceDE w:val="0"/>
              <w:autoSpaceDN w:val="0"/>
              <w:adjustRightInd w:val="0"/>
              <w:rPr>
                <w:rFonts w:ascii="Calibri" w:hAnsi="Calibri" w:cs="Calibri"/>
                <w:b/>
                <w:bCs/>
                <w:color w:val="000000"/>
                <w:sz w:val="22"/>
                <w:szCs w:val="22"/>
              </w:rPr>
            </w:pPr>
            <w:r w:rsidRPr="003954D9">
              <w:rPr>
                <w:rFonts w:ascii="Calibri" w:hAnsi="Calibri" w:cs="Calibri"/>
                <w:b/>
                <w:bCs/>
                <w:color w:val="000000"/>
                <w:sz w:val="16"/>
                <w:szCs w:val="16"/>
              </w:rPr>
              <w:t>Per pers</w:t>
            </w:r>
            <w:r w:rsidRPr="003954D9">
              <w:rPr>
                <w:rFonts w:ascii="Calibri" w:hAnsi="Calibri" w:cs="Calibri"/>
                <w:b/>
                <w:bCs/>
                <w:color w:val="000000"/>
                <w:sz w:val="22"/>
                <w:szCs w:val="22"/>
              </w:rPr>
              <w:t>.</w:t>
            </w:r>
          </w:p>
        </w:tc>
        <w:tc>
          <w:tcPr>
            <w:tcW w:w="807" w:type="dxa"/>
            <w:vMerge/>
            <w:tcBorders>
              <w:left w:val="single" w:sz="6" w:space="0" w:color="auto"/>
              <w:bottom w:val="single" w:sz="6" w:space="0" w:color="auto"/>
              <w:right w:val="single" w:sz="6" w:space="0" w:color="auto"/>
            </w:tcBorders>
            <w:vAlign w:val="center"/>
          </w:tcPr>
          <w:p w14:paraId="395F48A3" w14:textId="77777777" w:rsidR="00F32099" w:rsidRPr="003954D9" w:rsidRDefault="00F32099" w:rsidP="00D1005E">
            <w:pPr>
              <w:autoSpaceDE w:val="0"/>
              <w:autoSpaceDN w:val="0"/>
              <w:adjustRightInd w:val="0"/>
              <w:jc w:val="right"/>
              <w:rPr>
                <w:rFonts w:ascii="Calibri" w:hAnsi="Calibri" w:cs="Calibri"/>
                <w:b/>
                <w:bCs/>
                <w:color w:val="000000"/>
                <w:sz w:val="22"/>
                <w:szCs w:val="22"/>
              </w:rPr>
            </w:pPr>
          </w:p>
        </w:tc>
      </w:tr>
      <w:tr w:rsidR="00D1005E" w:rsidRPr="003954D9" w14:paraId="539205CD" w14:textId="77777777" w:rsidTr="00F32099">
        <w:trPr>
          <w:trHeight w:val="227"/>
        </w:trPr>
        <w:tc>
          <w:tcPr>
            <w:tcW w:w="2157" w:type="dxa"/>
            <w:tcBorders>
              <w:top w:val="single" w:sz="6" w:space="0" w:color="auto"/>
              <w:left w:val="single" w:sz="6" w:space="0" w:color="auto"/>
              <w:bottom w:val="single" w:sz="6" w:space="0" w:color="auto"/>
              <w:right w:val="single" w:sz="6" w:space="0" w:color="auto"/>
            </w:tcBorders>
            <w:vAlign w:val="center"/>
          </w:tcPr>
          <w:p w14:paraId="1A10154C" w14:textId="395B248E" w:rsidR="00D1005E" w:rsidRPr="00DD3DF3" w:rsidRDefault="00D1005E" w:rsidP="00D1005E">
            <w:pPr>
              <w:autoSpaceDE w:val="0"/>
              <w:autoSpaceDN w:val="0"/>
              <w:adjustRightInd w:val="0"/>
              <w:rPr>
                <w:rFonts w:ascii="Calibri" w:hAnsi="Calibri" w:cs="Calibri"/>
                <w:b/>
                <w:color w:val="000000"/>
                <w:sz w:val="16"/>
                <w:szCs w:val="16"/>
              </w:rPr>
            </w:pPr>
            <w:proofErr w:type="spellStart"/>
            <w:r w:rsidRPr="00DD3DF3">
              <w:rPr>
                <w:rFonts w:ascii="Calibri" w:hAnsi="Calibri" w:cs="Calibri"/>
                <w:b/>
                <w:color w:val="000000"/>
                <w:sz w:val="16"/>
                <w:szCs w:val="16"/>
              </w:rPr>
              <w:t>Ensamsb</w:t>
            </w:r>
            <w:proofErr w:type="spellEnd"/>
            <w:r w:rsidRPr="00DD3DF3">
              <w:rPr>
                <w:rFonts w:ascii="Calibri" w:hAnsi="Calibri" w:cs="Calibri"/>
                <w:b/>
                <w:color w:val="000000"/>
                <w:sz w:val="16"/>
                <w:szCs w:val="16"/>
              </w:rPr>
              <w:t xml:space="preserve">. u. barn </w:t>
            </w:r>
            <w:r w:rsidR="00365C66" w:rsidRPr="00DD3DF3">
              <w:rPr>
                <w:rFonts w:ascii="Calibri" w:hAnsi="Calibri" w:cs="Calibri"/>
                <w:b/>
                <w:color w:val="000000"/>
                <w:sz w:val="16"/>
                <w:szCs w:val="16"/>
              </w:rPr>
              <w:t>18–64</w:t>
            </w:r>
            <w:r w:rsidRPr="00DD3DF3">
              <w:rPr>
                <w:rFonts w:ascii="Calibri" w:hAnsi="Calibri" w:cs="Calibri"/>
                <w:b/>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vAlign w:val="center"/>
          </w:tcPr>
          <w:p w14:paraId="760DCCC3" w14:textId="77777777" w:rsidR="00D1005E" w:rsidRPr="003954D9" w:rsidRDefault="00D1005E" w:rsidP="00D1005E">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7 495</w:t>
            </w:r>
          </w:p>
        </w:tc>
        <w:tc>
          <w:tcPr>
            <w:tcW w:w="654" w:type="dxa"/>
            <w:tcBorders>
              <w:top w:val="single" w:sz="6" w:space="0" w:color="auto"/>
              <w:left w:val="single" w:sz="6" w:space="0" w:color="auto"/>
              <w:bottom w:val="single" w:sz="6" w:space="0" w:color="auto"/>
              <w:right w:val="single" w:sz="6" w:space="0" w:color="auto"/>
            </w:tcBorders>
            <w:vAlign w:val="center"/>
          </w:tcPr>
          <w:p w14:paraId="0A7551F9" w14:textId="77777777" w:rsidR="00D1005E" w:rsidRPr="003954D9" w:rsidRDefault="00D1005E" w:rsidP="00D1005E">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32,5</w:t>
            </w:r>
          </w:p>
        </w:tc>
        <w:tc>
          <w:tcPr>
            <w:tcW w:w="709" w:type="dxa"/>
            <w:tcBorders>
              <w:top w:val="single" w:sz="6" w:space="0" w:color="auto"/>
              <w:left w:val="single" w:sz="6" w:space="0" w:color="auto"/>
              <w:bottom w:val="single" w:sz="6" w:space="0" w:color="auto"/>
              <w:right w:val="single" w:sz="6" w:space="0" w:color="auto"/>
            </w:tcBorders>
            <w:vAlign w:val="center"/>
          </w:tcPr>
          <w:p w14:paraId="51D67E1F" w14:textId="77777777" w:rsidR="00D1005E" w:rsidRPr="003954D9" w:rsidRDefault="00D1005E" w:rsidP="00D1005E">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7 495</w:t>
            </w:r>
          </w:p>
        </w:tc>
        <w:tc>
          <w:tcPr>
            <w:tcW w:w="567" w:type="dxa"/>
            <w:tcBorders>
              <w:top w:val="single" w:sz="4" w:space="0" w:color="auto"/>
              <w:left w:val="single" w:sz="6" w:space="0" w:color="auto"/>
              <w:bottom w:val="single" w:sz="6" w:space="0" w:color="auto"/>
              <w:right w:val="single" w:sz="6" w:space="0" w:color="auto"/>
            </w:tcBorders>
            <w:vAlign w:val="center"/>
          </w:tcPr>
          <w:p w14:paraId="2CB13BBC" w14:textId="77777777" w:rsidR="00D1005E" w:rsidRPr="003954D9" w:rsidRDefault="00D1005E" w:rsidP="00D1005E">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14,6</w:t>
            </w:r>
          </w:p>
        </w:tc>
        <w:tc>
          <w:tcPr>
            <w:tcW w:w="919" w:type="dxa"/>
            <w:tcBorders>
              <w:top w:val="single" w:sz="4" w:space="0" w:color="auto"/>
              <w:left w:val="single" w:sz="6" w:space="0" w:color="auto"/>
              <w:bottom w:val="single" w:sz="6" w:space="0" w:color="auto"/>
              <w:right w:val="single" w:sz="6" w:space="0" w:color="auto"/>
            </w:tcBorders>
            <w:vAlign w:val="center"/>
          </w:tcPr>
          <w:p w14:paraId="264D7849" w14:textId="77777777" w:rsidR="00D1005E" w:rsidRPr="003954D9" w:rsidRDefault="00D1005E" w:rsidP="00D1005E">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52,4</w:t>
            </w:r>
          </w:p>
        </w:tc>
        <w:tc>
          <w:tcPr>
            <w:tcW w:w="782" w:type="dxa"/>
            <w:tcBorders>
              <w:top w:val="single" w:sz="4" w:space="0" w:color="auto"/>
              <w:left w:val="single" w:sz="6" w:space="0" w:color="auto"/>
              <w:bottom w:val="single" w:sz="6" w:space="0" w:color="auto"/>
              <w:right w:val="single" w:sz="6" w:space="0" w:color="auto"/>
            </w:tcBorders>
            <w:vAlign w:val="center"/>
          </w:tcPr>
          <w:p w14:paraId="050C4BF5"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52,4</w:t>
            </w:r>
          </w:p>
        </w:tc>
        <w:tc>
          <w:tcPr>
            <w:tcW w:w="807" w:type="dxa"/>
            <w:tcBorders>
              <w:top w:val="single" w:sz="6" w:space="0" w:color="auto"/>
              <w:left w:val="single" w:sz="6" w:space="0" w:color="auto"/>
              <w:bottom w:val="single" w:sz="6" w:space="0" w:color="auto"/>
              <w:right w:val="single" w:sz="6" w:space="0" w:color="auto"/>
            </w:tcBorders>
            <w:vAlign w:val="center"/>
          </w:tcPr>
          <w:p w14:paraId="43CABBC3" w14:textId="77777777" w:rsidR="00D1005E" w:rsidRPr="003954D9" w:rsidRDefault="00D1005E" w:rsidP="00D1005E">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1,00</w:t>
            </w:r>
          </w:p>
        </w:tc>
      </w:tr>
      <w:tr w:rsidR="00D1005E" w:rsidRPr="003954D9" w14:paraId="749E44A7" w14:textId="77777777" w:rsidTr="00F32099">
        <w:trPr>
          <w:trHeight w:val="227"/>
        </w:trPr>
        <w:tc>
          <w:tcPr>
            <w:tcW w:w="2157" w:type="dxa"/>
            <w:tcBorders>
              <w:top w:val="single" w:sz="6" w:space="0" w:color="auto"/>
              <w:left w:val="single" w:sz="6" w:space="0" w:color="auto"/>
              <w:bottom w:val="single" w:sz="6" w:space="0" w:color="auto"/>
              <w:right w:val="single" w:sz="6" w:space="0" w:color="auto"/>
            </w:tcBorders>
            <w:vAlign w:val="center"/>
          </w:tcPr>
          <w:p w14:paraId="23F55AC6" w14:textId="13785A66" w:rsidR="00D1005E" w:rsidRPr="00DD3DF3" w:rsidRDefault="00D1005E" w:rsidP="00D1005E">
            <w:pPr>
              <w:autoSpaceDE w:val="0"/>
              <w:autoSpaceDN w:val="0"/>
              <w:adjustRightInd w:val="0"/>
              <w:rPr>
                <w:rFonts w:ascii="Calibri" w:hAnsi="Calibri" w:cs="Calibri"/>
                <w:b/>
                <w:color w:val="000000"/>
                <w:sz w:val="16"/>
                <w:szCs w:val="16"/>
              </w:rPr>
            </w:pPr>
            <w:r w:rsidRPr="00DD3DF3">
              <w:rPr>
                <w:rFonts w:ascii="Calibri" w:hAnsi="Calibri" w:cs="Calibri"/>
                <w:b/>
                <w:color w:val="000000"/>
                <w:sz w:val="16"/>
                <w:szCs w:val="16"/>
              </w:rPr>
              <w:t xml:space="preserve">Ensambo. u. barn </w:t>
            </w:r>
            <w:r w:rsidR="00365C66" w:rsidRPr="00DD3DF3">
              <w:rPr>
                <w:rFonts w:ascii="Calibri" w:hAnsi="Calibri" w:cs="Calibri"/>
                <w:b/>
                <w:color w:val="000000"/>
                <w:sz w:val="16"/>
                <w:szCs w:val="16"/>
              </w:rPr>
              <w:t>65-år</w:t>
            </w:r>
          </w:p>
        </w:tc>
        <w:tc>
          <w:tcPr>
            <w:tcW w:w="789" w:type="dxa"/>
            <w:tcBorders>
              <w:top w:val="single" w:sz="6" w:space="0" w:color="auto"/>
              <w:left w:val="single" w:sz="6" w:space="0" w:color="auto"/>
              <w:bottom w:val="single" w:sz="6" w:space="0" w:color="auto"/>
              <w:right w:val="single" w:sz="6" w:space="0" w:color="auto"/>
            </w:tcBorders>
            <w:vAlign w:val="center"/>
          </w:tcPr>
          <w:p w14:paraId="16A8147B"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3 006</w:t>
            </w:r>
          </w:p>
        </w:tc>
        <w:tc>
          <w:tcPr>
            <w:tcW w:w="654" w:type="dxa"/>
            <w:tcBorders>
              <w:top w:val="single" w:sz="6" w:space="0" w:color="auto"/>
              <w:left w:val="single" w:sz="6" w:space="0" w:color="auto"/>
              <w:bottom w:val="single" w:sz="6" w:space="0" w:color="auto"/>
              <w:right w:val="single" w:sz="6" w:space="0" w:color="auto"/>
            </w:tcBorders>
            <w:vAlign w:val="center"/>
          </w:tcPr>
          <w:p w14:paraId="49266F27"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13,0</w:t>
            </w:r>
          </w:p>
        </w:tc>
        <w:tc>
          <w:tcPr>
            <w:tcW w:w="709" w:type="dxa"/>
            <w:tcBorders>
              <w:top w:val="single" w:sz="6" w:space="0" w:color="auto"/>
              <w:left w:val="single" w:sz="6" w:space="0" w:color="auto"/>
              <w:bottom w:val="single" w:sz="6" w:space="0" w:color="auto"/>
              <w:right w:val="single" w:sz="6" w:space="0" w:color="auto"/>
            </w:tcBorders>
            <w:vAlign w:val="center"/>
          </w:tcPr>
          <w:p w14:paraId="6282F50C"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3 006</w:t>
            </w:r>
          </w:p>
        </w:tc>
        <w:tc>
          <w:tcPr>
            <w:tcW w:w="567" w:type="dxa"/>
            <w:tcBorders>
              <w:top w:val="single" w:sz="6" w:space="0" w:color="auto"/>
              <w:left w:val="single" w:sz="6" w:space="0" w:color="auto"/>
              <w:bottom w:val="single" w:sz="6" w:space="0" w:color="auto"/>
              <w:right w:val="single" w:sz="6" w:space="0" w:color="auto"/>
            </w:tcBorders>
            <w:vAlign w:val="center"/>
          </w:tcPr>
          <w:p w14:paraId="54FFAAF2"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5,8</w:t>
            </w:r>
          </w:p>
        </w:tc>
        <w:tc>
          <w:tcPr>
            <w:tcW w:w="919" w:type="dxa"/>
            <w:tcBorders>
              <w:top w:val="single" w:sz="6" w:space="0" w:color="auto"/>
              <w:left w:val="single" w:sz="6" w:space="0" w:color="auto"/>
              <w:bottom w:val="single" w:sz="6" w:space="0" w:color="auto"/>
              <w:right w:val="single" w:sz="6" w:space="0" w:color="auto"/>
            </w:tcBorders>
            <w:vAlign w:val="center"/>
          </w:tcPr>
          <w:p w14:paraId="6F4DDABB"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62,5</w:t>
            </w:r>
          </w:p>
        </w:tc>
        <w:tc>
          <w:tcPr>
            <w:tcW w:w="782" w:type="dxa"/>
            <w:tcBorders>
              <w:top w:val="single" w:sz="6" w:space="0" w:color="auto"/>
              <w:left w:val="single" w:sz="6" w:space="0" w:color="auto"/>
              <w:bottom w:val="single" w:sz="6" w:space="0" w:color="auto"/>
              <w:right w:val="single" w:sz="6" w:space="0" w:color="auto"/>
            </w:tcBorders>
            <w:vAlign w:val="center"/>
          </w:tcPr>
          <w:p w14:paraId="18CD2974" w14:textId="77777777" w:rsidR="00D1005E" w:rsidRPr="003954D9" w:rsidRDefault="00D1005E" w:rsidP="00D1005E">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62,5</w:t>
            </w:r>
          </w:p>
        </w:tc>
        <w:tc>
          <w:tcPr>
            <w:tcW w:w="807" w:type="dxa"/>
            <w:tcBorders>
              <w:top w:val="single" w:sz="6" w:space="0" w:color="auto"/>
              <w:left w:val="single" w:sz="6" w:space="0" w:color="auto"/>
              <w:bottom w:val="single" w:sz="6" w:space="0" w:color="auto"/>
              <w:right w:val="single" w:sz="6" w:space="0" w:color="auto"/>
            </w:tcBorders>
            <w:vAlign w:val="center"/>
          </w:tcPr>
          <w:p w14:paraId="11BC01D0" w14:textId="77777777" w:rsidR="00D1005E" w:rsidRPr="003954D9" w:rsidRDefault="00D1005E" w:rsidP="00D1005E">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1,00</w:t>
            </w:r>
          </w:p>
        </w:tc>
      </w:tr>
      <w:tr w:rsidR="00D1005E" w:rsidRPr="003954D9" w14:paraId="4AD6DD4F" w14:textId="77777777" w:rsidTr="00F32099">
        <w:trPr>
          <w:trHeight w:val="227"/>
        </w:trPr>
        <w:tc>
          <w:tcPr>
            <w:tcW w:w="2157" w:type="dxa"/>
            <w:tcBorders>
              <w:top w:val="single" w:sz="6" w:space="0" w:color="auto"/>
              <w:left w:val="single" w:sz="6" w:space="0" w:color="auto"/>
              <w:bottom w:val="single" w:sz="6" w:space="0" w:color="auto"/>
              <w:right w:val="single" w:sz="6" w:space="0" w:color="auto"/>
            </w:tcBorders>
            <w:vAlign w:val="center"/>
          </w:tcPr>
          <w:p w14:paraId="76BCAE6E" w14:textId="43CA8189" w:rsidR="00D1005E" w:rsidRPr="00DD3DF3" w:rsidRDefault="00D1005E" w:rsidP="00D1005E">
            <w:pPr>
              <w:autoSpaceDE w:val="0"/>
              <w:autoSpaceDN w:val="0"/>
              <w:adjustRightInd w:val="0"/>
              <w:rPr>
                <w:rFonts w:ascii="Calibri" w:hAnsi="Calibri" w:cs="Calibri"/>
                <w:b/>
                <w:color w:val="000000"/>
                <w:sz w:val="16"/>
                <w:szCs w:val="16"/>
              </w:rPr>
            </w:pPr>
            <w:r w:rsidRPr="00DD3DF3">
              <w:rPr>
                <w:rFonts w:ascii="Calibri" w:hAnsi="Calibri" w:cs="Calibri"/>
                <w:b/>
                <w:color w:val="000000"/>
                <w:sz w:val="16"/>
                <w:szCs w:val="16"/>
              </w:rPr>
              <w:t xml:space="preserve">Ensamst. m. barn </w:t>
            </w:r>
            <w:r w:rsidR="00365C66" w:rsidRPr="00DD3DF3">
              <w:rPr>
                <w:rFonts w:ascii="Calibri" w:hAnsi="Calibri" w:cs="Calibri"/>
                <w:b/>
                <w:color w:val="000000"/>
                <w:sz w:val="16"/>
                <w:szCs w:val="16"/>
              </w:rPr>
              <w:t>0–19</w:t>
            </w:r>
            <w:r w:rsidRPr="00DD3DF3">
              <w:rPr>
                <w:rFonts w:ascii="Calibri" w:hAnsi="Calibri" w:cs="Calibri"/>
                <w:b/>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vAlign w:val="center"/>
          </w:tcPr>
          <w:p w14:paraId="3F7CA43A"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1 845</w:t>
            </w:r>
          </w:p>
        </w:tc>
        <w:tc>
          <w:tcPr>
            <w:tcW w:w="654" w:type="dxa"/>
            <w:tcBorders>
              <w:top w:val="single" w:sz="6" w:space="0" w:color="auto"/>
              <w:left w:val="single" w:sz="6" w:space="0" w:color="auto"/>
              <w:bottom w:val="single" w:sz="6" w:space="0" w:color="auto"/>
              <w:right w:val="single" w:sz="6" w:space="0" w:color="auto"/>
            </w:tcBorders>
            <w:vAlign w:val="center"/>
          </w:tcPr>
          <w:p w14:paraId="2BB51F10"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8,0</w:t>
            </w:r>
          </w:p>
        </w:tc>
        <w:tc>
          <w:tcPr>
            <w:tcW w:w="709" w:type="dxa"/>
            <w:tcBorders>
              <w:top w:val="single" w:sz="6" w:space="0" w:color="auto"/>
              <w:left w:val="single" w:sz="6" w:space="0" w:color="auto"/>
              <w:bottom w:val="single" w:sz="6" w:space="0" w:color="auto"/>
              <w:right w:val="single" w:sz="6" w:space="0" w:color="auto"/>
            </w:tcBorders>
            <w:vAlign w:val="center"/>
          </w:tcPr>
          <w:p w14:paraId="5E75620E"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5 358</w:t>
            </w:r>
          </w:p>
        </w:tc>
        <w:tc>
          <w:tcPr>
            <w:tcW w:w="567" w:type="dxa"/>
            <w:tcBorders>
              <w:top w:val="single" w:sz="6" w:space="0" w:color="auto"/>
              <w:left w:val="single" w:sz="6" w:space="0" w:color="auto"/>
              <w:bottom w:val="single" w:sz="6" w:space="0" w:color="auto"/>
              <w:right w:val="single" w:sz="6" w:space="0" w:color="auto"/>
            </w:tcBorders>
            <w:vAlign w:val="center"/>
          </w:tcPr>
          <w:p w14:paraId="583FAA98"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10,4</w:t>
            </w:r>
          </w:p>
        </w:tc>
        <w:tc>
          <w:tcPr>
            <w:tcW w:w="919" w:type="dxa"/>
            <w:tcBorders>
              <w:top w:val="single" w:sz="6" w:space="0" w:color="auto"/>
              <w:left w:val="single" w:sz="6" w:space="0" w:color="auto"/>
              <w:bottom w:val="single" w:sz="6" w:space="0" w:color="auto"/>
              <w:right w:val="single" w:sz="6" w:space="0" w:color="auto"/>
            </w:tcBorders>
            <w:vAlign w:val="center"/>
          </w:tcPr>
          <w:p w14:paraId="1D807E8F"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77,8</w:t>
            </w:r>
          </w:p>
        </w:tc>
        <w:tc>
          <w:tcPr>
            <w:tcW w:w="782" w:type="dxa"/>
            <w:tcBorders>
              <w:top w:val="single" w:sz="6" w:space="0" w:color="auto"/>
              <w:left w:val="single" w:sz="6" w:space="0" w:color="auto"/>
              <w:bottom w:val="single" w:sz="6" w:space="0" w:color="auto"/>
              <w:right w:val="single" w:sz="6" w:space="0" w:color="auto"/>
            </w:tcBorders>
            <w:vAlign w:val="center"/>
          </w:tcPr>
          <w:p w14:paraId="6583F8A8"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26,8</w:t>
            </w:r>
          </w:p>
        </w:tc>
        <w:tc>
          <w:tcPr>
            <w:tcW w:w="807" w:type="dxa"/>
            <w:tcBorders>
              <w:top w:val="single" w:sz="6" w:space="0" w:color="auto"/>
              <w:left w:val="single" w:sz="6" w:space="0" w:color="auto"/>
              <w:bottom w:val="single" w:sz="6" w:space="0" w:color="auto"/>
              <w:right w:val="single" w:sz="6" w:space="0" w:color="auto"/>
            </w:tcBorders>
            <w:vAlign w:val="center"/>
          </w:tcPr>
          <w:p w14:paraId="12E73487"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2,90</w:t>
            </w:r>
          </w:p>
        </w:tc>
      </w:tr>
      <w:tr w:rsidR="00D1005E" w:rsidRPr="003954D9" w14:paraId="72FB265F" w14:textId="77777777" w:rsidTr="00F32099">
        <w:trPr>
          <w:trHeight w:val="227"/>
        </w:trPr>
        <w:tc>
          <w:tcPr>
            <w:tcW w:w="2157" w:type="dxa"/>
            <w:tcBorders>
              <w:top w:val="single" w:sz="6" w:space="0" w:color="auto"/>
              <w:left w:val="single" w:sz="6" w:space="0" w:color="auto"/>
              <w:bottom w:val="single" w:sz="6" w:space="0" w:color="auto"/>
              <w:right w:val="single" w:sz="6" w:space="0" w:color="auto"/>
            </w:tcBorders>
            <w:vAlign w:val="center"/>
          </w:tcPr>
          <w:p w14:paraId="2FF4F75E" w14:textId="6FE54504" w:rsidR="00D1005E" w:rsidRPr="00DD3DF3" w:rsidRDefault="00D1005E" w:rsidP="00D1005E">
            <w:pPr>
              <w:autoSpaceDE w:val="0"/>
              <w:autoSpaceDN w:val="0"/>
              <w:adjustRightInd w:val="0"/>
              <w:rPr>
                <w:rFonts w:ascii="Calibri" w:hAnsi="Calibri" w:cs="Calibri"/>
                <w:b/>
                <w:color w:val="000000"/>
                <w:sz w:val="16"/>
                <w:szCs w:val="16"/>
              </w:rPr>
            </w:pPr>
            <w:r w:rsidRPr="00DD3DF3">
              <w:rPr>
                <w:rFonts w:ascii="Calibri" w:hAnsi="Calibri" w:cs="Calibri"/>
                <w:b/>
                <w:color w:val="000000"/>
                <w:sz w:val="16"/>
                <w:szCs w:val="16"/>
              </w:rPr>
              <w:t xml:space="preserve">Sambo u. barn </w:t>
            </w:r>
            <w:r w:rsidR="00365C66" w:rsidRPr="00DD3DF3">
              <w:rPr>
                <w:rFonts w:ascii="Calibri" w:hAnsi="Calibri" w:cs="Calibri"/>
                <w:b/>
                <w:color w:val="000000"/>
                <w:sz w:val="16"/>
                <w:szCs w:val="16"/>
              </w:rPr>
              <w:t>18–64</w:t>
            </w:r>
            <w:r w:rsidRPr="00DD3DF3">
              <w:rPr>
                <w:rFonts w:ascii="Calibri" w:hAnsi="Calibri" w:cs="Calibri"/>
                <w:b/>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vAlign w:val="center"/>
          </w:tcPr>
          <w:p w14:paraId="63C2988E"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2 286</w:t>
            </w:r>
          </w:p>
        </w:tc>
        <w:tc>
          <w:tcPr>
            <w:tcW w:w="654" w:type="dxa"/>
            <w:tcBorders>
              <w:top w:val="single" w:sz="6" w:space="0" w:color="auto"/>
              <w:left w:val="single" w:sz="6" w:space="0" w:color="auto"/>
              <w:bottom w:val="single" w:sz="6" w:space="0" w:color="auto"/>
              <w:right w:val="single" w:sz="6" w:space="0" w:color="auto"/>
            </w:tcBorders>
            <w:vAlign w:val="center"/>
          </w:tcPr>
          <w:p w14:paraId="3B635D66"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w:t>
            </w:r>
          </w:p>
        </w:tc>
        <w:tc>
          <w:tcPr>
            <w:tcW w:w="709" w:type="dxa"/>
            <w:tcBorders>
              <w:top w:val="single" w:sz="6" w:space="0" w:color="auto"/>
              <w:left w:val="single" w:sz="6" w:space="0" w:color="auto"/>
              <w:bottom w:val="single" w:sz="6" w:space="0" w:color="auto"/>
              <w:right w:val="single" w:sz="6" w:space="0" w:color="auto"/>
            </w:tcBorders>
            <w:vAlign w:val="center"/>
          </w:tcPr>
          <w:p w14:paraId="6E02D56A"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4 572</w:t>
            </w:r>
          </w:p>
        </w:tc>
        <w:tc>
          <w:tcPr>
            <w:tcW w:w="567" w:type="dxa"/>
            <w:tcBorders>
              <w:top w:val="single" w:sz="6" w:space="0" w:color="auto"/>
              <w:left w:val="single" w:sz="6" w:space="0" w:color="auto"/>
              <w:bottom w:val="single" w:sz="6" w:space="0" w:color="auto"/>
              <w:right w:val="single" w:sz="6" w:space="0" w:color="auto"/>
            </w:tcBorders>
            <w:vAlign w:val="center"/>
          </w:tcPr>
          <w:p w14:paraId="7DC228A8"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8,9</w:t>
            </w:r>
          </w:p>
        </w:tc>
        <w:tc>
          <w:tcPr>
            <w:tcW w:w="919" w:type="dxa"/>
            <w:tcBorders>
              <w:top w:val="single" w:sz="6" w:space="0" w:color="auto"/>
              <w:left w:val="single" w:sz="6" w:space="0" w:color="auto"/>
              <w:bottom w:val="single" w:sz="6" w:space="0" w:color="auto"/>
              <w:right w:val="single" w:sz="6" w:space="0" w:color="auto"/>
            </w:tcBorders>
            <w:vAlign w:val="center"/>
          </w:tcPr>
          <w:p w14:paraId="1C9EBDA1"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64,2</w:t>
            </w:r>
          </w:p>
        </w:tc>
        <w:tc>
          <w:tcPr>
            <w:tcW w:w="782" w:type="dxa"/>
            <w:tcBorders>
              <w:top w:val="single" w:sz="6" w:space="0" w:color="auto"/>
              <w:left w:val="single" w:sz="6" w:space="0" w:color="auto"/>
              <w:bottom w:val="single" w:sz="6" w:space="0" w:color="auto"/>
              <w:right w:val="single" w:sz="6" w:space="0" w:color="auto"/>
            </w:tcBorders>
            <w:vAlign w:val="center"/>
          </w:tcPr>
          <w:p w14:paraId="10DD8210"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32,1</w:t>
            </w:r>
          </w:p>
        </w:tc>
        <w:tc>
          <w:tcPr>
            <w:tcW w:w="807" w:type="dxa"/>
            <w:tcBorders>
              <w:top w:val="single" w:sz="6" w:space="0" w:color="auto"/>
              <w:left w:val="single" w:sz="6" w:space="0" w:color="auto"/>
              <w:bottom w:val="single" w:sz="6" w:space="0" w:color="auto"/>
              <w:right w:val="single" w:sz="6" w:space="0" w:color="auto"/>
            </w:tcBorders>
            <w:vAlign w:val="center"/>
          </w:tcPr>
          <w:p w14:paraId="1CD3589C"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2,00</w:t>
            </w:r>
          </w:p>
        </w:tc>
      </w:tr>
      <w:tr w:rsidR="00D1005E" w:rsidRPr="003954D9" w14:paraId="008D61A1" w14:textId="77777777" w:rsidTr="00F32099">
        <w:trPr>
          <w:trHeight w:val="227"/>
        </w:trPr>
        <w:tc>
          <w:tcPr>
            <w:tcW w:w="2157" w:type="dxa"/>
            <w:tcBorders>
              <w:top w:val="single" w:sz="6" w:space="0" w:color="auto"/>
              <w:left w:val="single" w:sz="6" w:space="0" w:color="auto"/>
              <w:bottom w:val="single" w:sz="6" w:space="0" w:color="auto"/>
              <w:right w:val="single" w:sz="6" w:space="0" w:color="auto"/>
            </w:tcBorders>
            <w:vAlign w:val="center"/>
          </w:tcPr>
          <w:p w14:paraId="27FBF237" w14:textId="65082DCE" w:rsidR="00D1005E" w:rsidRPr="00DD3DF3" w:rsidRDefault="00D1005E" w:rsidP="00D1005E">
            <w:pPr>
              <w:autoSpaceDE w:val="0"/>
              <w:autoSpaceDN w:val="0"/>
              <w:adjustRightInd w:val="0"/>
              <w:rPr>
                <w:rFonts w:ascii="Calibri" w:hAnsi="Calibri" w:cs="Calibri"/>
                <w:b/>
                <w:color w:val="000000"/>
                <w:sz w:val="16"/>
                <w:szCs w:val="16"/>
              </w:rPr>
            </w:pPr>
            <w:r w:rsidRPr="00DD3DF3">
              <w:rPr>
                <w:rFonts w:ascii="Calibri" w:hAnsi="Calibri" w:cs="Calibri"/>
                <w:b/>
                <w:color w:val="000000"/>
                <w:sz w:val="16"/>
                <w:szCs w:val="16"/>
              </w:rPr>
              <w:t xml:space="preserve">Sambo u. barn </w:t>
            </w:r>
            <w:r w:rsidR="00365C66" w:rsidRPr="00DD3DF3">
              <w:rPr>
                <w:rFonts w:ascii="Calibri" w:hAnsi="Calibri" w:cs="Calibri"/>
                <w:b/>
                <w:color w:val="000000"/>
                <w:sz w:val="16"/>
                <w:szCs w:val="16"/>
              </w:rPr>
              <w:t>65-år</w:t>
            </w:r>
          </w:p>
        </w:tc>
        <w:tc>
          <w:tcPr>
            <w:tcW w:w="789" w:type="dxa"/>
            <w:tcBorders>
              <w:top w:val="single" w:sz="6" w:space="0" w:color="auto"/>
              <w:left w:val="single" w:sz="6" w:space="0" w:color="auto"/>
              <w:bottom w:val="single" w:sz="6" w:space="0" w:color="auto"/>
              <w:right w:val="single" w:sz="6" w:space="0" w:color="auto"/>
            </w:tcBorders>
            <w:vAlign w:val="center"/>
          </w:tcPr>
          <w:p w14:paraId="0787EA72"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796</w:t>
            </w:r>
          </w:p>
        </w:tc>
        <w:tc>
          <w:tcPr>
            <w:tcW w:w="654" w:type="dxa"/>
            <w:tcBorders>
              <w:top w:val="single" w:sz="6" w:space="0" w:color="auto"/>
              <w:left w:val="single" w:sz="6" w:space="0" w:color="auto"/>
              <w:bottom w:val="single" w:sz="6" w:space="0" w:color="auto"/>
              <w:right w:val="single" w:sz="6" w:space="0" w:color="auto"/>
            </w:tcBorders>
            <w:vAlign w:val="center"/>
          </w:tcPr>
          <w:p w14:paraId="0439CF51"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w:t>
            </w:r>
          </w:p>
        </w:tc>
        <w:tc>
          <w:tcPr>
            <w:tcW w:w="709" w:type="dxa"/>
            <w:tcBorders>
              <w:top w:val="single" w:sz="6" w:space="0" w:color="auto"/>
              <w:left w:val="single" w:sz="6" w:space="0" w:color="auto"/>
              <w:bottom w:val="single" w:sz="6" w:space="0" w:color="auto"/>
              <w:right w:val="single" w:sz="6" w:space="0" w:color="auto"/>
            </w:tcBorders>
            <w:vAlign w:val="center"/>
          </w:tcPr>
          <w:p w14:paraId="38D2F6DF" w14:textId="77777777" w:rsidR="00D1005E" w:rsidRPr="003954D9" w:rsidRDefault="00D1005E" w:rsidP="00D1005E">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1 592</w:t>
            </w:r>
          </w:p>
        </w:tc>
        <w:tc>
          <w:tcPr>
            <w:tcW w:w="567" w:type="dxa"/>
            <w:tcBorders>
              <w:top w:val="single" w:sz="6" w:space="0" w:color="auto"/>
              <w:left w:val="single" w:sz="6" w:space="0" w:color="auto"/>
              <w:bottom w:val="single" w:sz="6" w:space="0" w:color="auto"/>
              <w:right w:val="single" w:sz="6" w:space="0" w:color="auto"/>
            </w:tcBorders>
            <w:vAlign w:val="center"/>
          </w:tcPr>
          <w:p w14:paraId="10559571" w14:textId="77777777" w:rsidR="00D1005E" w:rsidRPr="003954D9" w:rsidRDefault="00D1005E" w:rsidP="00D1005E">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3,1</w:t>
            </w:r>
          </w:p>
        </w:tc>
        <w:tc>
          <w:tcPr>
            <w:tcW w:w="919" w:type="dxa"/>
            <w:tcBorders>
              <w:top w:val="single" w:sz="6" w:space="0" w:color="auto"/>
              <w:left w:val="single" w:sz="6" w:space="0" w:color="auto"/>
              <w:bottom w:val="single" w:sz="6" w:space="0" w:color="auto"/>
              <w:right w:val="single" w:sz="6" w:space="0" w:color="auto"/>
            </w:tcBorders>
            <w:vAlign w:val="center"/>
          </w:tcPr>
          <w:p w14:paraId="3E52CE04"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78,4</w:t>
            </w:r>
          </w:p>
        </w:tc>
        <w:tc>
          <w:tcPr>
            <w:tcW w:w="782" w:type="dxa"/>
            <w:tcBorders>
              <w:top w:val="single" w:sz="6" w:space="0" w:color="auto"/>
              <w:left w:val="single" w:sz="6" w:space="0" w:color="auto"/>
              <w:bottom w:val="single" w:sz="6" w:space="0" w:color="auto"/>
              <w:right w:val="single" w:sz="6" w:space="0" w:color="auto"/>
            </w:tcBorders>
            <w:vAlign w:val="center"/>
          </w:tcPr>
          <w:p w14:paraId="09B6519D"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39,2</w:t>
            </w:r>
          </w:p>
        </w:tc>
        <w:tc>
          <w:tcPr>
            <w:tcW w:w="807" w:type="dxa"/>
            <w:tcBorders>
              <w:top w:val="single" w:sz="6" w:space="0" w:color="auto"/>
              <w:left w:val="single" w:sz="6" w:space="0" w:color="auto"/>
              <w:bottom w:val="single" w:sz="6" w:space="0" w:color="auto"/>
              <w:right w:val="single" w:sz="6" w:space="0" w:color="auto"/>
            </w:tcBorders>
            <w:vAlign w:val="center"/>
          </w:tcPr>
          <w:p w14:paraId="3265A590"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2,00</w:t>
            </w:r>
          </w:p>
        </w:tc>
      </w:tr>
      <w:tr w:rsidR="00D1005E" w:rsidRPr="003954D9" w14:paraId="42B0A5C7" w14:textId="77777777" w:rsidTr="00F32099">
        <w:trPr>
          <w:trHeight w:val="227"/>
        </w:trPr>
        <w:tc>
          <w:tcPr>
            <w:tcW w:w="2157" w:type="dxa"/>
            <w:tcBorders>
              <w:top w:val="single" w:sz="6" w:space="0" w:color="auto"/>
              <w:left w:val="single" w:sz="6" w:space="0" w:color="auto"/>
              <w:bottom w:val="single" w:sz="6" w:space="0" w:color="auto"/>
              <w:right w:val="single" w:sz="6" w:space="0" w:color="auto"/>
            </w:tcBorders>
            <w:vAlign w:val="center"/>
          </w:tcPr>
          <w:p w14:paraId="4AE70892" w14:textId="1C662781" w:rsidR="00D1005E" w:rsidRPr="00DD3DF3" w:rsidRDefault="00D1005E" w:rsidP="00D1005E">
            <w:pPr>
              <w:autoSpaceDE w:val="0"/>
              <w:autoSpaceDN w:val="0"/>
              <w:adjustRightInd w:val="0"/>
              <w:rPr>
                <w:rFonts w:ascii="Calibri" w:hAnsi="Calibri" w:cs="Calibri"/>
                <w:b/>
                <w:color w:val="000000"/>
                <w:sz w:val="16"/>
                <w:szCs w:val="16"/>
              </w:rPr>
            </w:pPr>
            <w:r w:rsidRPr="00DD3DF3">
              <w:rPr>
                <w:rFonts w:ascii="Calibri" w:hAnsi="Calibri" w:cs="Calibri"/>
                <w:b/>
                <w:color w:val="000000"/>
                <w:sz w:val="16"/>
                <w:szCs w:val="16"/>
              </w:rPr>
              <w:t xml:space="preserve">Sambo m. 1 barn </w:t>
            </w:r>
            <w:r w:rsidR="00365C66" w:rsidRPr="00DD3DF3">
              <w:rPr>
                <w:rFonts w:ascii="Calibri" w:hAnsi="Calibri" w:cs="Calibri"/>
                <w:b/>
                <w:color w:val="000000"/>
                <w:sz w:val="16"/>
                <w:szCs w:val="16"/>
              </w:rPr>
              <w:t>0–19</w:t>
            </w:r>
            <w:r w:rsidRPr="00DD3DF3">
              <w:rPr>
                <w:rFonts w:ascii="Calibri" w:hAnsi="Calibri" w:cs="Calibri"/>
                <w:b/>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vAlign w:val="center"/>
          </w:tcPr>
          <w:p w14:paraId="1C40B3E4"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1 217</w:t>
            </w:r>
          </w:p>
        </w:tc>
        <w:tc>
          <w:tcPr>
            <w:tcW w:w="654" w:type="dxa"/>
            <w:tcBorders>
              <w:top w:val="single" w:sz="6" w:space="0" w:color="auto"/>
              <w:left w:val="single" w:sz="6" w:space="0" w:color="auto"/>
              <w:bottom w:val="single" w:sz="6" w:space="0" w:color="auto"/>
              <w:right w:val="single" w:sz="6" w:space="0" w:color="auto"/>
            </w:tcBorders>
            <w:vAlign w:val="center"/>
          </w:tcPr>
          <w:p w14:paraId="7941F184"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w:t>
            </w:r>
          </w:p>
        </w:tc>
        <w:tc>
          <w:tcPr>
            <w:tcW w:w="709" w:type="dxa"/>
            <w:tcBorders>
              <w:top w:val="single" w:sz="6" w:space="0" w:color="auto"/>
              <w:left w:val="single" w:sz="6" w:space="0" w:color="auto"/>
              <w:bottom w:val="single" w:sz="6" w:space="0" w:color="auto"/>
              <w:right w:val="single" w:sz="6" w:space="0" w:color="auto"/>
            </w:tcBorders>
            <w:vAlign w:val="center"/>
          </w:tcPr>
          <w:p w14:paraId="71DB3DED"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3 839</w:t>
            </w:r>
          </w:p>
        </w:tc>
        <w:tc>
          <w:tcPr>
            <w:tcW w:w="567" w:type="dxa"/>
            <w:tcBorders>
              <w:top w:val="single" w:sz="6" w:space="0" w:color="auto"/>
              <w:left w:val="single" w:sz="6" w:space="0" w:color="auto"/>
              <w:bottom w:val="single" w:sz="6" w:space="0" w:color="auto"/>
              <w:right w:val="single" w:sz="6" w:space="0" w:color="auto"/>
            </w:tcBorders>
            <w:vAlign w:val="center"/>
          </w:tcPr>
          <w:p w14:paraId="02E39960"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7,5</w:t>
            </w:r>
          </w:p>
        </w:tc>
        <w:tc>
          <w:tcPr>
            <w:tcW w:w="919" w:type="dxa"/>
            <w:tcBorders>
              <w:top w:val="single" w:sz="6" w:space="0" w:color="auto"/>
              <w:left w:val="single" w:sz="6" w:space="0" w:color="auto"/>
              <w:bottom w:val="single" w:sz="6" w:space="0" w:color="auto"/>
              <w:right w:val="single" w:sz="6" w:space="0" w:color="auto"/>
            </w:tcBorders>
            <w:vAlign w:val="center"/>
          </w:tcPr>
          <w:p w14:paraId="707F971E"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75,8</w:t>
            </w:r>
          </w:p>
        </w:tc>
        <w:tc>
          <w:tcPr>
            <w:tcW w:w="782" w:type="dxa"/>
            <w:tcBorders>
              <w:top w:val="single" w:sz="6" w:space="0" w:color="auto"/>
              <w:left w:val="single" w:sz="6" w:space="0" w:color="auto"/>
              <w:bottom w:val="single" w:sz="6" w:space="0" w:color="auto"/>
              <w:right w:val="single" w:sz="6" w:space="0" w:color="auto"/>
            </w:tcBorders>
            <w:vAlign w:val="center"/>
          </w:tcPr>
          <w:p w14:paraId="69D55049"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24,0</w:t>
            </w:r>
          </w:p>
        </w:tc>
        <w:tc>
          <w:tcPr>
            <w:tcW w:w="807" w:type="dxa"/>
            <w:tcBorders>
              <w:top w:val="single" w:sz="6" w:space="0" w:color="auto"/>
              <w:left w:val="single" w:sz="6" w:space="0" w:color="auto"/>
              <w:bottom w:val="single" w:sz="6" w:space="0" w:color="auto"/>
              <w:right w:val="single" w:sz="6" w:space="0" w:color="auto"/>
            </w:tcBorders>
            <w:vAlign w:val="center"/>
          </w:tcPr>
          <w:p w14:paraId="3775F123"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3,15</w:t>
            </w:r>
          </w:p>
        </w:tc>
      </w:tr>
      <w:tr w:rsidR="00D1005E" w:rsidRPr="003954D9" w14:paraId="3049DCDF" w14:textId="77777777" w:rsidTr="00F32099">
        <w:trPr>
          <w:trHeight w:val="227"/>
        </w:trPr>
        <w:tc>
          <w:tcPr>
            <w:tcW w:w="2157" w:type="dxa"/>
            <w:tcBorders>
              <w:top w:val="single" w:sz="6" w:space="0" w:color="auto"/>
              <w:left w:val="single" w:sz="6" w:space="0" w:color="auto"/>
              <w:bottom w:val="single" w:sz="6" w:space="0" w:color="auto"/>
              <w:right w:val="single" w:sz="6" w:space="0" w:color="auto"/>
            </w:tcBorders>
            <w:vAlign w:val="center"/>
          </w:tcPr>
          <w:p w14:paraId="0DD4A9E0" w14:textId="6EBBAA2D" w:rsidR="00D1005E" w:rsidRPr="00DD3DF3" w:rsidRDefault="00D1005E" w:rsidP="00D1005E">
            <w:pPr>
              <w:autoSpaceDE w:val="0"/>
              <w:autoSpaceDN w:val="0"/>
              <w:adjustRightInd w:val="0"/>
              <w:rPr>
                <w:rFonts w:ascii="Calibri" w:hAnsi="Calibri" w:cs="Calibri"/>
                <w:b/>
                <w:color w:val="000000"/>
                <w:sz w:val="16"/>
                <w:szCs w:val="16"/>
              </w:rPr>
            </w:pPr>
            <w:r w:rsidRPr="00DD3DF3">
              <w:rPr>
                <w:rFonts w:ascii="Calibri" w:hAnsi="Calibri" w:cs="Calibri"/>
                <w:b/>
                <w:color w:val="000000"/>
                <w:sz w:val="16"/>
                <w:szCs w:val="16"/>
              </w:rPr>
              <w:t xml:space="preserve">Sambo. m. 2 barn </w:t>
            </w:r>
            <w:r w:rsidR="00365C66" w:rsidRPr="00DD3DF3">
              <w:rPr>
                <w:rFonts w:ascii="Calibri" w:hAnsi="Calibri" w:cs="Calibri"/>
                <w:b/>
                <w:color w:val="000000"/>
                <w:sz w:val="16"/>
                <w:szCs w:val="16"/>
              </w:rPr>
              <w:t>0–19</w:t>
            </w:r>
            <w:r w:rsidRPr="00DD3DF3">
              <w:rPr>
                <w:rFonts w:ascii="Calibri" w:hAnsi="Calibri" w:cs="Calibri"/>
                <w:b/>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vAlign w:val="center"/>
          </w:tcPr>
          <w:p w14:paraId="32859D0A"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1 165</w:t>
            </w:r>
          </w:p>
        </w:tc>
        <w:tc>
          <w:tcPr>
            <w:tcW w:w="654" w:type="dxa"/>
            <w:tcBorders>
              <w:top w:val="single" w:sz="6" w:space="0" w:color="auto"/>
              <w:left w:val="single" w:sz="6" w:space="0" w:color="auto"/>
              <w:bottom w:val="single" w:sz="6" w:space="0" w:color="auto"/>
              <w:right w:val="single" w:sz="6" w:space="0" w:color="auto"/>
            </w:tcBorders>
            <w:vAlign w:val="center"/>
          </w:tcPr>
          <w:p w14:paraId="4AE657FB"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w:t>
            </w:r>
          </w:p>
        </w:tc>
        <w:tc>
          <w:tcPr>
            <w:tcW w:w="709" w:type="dxa"/>
            <w:tcBorders>
              <w:top w:val="single" w:sz="6" w:space="0" w:color="auto"/>
              <w:left w:val="single" w:sz="6" w:space="0" w:color="auto"/>
              <w:bottom w:val="single" w:sz="6" w:space="0" w:color="auto"/>
              <w:right w:val="single" w:sz="6" w:space="0" w:color="auto"/>
            </w:tcBorders>
            <w:vAlign w:val="center"/>
          </w:tcPr>
          <w:p w14:paraId="01CA1FBD"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4 771</w:t>
            </w:r>
          </w:p>
        </w:tc>
        <w:tc>
          <w:tcPr>
            <w:tcW w:w="567" w:type="dxa"/>
            <w:tcBorders>
              <w:top w:val="single" w:sz="6" w:space="0" w:color="auto"/>
              <w:left w:val="single" w:sz="6" w:space="0" w:color="auto"/>
              <w:bottom w:val="single" w:sz="6" w:space="0" w:color="auto"/>
              <w:right w:val="single" w:sz="6" w:space="0" w:color="auto"/>
            </w:tcBorders>
            <w:vAlign w:val="center"/>
          </w:tcPr>
          <w:p w14:paraId="42304A2F"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9,3</w:t>
            </w:r>
          </w:p>
        </w:tc>
        <w:tc>
          <w:tcPr>
            <w:tcW w:w="919" w:type="dxa"/>
            <w:tcBorders>
              <w:top w:val="single" w:sz="6" w:space="0" w:color="auto"/>
              <w:left w:val="single" w:sz="6" w:space="0" w:color="auto"/>
              <w:bottom w:val="single" w:sz="6" w:space="0" w:color="auto"/>
              <w:right w:val="single" w:sz="6" w:space="0" w:color="auto"/>
            </w:tcBorders>
            <w:vAlign w:val="center"/>
          </w:tcPr>
          <w:p w14:paraId="519AD394"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82,9</w:t>
            </w:r>
          </w:p>
        </w:tc>
        <w:tc>
          <w:tcPr>
            <w:tcW w:w="782" w:type="dxa"/>
            <w:tcBorders>
              <w:top w:val="single" w:sz="6" w:space="0" w:color="auto"/>
              <w:left w:val="single" w:sz="6" w:space="0" w:color="auto"/>
              <w:bottom w:val="single" w:sz="6" w:space="0" w:color="auto"/>
              <w:right w:val="single" w:sz="6" w:space="0" w:color="auto"/>
            </w:tcBorders>
            <w:vAlign w:val="center"/>
          </w:tcPr>
          <w:p w14:paraId="3BB3B1D4"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20,2</w:t>
            </w:r>
          </w:p>
        </w:tc>
        <w:tc>
          <w:tcPr>
            <w:tcW w:w="807" w:type="dxa"/>
            <w:tcBorders>
              <w:top w:val="single" w:sz="6" w:space="0" w:color="auto"/>
              <w:left w:val="single" w:sz="6" w:space="0" w:color="auto"/>
              <w:bottom w:val="single" w:sz="6" w:space="0" w:color="auto"/>
              <w:right w:val="single" w:sz="6" w:space="0" w:color="auto"/>
            </w:tcBorders>
            <w:vAlign w:val="center"/>
          </w:tcPr>
          <w:p w14:paraId="77B9DC6B"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4,10</w:t>
            </w:r>
          </w:p>
        </w:tc>
      </w:tr>
      <w:tr w:rsidR="00D1005E" w:rsidRPr="003954D9" w14:paraId="3528F632" w14:textId="77777777" w:rsidTr="00F32099">
        <w:trPr>
          <w:trHeight w:val="227"/>
        </w:trPr>
        <w:tc>
          <w:tcPr>
            <w:tcW w:w="2157" w:type="dxa"/>
            <w:tcBorders>
              <w:top w:val="single" w:sz="6" w:space="0" w:color="auto"/>
              <w:left w:val="single" w:sz="6" w:space="0" w:color="auto"/>
              <w:bottom w:val="single" w:sz="6" w:space="0" w:color="auto"/>
              <w:right w:val="single" w:sz="6" w:space="0" w:color="auto"/>
            </w:tcBorders>
            <w:vAlign w:val="center"/>
          </w:tcPr>
          <w:p w14:paraId="1CAB3559" w14:textId="0EE9CC61" w:rsidR="00D1005E" w:rsidRPr="00DD3DF3" w:rsidRDefault="00D37D9E" w:rsidP="00D1005E">
            <w:pPr>
              <w:autoSpaceDE w:val="0"/>
              <w:autoSpaceDN w:val="0"/>
              <w:adjustRightInd w:val="0"/>
              <w:rPr>
                <w:rFonts w:ascii="Calibri" w:hAnsi="Calibri" w:cs="Calibri"/>
                <w:b/>
                <w:color w:val="000000"/>
                <w:sz w:val="16"/>
                <w:szCs w:val="16"/>
              </w:rPr>
            </w:pPr>
            <w:r w:rsidRPr="00DD3DF3">
              <w:rPr>
                <w:rFonts w:ascii="Calibri" w:hAnsi="Calibri" w:cs="Calibri"/>
                <w:b/>
                <w:color w:val="000000"/>
                <w:sz w:val="16"/>
                <w:szCs w:val="16"/>
              </w:rPr>
              <w:t>Sambo. m. 3</w:t>
            </w:r>
            <w:r w:rsidR="00D1005E" w:rsidRPr="00DD3DF3">
              <w:rPr>
                <w:rFonts w:ascii="Calibri" w:hAnsi="Calibri" w:cs="Calibri"/>
                <w:b/>
                <w:color w:val="000000"/>
                <w:sz w:val="16"/>
                <w:szCs w:val="16"/>
              </w:rPr>
              <w:t xml:space="preserve">- barn </w:t>
            </w:r>
            <w:r w:rsidR="00365C66" w:rsidRPr="00DD3DF3">
              <w:rPr>
                <w:rFonts w:ascii="Calibri" w:hAnsi="Calibri" w:cs="Calibri"/>
                <w:b/>
                <w:color w:val="000000"/>
                <w:sz w:val="16"/>
                <w:szCs w:val="16"/>
              </w:rPr>
              <w:t>0–19</w:t>
            </w:r>
            <w:r w:rsidR="00D1005E" w:rsidRPr="00DD3DF3">
              <w:rPr>
                <w:rFonts w:ascii="Calibri" w:hAnsi="Calibri" w:cs="Calibri"/>
                <w:b/>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vAlign w:val="center"/>
          </w:tcPr>
          <w:p w14:paraId="6F2A651B" w14:textId="77777777" w:rsidR="00D1005E" w:rsidRPr="003954D9" w:rsidRDefault="00D1005E" w:rsidP="00D1005E">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747</w:t>
            </w:r>
          </w:p>
        </w:tc>
        <w:tc>
          <w:tcPr>
            <w:tcW w:w="654" w:type="dxa"/>
            <w:tcBorders>
              <w:top w:val="single" w:sz="6" w:space="0" w:color="auto"/>
              <w:left w:val="single" w:sz="6" w:space="0" w:color="auto"/>
              <w:bottom w:val="single" w:sz="6" w:space="0" w:color="auto"/>
              <w:right w:val="single" w:sz="6" w:space="0" w:color="auto"/>
            </w:tcBorders>
            <w:vAlign w:val="center"/>
          </w:tcPr>
          <w:p w14:paraId="4875AB7A" w14:textId="77777777" w:rsidR="00D1005E" w:rsidRPr="003954D9" w:rsidRDefault="00D1005E" w:rsidP="00D1005E">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3,2</w:t>
            </w:r>
          </w:p>
        </w:tc>
        <w:tc>
          <w:tcPr>
            <w:tcW w:w="709" w:type="dxa"/>
            <w:tcBorders>
              <w:top w:val="single" w:sz="6" w:space="0" w:color="auto"/>
              <w:left w:val="single" w:sz="6" w:space="0" w:color="auto"/>
              <w:bottom w:val="single" w:sz="6" w:space="0" w:color="auto"/>
              <w:right w:val="single" w:sz="6" w:space="0" w:color="auto"/>
            </w:tcBorders>
            <w:vAlign w:val="center"/>
          </w:tcPr>
          <w:p w14:paraId="65404C19"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4 243</w:t>
            </w:r>
          </w:p>
        </w:tc>
        <w:tc>
          <w:tcPr>
            <w:tcW w:w="567" w:type="dxa"/>
            <w:tcBorders>
              <w:top w:val="single" w:sz="6" w:space="0" w:color="auto"/>
              <w:left w:val="single" w:sz="6" w:space="0" w:color="auto"/>
              <w:bottom w:val="single" w:sz="6" w:space="0" w:color="auto"/>
              <w:right w:val="single" w:sz="6" w:space="0" w:color="auto"/>
            </w:tcBorders>
            <w:vAlign w:val="center"/>
          </w:tcPr>
          <w:p w14:paraId="6EB440AF"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w:t>
            </w:r>
          </w:p>
        </w:tc>
        <w:tc>
          <w:tcPr>
            <w:tcW w:w="919" w:type="dxa"/>
            <w:tcBorders>
              <w:top w:val="single" w:sz="6" w:space="0" w:color="auto"/>
              <w:left w:val="single" w:sz="6" w:space="0" w:color="auto"/>
              <w:bottom w:val="single" w:sz="6" w:space="0" w:color="auto"/>
              <w:right w:val="single" w:sz="6" w:space="0" w:color="auto"/>
            </w:tcBorders>
            <w:vAlign w:val="center"/>
          </w:tcPr>
          <w:p w14:paraId="14225F1B" w14:textId="77777777" w:rsidR="00D1005E" w:rsidRPr="003954D9" w:rsidRDefault="00D1005E" w:rsidP="00D1005E">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87,8</w:t>
            </w:r>
          </w:p>
        </w:tc>
        <w:tc>
          <w:tcPr>
            <w:tcW w:w="782" w:type="dxa"/>
            <w:tcBorders>
              <w:top w:val="single" w:sz="6" w:space="0" w:color="auto"/>
              <w:left w:val="single" w:sz="6" w:space="0" w:color="auto"/>
              <w:bottom w:val="single" w:sz="6" w:space="0" w:color="auto"/>
              <w:right w:val="single" w:sz="6" w:space="0" w:color="auto"/>
            </w:tcBorders>
            <w:vAlign w:val="center"/>
          </w:tcPr>
          <w:p w14:paraId="05A74715" w14:textId="77777777" w:rsidR="00D1005E" w:rsidRPr="003954D9" w:rsidRDefault="00D1005E" w:rsidP="00D1005E">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15,5</w:t>
            </w:r>
          </w:p>
        </w:tc>
        <w:tc>
          <w:tcPr>
            <w:tcW w:w="807" w:type="dxa"/>
            <w:tcBorders>
              <w:top w:val="single" w:sz="6" w:space="0" w:color="auto"/>
              <w:left w:val="single" w:sz="6" w:space="0" w:color="auto"/>
              <w:bottom w:val="single" w:sz="6" w:space="0" w:color="auto"/>
              <w:right w:val="single" w:sz="6" w:space="0" w:color="auto"/>
            </w:tcBorders>
            <w:vAlign w:val="center"/>
          </w:tcPr>
          <w:p w14:paraId="7D5EB3E9" w14:textId="77777777" w:rsidR="00D1005E" w:rsidRPr="003954D9" w:rsidRDefault="00D1005E" w:rsidP="00D1005E">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5,68</w:t>
            </w:r>
          </w:p>
        </w:tc>
      </w:tr>
      <w:tr w:rsidR="00D1005E" w:rsidRPr="003954D9" w14:paraId="0B57BFEA" w14:textId="77777777" w:rsidTr="00F32099">
        <w:trPr>
          <w:trHeight w:val="227"/>
        </w:trPr>
        <w:tc>
          <w:tcPr>
            <w:tcW w:w="2157" w:type="dxa"/>
            <w:tcBorders>
              <w:top w:val="single" w:sz="6" w:space="0" w:color="auto"/>
              <w:left w:val="single" w:sz="6" w:space="0" w:color="auto"/>
              <w:bottom w:val="single" w:sz="6" w:space="0" w:color="auto"/>
              <w:right w:val="single" w:sz="6" w:space="0" w:color="auto"/>
            </w:tcBorders>
            <w:vAlign w:val="center"/>
          </w:tcPr>
          <w:p w14:paraId="7F799C13" w14:textId="77777777" w:rsidR="00D1005E" w:rsidRPr="00DD3DF3" w:rsidRDefault="00D1005E" w:rsidP="00D1005E">
            <w:pPr>
              <w:autoSpaceDE w:val="0"/>
              <w:autoSpaceDN w:val="0"/>
              <w:adjustRightInd w:val="0"/>
              <w:rPr>
                <w:rFonts w:ascii="Calibri" w:hAnsi="Calibri" w:cs="Calibri"/>
                <w:b/>
                <w:color w:val="000000"/>
                <w:sz w:val="16"/>
                <w:szCs w:val="16"/>
              </w:rPr>
            </w:pPr>
            <w:r w:rsidRPr="00DD3DF3">
              <w:rPr>
                <w:rFonts w:ascii="Calibri" w:hAnsi="Calibri" w:cs="Calibri"/>
                <w:b/>
                <w:color w:val="000000"/>
                <w:sz w:val="16"/>
                <w:szCs w:val="16"/>
              </w:rPr>
              <w:t xml:space="preserve">Övr. hushåll u. barn </w:t>
            </w:r>
          </w:p>
        </w:tc>
        <w:tc>
          <w:tcPr>
            <w:tcW w:w="789" w:type="dxa"/>
            <w:tcBorders>
              <w:top w:val="single" w:sz="6" w:space="0" w:color="auto"/>
              <w:left w:val="single" w:sz="6" w:space="0" w:color="auto"/>
              <w:bottom w:val="single" w:sz="6" w:space="0" w:color="auto"/>
              <w:right w:val="single" w:sz="6" w:space="0" w:color="auto"/>
            </w:tcBorders>
            <w:vAlign w:val="center"/>
          </w:tcPr>
          <w:p w14:paraId="776582C7"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1 818</w:t>
            </w:r>
          </w:p>
        </w:tc>
        <w:tc>
          <w:tcPr>
            <w:tcW w:w="654" w:type="dxa"/>
            <w:tcBorders>
              <w:top w:val="single" w:sz="6" w:space="0" w:color="auto"/>
              <w:left w:val="single" w:sz="6" w:space="0" w:color="auto"/>
              <w:bottom w:val="single" w:sz="6" w:space="0" w:color="auto"/>
              <w:right w:val="single" w:sz="6" w:space="0" w:color="auto"/>
            </w:tcBorders>
            <w:vAlign w:val="center"/>
          </w:tcPr>
          <w:p w14:paraId="0C57127E"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7,9</w:t>
            </w:r>
          </w:p>
        </w:tc>
        <w:tc>
          <w:tcPr>
            <w:tcW w:w="709" w:type="dxa"/>
            <w:tcBorders>
              <w:top w:val="single" w:sz="6" w:space="0" w:color="auto"/>
              <w:left w:val="single" w:sz="6" w:space="0" w:color="auto"/>
              <w:bottom w:val="single" w:sz="6" w:space="0" w:color="auto"/>
              <w:right w:val="single" w:sz="6" w:space="0" w:color="auto"/>
            </w:tcBorders>
            <w:vAlign w:val="center"/>
          </w:tcPr>
          <w:p w14:paraId="036D2B8B"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4 709</w:t>
            </w:r>
          </w:p>
        </w:tc>
        <w:tc>
          <w:tcPr>
            <w:tcW w:w="567" w:type="dxa"/>
            <w:tcBorders>
              <w:top w:val="single" w:sz="6" w:space="0" w:color="auto"/>
              <w:left w:val="single" w:sz="6" w:space="0" w:color="auto"/>
              <w:bottom w:val="single" w:sz="6" w:space="0" w:color="auto"/>
              <w:right w:val="single" w:sz="6" w:space="0" w:color="auto"/>
            </w:tcBorders>
            <w:vAlign w:val="center"/>
          </w:tcPr>
          <w:p w14:paraId="0E2C16B7"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9,2</w:t>
            </w:r>
          </w:p>
        </w:tc>
        <w:tc>
          <w:tcPr>
            <w:tcW w:w="919" w:type="dxa"/>
            <w:tcBorders>
              <w:top w:val="single" w:sz="6" w:space="0" w:color="auto"/>
              <w:left w:val="single" w:sz="6" w:space="0" w:color="auto"/>
              <w:bottom w:val="single" w:sz="6" w:space="0" w:color="auto"/>
              <w:right w:val="single" w:sz="6" w:space="0" w:color="auto"/>
            </w:tcBorders>
            <w:vAlign w:val="center"/>
          </w:tcPr>
          <w:p w14:paraId="4C702C31"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59,4</w:t>
            </w:r>
          </w:p>
        </w:tc>
        <w:tc>
          <w:tcPr>
            <w:tcW w:w="782" w:type="dxa"/>
            <w:tcBorders>
              <w:top w:val="single" w:sz="6" w:space="0" w:color="auto"/>
              <w:left w:val="single" w:sz="6" w:space="0" w:color="auto"/>
              <w:bottom w:val="single" w:sz="6" w:space="0" w:color="auto"/>
              <w:right w:val="single" w:sz="6" w:space="0" w:color="auto"/>
            </w:tcBorders>
            <w:vAlign w:val="center"/>
          </w:tcPr>
          <w:p w14:paraId="065C391C"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22,9</w:t>
            </w:r>
          </w:p>
        </w:tc>
        <w:tc>
          <w:tcPr>
            <w:tcW w:w="807" w:type="dxa"/>
            <w:tcBorders>
              <w:top w:val="single" w:sz="6" w:space="0" w:color="auto"/>
              <w:left w:val="single" w:sz="6" w:space="0" w:color="auto"/>
              <w:bottom w:val="single" w:sz="6" w:space="0" w:color="auto"/>
              <w:right w:val="single" w:sz="6" w:space="0" w:color="auto"/>
            </w:tcBorders>
            <w:vAlign w:val="center"/>
          </w:tcPr>
          <w:p w14:paraId="1B078A77"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2,59</w:t>
            </w:r>
          </w:p>
        </w:tc>
      </w:tr>
      <w:tr w:rsidR="00D1005E" w:rsidRPr="003954D9" w14:paraId="13CD1178" w14:textId="77777777" w:rsidTr="00F32099">
        <w:trPr>
          <w:trHeight w:val="227"/>
        </w:trPr>
        <w:tc>
          <w:tcPr>
            <w:tcW w:w="2157" w:type="dxa"/>
            <w:tcBorders>
              <w:top w:val="single" w:sz="6" w:space="0" w:color="auto"/>
              <w:left w:val="single" w:sz="6" w:space="0" w:color="auto"/>
              <w:bottom w:val="single" w:sz="6" w:space="0" w:color="auto"/>
              <w:right w:val="single" w:sz="6" w:space="0" w:color="auto"/>
            </w:tcBorders>
            <w:vAlign w:val="center"/>
          </w:tcPr>
          <w:p w14:paraId="406A2ED4" w14:textId="77777777" w:rsidR="00D1005E" w:rsidRPr="00DD3DF3" w:rsidRDefault="00D1005E" w:rsidP="00D1005E">
            <w:pPr>
              <w:autoSpaceDE w:val="0"/>
              <w:autoSpaceDN w:val="0"/>
              <w:adjustRightInd w:val="0"/>
              <w:rPr>
                <w:rFonts w:ascii="Calibri" w:hAnsi="Calibri" w:cs="Calibri"/>
                <w:b/>
                <w:color w:val="000000"/>
                <w:sz w:val="16"/>
                <w:szCs w:val="16"/>
              </w:rPr>
            </w:pPr>
            <w:r w:rsidRPr="00DD3DF3">
              <w:rPr>
                <w:rFonts w:ascii="Calibri" w:hAnsi="Calibri" w:cs="Calibri"/>
                <w:b/>
                <w:color w:val="000000"/>
                <w:sz w:val="16"/>
                <w:szCs w:val="16"/>
              </w:rPr>
              <w:t>Övr. hushåll m. barn</w:t>
            </w:r>
          </w:p>
        </w:tc>
        <w:tc>
          <w:tcPr>
            <w:tcW w:w="789" w:type="dxa"/>
            <w:tcBorders>
              <w:top w:val="single" w:sz="6" w:space="0" w:color="auto"/>
              <w:left w:val="single" w:sz="6" w:space="0" w:color="auto"/>
              <w:bottom w:val="single" w:sz="6" w:space="0" w:color="auto"/>
              <w:right w:val="single" w:sz="6" w:space="0" w:color="auto"/>
            </w:tcBorders>
            <w:vAlign w:val="center"/>
          </w:tcPr>
          <w:p w14:paraId="4493450B"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2 677</w:t>
            </w:r>
          </w:p>
        </w:tc>
        <w:tc>
          <w:tcPr>
            <w:tcW w:w="654" w:type="dxa"/>
            <w:tcBorders>
              <w:top w:val="single" w:sz="6" w:space="0" w:color="auto"/>
              <w:left w:val="single" w:sz="6" w:space="0" w:color="auto"/>
              <w:bottom w:val="single" w:sz="6" w:space="0" w:color="auto"/>
              <w:right w:val="single" w:sz="6" w:space="0" w:color="auto"/>
            </w:tcBorders>
            <w:vAlign w:val="center"/>
          </w:tcPr>
          <w:p w14:paraId="60CCA284"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11,6</w:t>
            </w:r>
          </w:p>
        </w:tc>
        <w:tc>
          <w:tcPr>
            <w:tcW w:w="709" w:type="dxa"/>
            <w:tcBorders>
              <w:top w:val="single" w:sz="6" w:space="0" w:color="auto"/>
              <w:left w:val="single" w:sz="6" w:space="0" w:color="auto"/>
              <w:bottom w:val="single" w:sz="6" w:space="0" w:color="auto"/>
              <w:right w:val="single" w:sz="6" w:space="0" w:color="auto"/>
            </w:tcBorders>
            <w:vAlign w:val="center"/>
          </w:tcPr>
          <w:p w14:paraId="258394E5"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11 865</w:t>
            </w:r>
          </w:p>
        </w:tc>
        <w:tc>
          <w:tcPr>
            <w:tcW w:w="567" w:type="dxa"/>
            <w:tcBorders>
              <w:top w:val="single" w:sz="6" w:space="0" w:color="auto"/>
              <w:left w:val="single" w:sz="6" w:space="0" w:color="auto"/>
              <w:bottom w:val="single" w:sz="6" w:space="0" w:color="auto"/>
              <w:right w:val="single" w:sz="6" w:space="0" w:color="auto"/>
            </w:tcBorders>
            <w:vAlign w:val="center"/>
          </w:tcPr>
          <w:p w14:paraId="43F3E118"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c>
          <w:tcPr>
            <w:tcW w:w="919" w:type="dxa"/>
            <w:tcBorders>
              <w:top w:val="single" w:sz="6" w:space="0" w:color="auto"/>
              <w:left w:val="single" w:sz="6" w:space="0" w:color="auto"/>
              <w:bottom w:val="single" w:sz="6" w:space="0" w:color="auto"/>
              <w:right w:val="single" w:sz="6" w:space="0" w:color="auto"/>
            </w:tcBorders>
            <w:vAlign w:val="center"/>
          </w:tcPr>
          <w:p w14:paraId="7E0F2FA1"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76,6</w:t>
            </w:r>
          </w:p>
        </w:tc>
        <w:tc>
          <w:tcPr>
            <w:tcW w:w="782" w:type="dxa"/>
            <w:tcBorders>
              <w:top w:val="single" w:sz="6" w:space="0" w:color="auto"/>
              <w:left w:val="single" w:sz="6" w:space="0" w:color="auto"/>
              <w:bottom w:val="single" w:sz="6" w:space="0" w:color="auto"/>
              <w:right w:val="single" w:sz="6" w:space="0" w:color="auto"/>
            </w:tcBorders>
            <w:vAlign w:val="center"/>
          </w:tcPr>
          <w:p w14:paraId="27A3327E"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17,3</w:t>
            </w:r>
          </w:p>
        </w:tc>
        <w:tc>
          <w:tcPr>
            <w:tcW w:w="807" w:type="dxa"/>
            <w:tcBorders>
              <w:top w:val="single" w:sz="6" w:space="0" w:color="auto"/>
              <w:left w:val="single" w:sz="6" w:space="0" w:color="auto"/>
              <w:bottom w:val="single" w:sz="6" w:space="0" w:color="auto"/>
              <w:right w:val="single" w:sz="6" w:space="0" w:color="auto"/>
            </w:tcBorders>
            <w:vAlign w:val="center"/>
          </w:tcPr>
          <w:p w14:paraId="3AD4E11E"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4,43</w:t>
            </w:r>
          </w:p>
        </w:tc>
      </w:tr>
      <w:tr w:rsidR="00D1005E" w:rsidRPr="003954D9" w14:paraId="5DE72561" w14:textId="77777777" w:rsidTr="00F32099">
        <w:trPr>
          <w:trHeight w:val="227"/>
        </w:trPr>
        <w:tc>
          <w:tcPr>
            <w:tcW w:w="2157" w:type="dxa"/>
            <w:tcBorders>
              <w:top w:val="single" w:sz="6" w:space="0" w:color="auto"/>
              <w:left w:val="single" w:sz="6" w:space="0" w:color="auto"/>
              <w:bottom w:val="single" w:sz="6" w:space="0" w:color="auto"/>
              <w:right w:val="single" w:sz="6" w:space="0" w:color="auto"/>
            </w:tcBorders>
            <w:vAlign w:val="center"/>
          </w:tcPr>
          <w:p w14:paraId="3D23ECB4" w14:textId="77777777" w:rsidR="00D1005E" w:rsidRPr="00DD3DF3" w:rsidRDefault="00D1005E" w:rsidP="00D1005E">
            <w:pPr>
              <w:autoSpaceDE w:val="0"/>
              <w:autoSpaceDN w:val="0"/>
              <w:adjustRightInd w:val="0"/>
              <w:rPr>
                <w:rFonts w:ascii="Calibri" w:hAnsi="Calibri" w:cs="Calibri"/>
                <w:b/>
                <w:color w:val="000000"/>
                <w:sz w:val="16"/>
                <w:szCs w:val="16"/>
              </w:rPr>
            </w:pPr>
            <w:r w:rsidRPr="00DD3DF3">
              <w:rPr>
                <w:rFonts w:ascii="Calibri" w:hAnsi="Calibri" w:cs="Calibri"/>
                <w:b/>
                <w:color w:val="000000"/>
                <w:sz w:val="16"/>
                <w:szCs w:val="16"/>
              </w:rPr>
              <w:t>Samtliga</w:t>
            </w:r>
          </w:p>
        </w:tc>
        <w:tc>
          <w:tcPr>
            <w:tcW w:w="789" w:type="dxa"/>
            <w:tcBorders>
              <w:top w:val="single" w:sz="6" w:space="0" w:color="auto"/>
              <w:left w:val="single" w:sz="6" w:space="0" w:color="auto"/>
              <w:bottom w:val="single" w:sz="6" w:space="0" w:color="auto"/>
              <w:right w:val="single" w:sz="6" w:space="0" w:color="auto"/>
            </w:tcBorders>
            <w:vAlign w:val="center"/>
          </w:tcPr>
          <w:p w14:paraId="263C9381"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23 052</w:t>
            </w:r>
          </w:p>
        </w:tc>
        <w:tc>
          <w:tcPr>
            <w:tcW w:w="654" w:type="dxa"/>
            <w:tcBorders>
              <w:top w:val="single" w:sz="6" w:space="0" w:color="auto"/>
              <w:left w:val="single" w:sz="6" w:space="0" w:color="auto"/>
              <w:bottom w:val="single" w:sz="6" w:space="0" w:color="auto"/>
              <w:right w:val="single" w:sz="6" w:space="0" w:color="auto"/>
            </w:tcBorders>
            <w:vAlign w:val="center"/>
          </w:tcPr>
          <w:p w14:paraId="7CF374BB"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709" w:type="dxa"/>
            <w:tcBorders>
              <w:top w:val="single" w:sz="6" w:space="0" w:color="auto"/>
              <w:left w:val="single" w:sz="6" w:space="0" w:color="auto"/>
              <w:bottom w:val="single" w:sz="6" w:space="0" w:color="auto"/>
              <w:right w:val="single" w:sz="6" w:space="0" w:color="auto"/>
            </w:tcBorders>
            <w:vAlign w:val="center"/>
          </w:tcPr>
          <w:p w14:paraId="22D224F8"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51 450</w:t>
            </w:r>
          </w:p>
        </w:tc>
        <w:tc>
          <w:tcPr>
            <w:tcW w:w="567" w:type="dxa"/>
            <w:tcBorders>
              <w:top w:val="single" w:sz="6" w:space="0" w:color="auto"/>
              <w:left w:val="single" w:sz="6" w:space="0" w:color="auto"/>
              <w:bottom w:val="single" w:sz="6" w:space="0" w:color="auto"/>
              <w:right w:val="single" w:sz="6" w:space="0" w:color="auto"/>
            </w:tcBorders>
            <w:vAlign w:val="center"/>
          </w:tcPr>
          <w:p w14:paraId="72E0FB75"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919" w:type="dxa"/>
            <w:tcBorders>
              <w:top w:val="single" w:sz="6" w:space="0" w:color="auto"/>
              <w:left w:val="single" w:sz="6" w:space="0" w:color="auto"/>
              <w:bottom w:val="single" w:sz="6" w:space="0" w:color="auto"/>
              <w:right w:val="single" w:sz="6" w:space="0" w:color="auto"/>
            </w:tcBorders>
            <w:vAlign w:val="center"/>
          </w:tcPr>
          <w:p w14:paraId="3C1BAEA4"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65,1</w:t>
            </w:r>
          </w:p>
        </w:tc>
        <w:tc>
          <w:tcPr>
            <w:tcW w:w="782" w:type="dxa"/>
            <w:tcBorders>
              <w:top w:val="single" w:sz="6" w:space="0" w:color="auto"/>
              <w:left w:val="single" w:sz="6" w:space="0" w:color="auto"/>
              <w:bottom w:val="single" w:sz="6" w:space="0" w:color="auto"/>
              <w:right w:val="single" w:sz="6" w:space="0" w:color="auto"/>
            </w:tcBorders>
            <w:vAlign w:val="center"/>
          </w:tcPr>
          <w:p w14:paraId="0D079C3A"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29,2</w:t>
            </w:r>
          </w:p>
        </w:tc>
        <w:tc>
          <w:tcPr>
            <w:tcW w:w="807" w:type="dxa"/>
            <w:tcBorders>
              <w:top w:val="single" w:sz="6" w:space="0" w:color="auto"/>
              <w:left w:val="single" w:sz="6" w:space="0" w:color="auto"/>
              <w:bottom w:val="single" w:sz="6" w:space="0" w:color="auto"/>
              <w:right w:val="single" w:sz="6" w:space="0" w:color="auto"/>
            </w:tcBorders>
            <w:vAlign w:val="center"/>
          </w:tcPr>
          <w:p w14:paraId="78011DF5" w14:textId="77777777" w:rsidR="00D1005E" w:rsidRPr="003954D9" w:rsidRDefault="00D1005E" w:rsidP="00D1005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2,23</w:t>
            </w:r>
          </w:p>
        </w:tc>
      </w:tr>
    </w:tbl>
    <w:p w14:paraId="3928AAEE" w14:textId="19100E97" w:rsidR="00BE6A74" w:rsidRPr="003954D9" w:rsidRDefault="00BE6A74" w:rsidP="00BE6A74">
      <w:pPr>
        <w:rPr>
          <w:b/>
          <w:color w:val="002060"/>
          <w:sz w:val="16"/>
          <w:szCs w:val="16"/>
        </w:rPr>
      </w:pPr>
      <w:r w:rsidRPr="003954D9">
        <w:rPr>
          <w:b/>
          <w:color w:val="FF0000"/>
          <w:sz w:val="16"/>
          <w:szCs w:val="16"/>
        </w:rPr>
        <w:t>Rött = högsta värde</w:t>
      </w:r>
      <w:r w:rsidRPr="003954D9">
        <w:rPr>
          <w:b/>
          <w:color w:val="002060"/>
          <w:sz w:val="16"/>
          <w:szCs w:val="16"/>
        </w:rPr>
        <w:t xml:space="preserve"> </w:t>
      </w:r>
      <w:r w:rsidRPr="005B78DB">
        <w:rPr>
          <w:b/>
          <w:color w:val="0070C0"/>
          <w:sz w:val="16"/>
          <w:szCs w:val="16"/>
        </w:rPr>
        <w:t>Blått= lägsta värde</w:t>
      </w:r>
    </w:p>
    <w:p w14:paraId="180C8276" w14:textId="211FB64B" w:rsidR="00DF066A" w:rsidRPr="003954D9" w:rsidRDefault="00DF066A" w:rsidP="00BE6A74"/>
    <w:p w14:paraId="58A11C82" w14:textId="157C078E" w:rsidR="009D4636" w:rsidRPr="003954D9" w:rsidRDefault="003D1A30" w:rsidP="00BE6A74">
      <w:pPr>
        <w:rPr>
          <w:b/>
          <w:color w:val="002060"/>
          <w:sz w:val="16"/>
          <w:szCs w:val="16"/>
        </w:rPr>
      </w:pPr>
      <w:r w:rsidRPr="003954D9">
        <w:t>F</w:t>
      </w:r>
      <w:r w:rsidR="009D4636" w:rsidRPr="003954D9">
        <w:t xml:space="preserve">ler män än kvinnor är ensamboende utan barn i åldern </w:t>
      </w:r>
      <w:r w:rsidR="00365C66" w:rsidRPr="003954D9">
        <w:t>18–64</w:t>
      </w:r>
      <w:r w:rsidR="009D4636" w:rsidRPr="003954D9">
        <w:t xml:space="preserve"> år, men fler kvinnor än män är ensamboende ålderspen</w:t>
      </w:r>
      <w:r w:rsidR="00411147" w:rsidRPr="003954D9">
        <w:t xml:space="preserve">sionärer. Bland ensamstående med barn </w:t>
      </w:r>
      <w:r w:rsidR="00365C66" w:rsidRPr="003954D9">
        <w:t>0–19</w:t>
      </w:r>
      <w:r w:rsidR="00411147" w:rsidRPr="003954D9">
        <w:t xml:space="preserve"> år dominerar kvinnorna </w:t>
      </w:r>
      <w:r w:rsidRPr="003954D9">
        <w:t>starkt</w:t>
      </w:r>
      <w:r w:rsidR="00411147" w:rsidRPr="003954D9">
        <w:t>.</w:t>
      </w:r>
      <w:r w:rsidR="005B78DB">
        <w:t xml:space="preserve"> Se tabell 4:2.</w:t>
      </w:r>
    </w:p>
    <w:p w14:paraId="6797F19F" w14:textId="300E0C78" w:rsidR="00795103" w:rsidRPr="003954D9" w:rsidRDefault="00795103" w:rsidP="00795103">
      <w:pPr>
        <w:keepNext/>
        <w:keepLines/>
        <w:spacing w:before="200"/>
        <w:outlineLvl w:val="4"/>
        <w:rPr>
          <w:rFonts w:asciiTheme="majorHAnsi" w:eastAsiaTheme="majorEastAsia" w:hAnsiTheme="majorHAnsi" w:cstheme="majorBidi"/>
          <w:color w:val="243F60" w:themeColor="accent1" w:themeShade="7F"/>
          <w:sz w:val="23"/>
        </w:rPr>
      </w:pPr>
      <w:r w:rsidRPr="003954D9">
        <w:rPr>
          <w:rFonts w:asciiTheme="majorHAnsi" w:eastAsiaTheme="majorEastAsia" w:hAnsiTheme="majorHAnsi" w:cstheme="majorBidi"/>
          <w:color w:val="243F60" w:themeColor="accent1" w:themeShade="7F"/>
          <w:sz w:val="23"/>
        </w:rPr>
        <w:t>Tabell 4:2: Ensamstående, kön, antal hushåll, antal personer, lägenhetsyta -</w:t>
      </w:r>
      <w:r w:rsidR="005B78DB">
        <w:rPr>
          <w:rFonts w:asciiTheme="majorHAnsi" w:eastAsiaTheme="majorEastAsia" w:hAnsiTheme="majorHAnsi" w:cstheme="majorBidi"/>
          <w:color w:val="243F60" w:themeColor="accent1" w:themeShade="7F"/>
          <w:sz w:val="23"/>
        </w:rPr>
        <w:t xml:space="preserve"> </w:t>
      </w:r>
      <w:r w:rsidR="00996865" w:rsidRPr="003954D9">
        <w:rPr>
          <w:rFonts w:asciiTheme="majorHAnsi" w:eastAsiaTheme="majorEastAsia" w:hAnsiTheme="majorHAnsi" w:cstheme="majorBidi"/>
          <w:color w:val="243F60" w:themeColor="accent1" w:themeShade="7F"/>
          <w:sz w:val="23"/>
        </w:rPr>
        <w:t>h</w:t>
      </w:r>
      <w:r w:rsidRPr="003954D9">
        <w:rPr>
          <w:rFonts w:asciiTheme="majorHAnsi" w:eastAsiaTheme="majorEastAsia" w:hAnsiTheme="majorHAnsi" w:cstheme="majorBidi"/>
          <w:color w:val="243F60" w:themeColor="accent1" w:themeShade="7F"/>
          <w:sz w:val="23"/>
        </w:rPr>
        <w:t>ela urvalet</w:t>
      </w:r>
    </w:p>
    <w:tbl>
      <w:tblPr>
        <w:tblW w:w="0" w:type="auto"/>
        <w:tblInd w:w="-38" w:type="dxa"/>
        <w:tblLayout w:type="fixed"/>
        <w:tblLook w:val="0000" w:firstRow="0" w:lastRow="0" w:firstColumn="0" w:lastColumn="0" w:noHBand="0" w:noVBand="0"/>
      </w:tblPr>
      <w:tblGrid>
        <w:gridCol w:w="2453"/>
        <w:gridCol w:w="696"/>
        <w:gridCol w:w="567"/>
        <w:gridCol w:w="709"/>
        <w:gridCol w:w="621"/>
        <w:gridCol w:w="14"/>
        <w:gridCol w:w="782"/>
        <w:gridCol w:w="851"/>
        <w:gridCol w:w="804"/>
      </w:tblGrid>
      <w:tr w:rsidR="00411147" w:rsidRPr="003954D9" w14:paraId="00DD2CF4" w14:textId="77777777" w:rsidTr="00411147">
        <w:trPr>
          <w:trHeight w:val="227"/>
        </w:trPr>
        <w:tc>
          <w:tcPr>
            <w:tcW w:w="2453" w:type="dxa"/>
            <w:vMerge w:val="restart"/>
            <w:tcBorders>
              <w:top w:val="single" w:sz="6" w:space="0" w:color="auto"/>
              <w:left w:val="single" w:sz="6" w:space="0" w:color="auto"/>
              <w:right w:val="single" w:sz="6" w:space="0" w:color="auto"/>
            </w:tcBorders>
          </w:tcPr>
          <w:p w14:paraId="6F64F95D" w14:textId="77777777" w:rsidR="00411147" w:rsidRPr="003954D9" w:rsidRDefault="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Hushållstyp</w:t>
            </w:r>
          </w:p>
        </w:tc>
        <w:tc>
          <w:tcPr>
            <w:tcW w:w="1263" w:type="dxa"/>
            <w:gridSpan w:val="2"/>
            <w:tcBorders>
              <w:top w:val="single" w:sz="6" w:space="0" w:color="auto"/>
              <w:left w:val="single" w:sz="6" w:space="0" w:color="auto"/>
              <w:bottom w:val="single" w:sz="6" w:space="0" w:color="auto"/>
              <w:right w:val="single" w:sz="6" w:space="0" w:color="auto"/>
            </w:tcBorders>
          </w:tcPr>
          <w:p w14:paraId="3BBD593A" w14:textId="30B7C17F" w:rsidR="00411147" w:rsidRPr="003954D9" w:rsidRDefault="00411147" w:rsidP="00411147">
            <w:pPr>
              <w:autoSpaceDE w:val="0"/>
              <w:autoSpaceDN w:val="0"/>
              <w:adjustRightInd w:val="0"/>
              <w:rPr>
                <w:rFonts w:ascii="Calibri" w:hAnsi="Calibri" w:cs="Calibri"/>
                <w:b/>
                <w:bCs/>
                <w:color w:val="000000"/>
                <w:sz w:val="22"/>
                <w:szCs w:val="22"/>
              </w:rPr>
            </w:pPr>
            <w:r w:rsidRPr="003954D9">
              <w:rPr>
                <w:rFonts w:ascii="Calibri" w:hAnsi="Calibri" w:cs="Calibri"/>
                <w:b/>
                <w:bCs/>
                <w:color w:val="000000"/>
                <w:sz w:val="16"/>
                <w:szCs w:val="16"/>
              </w:rPr>
              <w:t>Hushåll</w:t>
            </w:r>
          </w:p>
        </w:tc>
        <w:tc>
          <w:tcPr>
            <w:tcW w:w="1344" w:type="dxa"/>
            <w:gridSpan w:val="3"/>
            <w:tcBorders>
              <w:top w:val="single" w:sz="6" w:space="0" w:color="auto"/>
              <w:left w:val="single" w:sz="6" w:space="0" w:color="auto"/>
              <w:bottom w:val="single" w:sz="6" w:space="0" w:color="auto"/>
              <w:right w:val="single" w:sz="6" w:space="0" w:color="auto"/>
            </w:tcBorders>
          </w:tcPr>
          <w:p w14:paraId="6A14E47A" w14:textId="77777777" w:rsidR="00411147" w:rsidRPr="003954D9" w:rsidRDefault="00411147" w:rsidP="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w:t>
            </w:r>
          </w:p>
        </w:tc>
        <w:tc>
          <w:tcPr>
            <w:tcW w:w="1633" w:type="dxa"/>
            <w:gridSpan w:val="2"/>
            <w:tcBorders>
              <w:top w:val="single" w:sz="6" w:space="0" w:color="auto"/>
              <w:left w:val="single" w:sz="6" w:space="0" w:color="auto"/>
              <w:bottom w:val="single" w:sz="6" w:space="0" w:color="auto"/>
              <w:right w:val="single" w:sz="6" w:space="0" w:color="auto"/>
            </w:tcBorders>
          </w:tcPr>
          <w:p w14:paraId="79BDBF84" w14:textId="2468487C" w:rsidR="00411147" w:rsidRPr="003954D9" w:rsidRDefault="00411147" w:rsidP="00411147">
            <w:pPr>
              <w:autoSpaceDE w:val="0"/>
              <w:autoSpaceDN w:val="0"/>
              <w:adjustRightInd w:val="0"/>
              <w:rPr>
                <w:rFonts w:ascii="Calibri" w:hAnsi="Calibri" w:cs="Calibri"/>
                <w:b/>
                <w:bCs/>
                <w:color w:val="000000"/>
                <w:sz w:val="22"/>
                <w:szCs w:val="22"/>
              </w:rPr>
            </w:pPr>
            <w:r w:rsidRPr="003954D9">
              <w:rPr>
                <w:rFonts w:ascii="Calibri" w:hAnsi="Calibri" w:cs="Calibri"/>
                <w:b/>
                <w:bCs/>
                <w:color w:val="000000"/>
                <w:sz w:val="16"/>
                <w:szCs w:val="16"/>
              </w:rPr>
              <w:t>Boarea</w:t>
            </w:r>
          </w:p>
        </w:tc>
        <w:tc>
          <w:tcPr>
            <w:tcW w:w="804" w:type="dxa"/>
            <w:vMerge w:val="restart"/>
            <w:tcBorders>
              <w:top w:val="single" w:sz="6" w:space="0" w:color="auto"/>
              <w:left w:val="single" w:sz="6" w:space="0" w:color="auto"/>
              <w:right w:val="single" w:sz="6" w:space="0" w:color="auto"/>
            </w:tcBorders>
          </w:tcPr>
          <w:p w14:paraId="7F692C80" w14:textId="77777777" w:rsidR="00411147" w:rsidRPr="003954D9" w:rsidRDefault="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Boende/ hushåll</w:t>
            </w:r>
          </w:p>
        </w:tc>
      </w:tr>
      <w:tr w:rsidR="00411147" w:rsidRPr="003954D9" w14:paraId="37B8C242" w14:textId="77777777" w:rsidTr="00411147">
        <w:trPr>
          <w:trHeight w:val="227"/>
        </w:trPr>
        <w:tc>
          <w:tcPr>
            <w:tcW w:w="2453" w:type="dxa"/>
            <w:vMerge/>
            <w:tcBorders>
              <w:left w:val="single" w:sz="6" w:space="0" w:color="auto"/>
              <w:bottom w:val="single" w:sz="6" w:space="0" w:color="auto"/>
              <w:right w:val="single" w:sz="6" w:space="0" w:color="auto"/>
            </w:tcBorders>
          </w:tcPr>
          <w:p w14:paraId="40124942" w14:textId="77777777" w:rsidR="00411147" w:rsidRPr="003954D9" w:rsidRDefault="00411147">
            <w:pPr>
              <w:autoSpaceDE w:val="0"/>
              <w:autoSpaceDN w:val="0"/>
              <w:adjustRightInd w:val="0"/>
              <w:jc w:val="right"/>
              <w:rPr>
                <w:rFonts w:ascii="Calibri" w:hAnsi="Calibri" w:cs="Calibri"/>
                <w:b/>
                <w:bCs/>
                <w:color w:val="000000"/>
                <w:sz w:val="22"/>
                <w:szCs w:val="22"/>
              </w:rPr>
            </w:pPr>
          </w:p>
        </w:tc>
        <w:tc>
          <w:tcPr>
            <w:tcW w:w="696" w:type="dxa"/>
            <w:tcBorders>
              <w:top w:val="single" w:sz="6" w:space="0" w:color="auto"/>
              <w:left w:val="single" w:sz="6" w:space="0" w:color="auto"/>
              <w:bottom w:val="single" w:sz="6" w:space="0" w:color="auto"/>
              <w:right w:val="single" w:sz="6" w:space="0" w:color="auto"/>
            </w:tcBorders>
          </w:tcPr>
          <w:p w14:paraId="189140CC" w14:textId="4B817C0F" w:rsidR="00411147" w:rsidRPr="003954D9" w:rsidRDefault="00F3209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176F8C8E" w14:textId="45970F7F" w:rsidR="00411147" w:rsidRPr="003954D9" w:rsidRDefault="00F3209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14:paraId="2D6FF123" w14:textId="5FA45A59" w:rsidR="00411147" w:rsidRPr="003954D9" w:rsidRDefault="00F3209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621" w:type="dxa"/>
            <w:tcBorders>
              <w:top w:val="single" w:sz="6" w:space="0" w:color="auto"/>
              <w:left w:val="single" w:sz="6" w:space="0" w:color="auto"/>
              <w:bottom w:val="single" w:sz="6" w:space="0" w:color="auto"/>
              <w:right w:val="single" w:sz="6" w:space="0" w:color="auto"/>
            </w:tcBorders>
          </w:tcPr>
          <w:p w14:paraId="3A82A57B" w14:textId="3B8C10A3" w:rsidR="00411147" w:rsidRPr="003954D9" w:rsidRDefault="00F3209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796" w:type="dxa"/>
            <w:gridSpan w:val="2"/>
            <w:tcBorders>
              <w:top w:val="single" w:sz="6" w:space="0" w:color="auto"/>
              <w:left w:val="single" w:sz="6" w:space="0" w:color="auto"/>
              <w:bottom w:val="single" w:sz="6" w:space="0" w:color="auto"/>
              <w:right w:val="single" w:sz="6" w:space="0" w:color="auto"/>
            </w:tcBorders>
          </w:tcPr>
          <w:p w14:paraId="41132A63" w14:textId="77777777" w:rsidR="00411147" w:rsidRPr="003954D9" w:rsidRDefault="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Medelv.</w:t>
            </w:r>
          </w:p>
        </w:tc>
        <w:tc>
          <w:tcPr>
            <w:tcW w:w="851" w:type="dxa"/>
            <w:tcBorders>
              <w:top w:val="single" w:sz="6" w:space="0" w:color="auto"/>
              <w:left w:val="single" w:sz="6" w:space="0" w:color="auto"/>
              <w:bottom w:val="single" w:sz="6" w:space="0" w:color="auto"/>
              <w:right w:val="single" w:sz="6" w:space="0" w:color="auto"/>
            </w:tcBorders>
          </w:tcPr>
          <w:p w14:paraId="174DF57A" w14:textId="77777777" w:rsidR="00411147" w:rsidRPr="003954D9" w:rsidRDefault="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 pers.</w:t>
            </w:r>
          </w:p>
        </w:tc>
        <w:tc>
          <w:tcPr>
            <w:tcW w:w="804" w:type="dxa"/>
            <w:vMerge/>
            <w:tcBorders>
              <w:left w:val="single" w:sz="6" w:space="0" w:color="auto"/>
              <w:bottom w:val="single" w:sz="6" w:space="0" w:color="auto"/>
              <w:right w:val="single" w:sz="6" w:space="0" w:color="auto"/>
            </w:tcBorders>
          </w:tcPr>
          <w:p w14:paraId="24CF172C" w14:textId="77777777" w:rsidR="00411147" w:rsidRPr="003954D9" w:rsidRDefault="00411147">
            <w:pPr>
              <w:autoSpaceDE w:val="0"/>
              <w:autoSpaceDN w:val="0"/>
              <w:adjustRightInd w:val="0"/>
              <w:jc w:val="right"/>
              <w:rPr>
                <w:rFonts w:ascii="Calibri" w:hAnsi="Calibri" w:cs="Calibri"/>
                <w:b/>
                <w:bCs/>
                <w:color w:val="000000"/>
                <w:sz w:val="22"/>
                <w:szCs w:val="22"/>
              </w:rPr>
            </w:pPr>
          </w:p>
        </w:tc>
      </w:tr>
      <w:tr w:rsidR="00411147" w:rsidRPr="003954D9" w14:paraId="433900AC" w14:textId="77777777" w:rsidTr="00411147">
        <w:trPr>
          <w:trHeight w:val="227"/>
        </w:trPr>
        <w:tc>
          <w:tcPr>
            <w:tcW w:w="2453" w:type="dxa"/>
            <w:tcBorders>
              <w:top w:val="single" w:sz="6" w:space="0" w:color="auto"/>
              <w:left w:val="single" w:sz="6" w:space="0" w:color="auto"/>
              <w:bottom w:val="single" w:sz="6" w:space="0" w:color="auto"/>
              <w:right w:val="single" w:sz="6" w:space="0" w:color="auto"/>
            </w:tcBorders>
          </w:tcPr>
          <w:p w14:paraId="46013E8F" w14:textId="5D859DFA" w:rsidR="00411147" w:rsidRPr="003954D9" w:rsidRDefault="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kvinna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696" w:type="dxa"/>
            <w:tcBorders>
              <w:top w:val="single" w:sz="6" w:space="0" w:color="auto"/>
              <w:left w:val="single" w:sz="6" w:space="0" w:color="auto"/>
              <w:bottom w:val="single" w:sz="6" w:space="0" w:color="auto"/>
              <w:right w:val="single" w:sz="6" w:space="0" w:color="auto"/>
            </w:tcBorders>
          </w:tcPr>
          <w:p w14:paraId="38C9D2F6"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3 321</w:t>
            </w:r>
          </w:p>
        </w:tc>
        <w:tc>
          <w:tcPr>
            <w:tcW w:w="567" w:type="dxa"/>
            <w:tcBorders>
              <w:top w:val="single" w:sz="6" w:space="0" w:color="auto"/>
              <w:left w:val="single" w:sz="6" w:space="0" w:color="auto"/>
              <w:bottom w:val="single" w:sz="6" w:space="0" w:color="auto"/>
              <w:right w:val="single" w:sz="6" w:space="0" w:color="auto"/>
            </w:tcBorders>
          </w:tcPr>
          <w:p w14:paraId="31AEE722"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14,4</w:t>
            </w:r>
          </w:p>
        </w:tc>
        <w:tc>
          <w:tcPr>
            <w:tcW w:w="709" w:type="dxa"/>
            <w:tcBorders>
              <w:top w:val="single" w:sz="6" w:space="0" w:color="auto"/>
              <w:left w:val="single" w:sz="6" w:space="0" w:color="auto"/>
              <w:bottom w:val="single" w:sz="6" w:space="0" w:color="auto"/>
              <w:right w:val="single" w:sz="6" w:space="0" w:color="auto"/>
            </w:tcBorders>
          </w:tcPr>
          <w:p w14:paraId="1DE5CCEF"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3 321</w:t>
            </w:r>
          </w:p>
        </w:tc>
        <w:tc>
          <w:tcPr>
            <w:tcW w:w="621" w:type="dxa"/>
            <w:tcBorders>
              <w:top w:val="single" w:sz="6" w:space="0" w:color="auto"/>
              <w:left w:val="single" w:sz="6" w:space="0" w:color="auto"/>
              <w:bottom w:val="single" w:sz="6" w:space="0" w:color="auto"/>
              <w:right w:val="single" w:sz="6" w:space="0" w:color="auto"/>
            </w:tcBorders>
          </w:tcPr>
          <w:p w14:paraId="13F3AE8A"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w:t>
            </w:r>
          </w:p>
        </w:tc>
        <w:tc>
          <w:tcPr>
            <w:tcW w:w="796" w:type="dxa"/>
            <w:gridSpan w:val="2"/>
            <w:tcBorders>
              <w:top w:val="single" w:sz="6" w:space="0" w:color="auto"/>
              <w:left w:val="single" w:sz="6" w:space="0" w:color="auto"/>
              <w:bottom w:val="single" w:sz="6" w:space="0" w:color="auto"/>
              <w:right w:val="single" w:sz="6" w:space="0" w:color="auto"/>
            </w:tcBorders>
          </w:tcPr>
          <w:p w14:paraId="067BA314"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53,1</w:t>
            </w:r>
          </w:p>
        </w:tc>
        <w:tc>
          <w:tcPr>
            <w:tcW w:w="851" w:type="dxa"/>
            <w:tcBorders>
              <w:top w:val="single" w:sz="6" w:space="0" w:color="auto"/>
              <w:left w:val="single" w:sz="6" w:space="0" w:color="auto"/>
              <w:bottom w:val="single" w:sz="6" w:space="0" w:color="auto"/>
              <w:right w:val="single" w:sz="6" w:space="0" w:color="auto"/>
            </w:tcBorders>
          </w:tcPr>
          <w:p w14:paraId="502BD98E"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53,1</w:t>
            </w:r>
          </w:p>
        </w:tc>
        <w:tc>
          <w:tcPr>
            <w:tcW w:w="804" w:type="dxa"/>
            <w:tcBorders>
              <w:top w:val="single" w:sz="6" w:space="0" w:color="auto"/>
              <w:left w:val="single" w:sz="6" w:space="0" w:color="auto"/>
              <w:bottom w:val="single" w:sz="6" w:space="0" w:color="auto"/>
              <w:right w:val="single" w:sz="6" w:space="0" w:color="auto"/>
            </w:tcBorders>
          </w:tcPr>
          <w:p w14:paraId="3D460BA1"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r>
      <w:tr w:rsidR="00411147" w:rsidRPr="003954D9" w14:paraId="73CEF96F" w14:textId="77777777" w:rsidTr="00411147">
        <w:trPr>
          <w:trHeight w:val="227"/>
        </w:trPr>
        <w:tc>
          <w:tcPr>
            <w:tcW w:w="2453" w:type="dxa"/>
            <w:tcBorders>
              <w:top w:val="single" w:sz="6" w:space="0" w:color="auto"/>
              <w:left w:val="single" w:sz="6" w:space="0" w:color="auto"/>
              <w:bottom w:val="single" w:sz="6" w:space="0" w:color="auto"/>
              <w:right w:val="single" w:sz="6" w:space="0" w:color="auto"/>
            </w:tcBorders>
          </w:tcPr>
          <w:p w14:paraId="7CDB9083" w14:textId="60A0416D" w:rsidR="00411147" w:rsidRPr="003954D9" w:rsidRDefault="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man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696" w:type="dxa"/>
            <w:tcBorders>
              <w:top w:val="single" w:sz="6" w:space="0" w:color="auto"/>
              <w:left w:val="single" w:sz="6" w:space="0" w:color="auto"/>
              <w:bottom w:val="single" w:sz="6" w:space="0" w:color="auto"/>
              <w:right w:val="single" w:sz="6" w:space="0" w:color="auto"/>
            </w:tcBorders>
          </w:tcPr>
          <w:p w14:paraId="0E43DD1E"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4 174</w:t>
            </w:r>
          </w:p>
        </w:tc>
        <w:tc>
          <w:tcPr>
            <w:tcW w:w="567" w:type="dxa"/>
            <w:tcBorders>
              <w:top w:val="single" w:sz="6" w:space="0" w:color="auto"/>
              <w:left w:val="single" w:sz="6" w:space="0" w:color="auto"/>
              <w:bottom w:val="single" w:sz="6" w:space="0" w:color="auto"/>
              <w:right w:val="single" w:sz="6" w:space="0" w:color="auto"/>
            </w:tcBorders>
          </w:tcPr>
          <w:p w14:paraId="5C866E2F"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18,1</w:t>
            </w:r>
          </w:p>
        </w:tc>
        <w:tc>
          <w:tcPr>
            <w:tcW w:w="709" w:type="dxa"/>
            <w:tcBorders>
              <w:top w:val="single" w:sz="6" w:space="0" w:color="auto"/>
              <w:left w:val="single" w:sz="6" w:space="0" w:color="auto"/>
              <w:bottom w:val="single" w:sz="6" w:space="0" w:color="auto"/>
              <w:right w:val="single" w:sz="6" w:space="0" w:color="auto"/>
            </w:tcBorders>
          </w:tcPr>
          <w:p w14:paraId="2C3DFA4F"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4 174</w:t>
            </w:r>
          </w:p>
        </w:tc>
        <w:tc>
          <w:tcPr>
            <w:tcW w:w="621" w:type="dxa"/>
            <w:tcBorders>
              <w:top w:val="single" w:sz="6" w:space="0" w:color="auto"/>
              <w:left w:val="single" w:sz="6" w:space="0" w:color="auto"/>
              <w:bottom w:val="single" w:sz="6" w:space="0" w:color="auto"/>
              <w:right w:val="single" w:sz="6" w:space="0" w:color="auto"/>
            </w:tcBorders>
          </w:tcPr>
          <w:p w14:paraId="60B87E7E"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8,1</w:t>
            </w:r>
          </w:p>
        </w:tc>
        <w:tc>
          <w:tcPr>
            <w:tcW w:w="796" w:type="dxa"/>
            <w:gridSpan w:val="2"/>
            <w:tcBorders>
              <w:top w:val="single" w:sz="6" w:space="0" w:color="auto"/>
              <w:left w:val="single" w:sz="6" w:space="0" w:color="auto"/>
              <w:bottom w:val="single" w:sz="6" w:space="0" w:color="auto"/>
              <w:right w:val="single" w:sz="6" w:space="0" w:color="auto"/>
            </w:tcBorders>
          </w:tcPr>
          <w:p w14:paraId="20D980CA"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51,9</w:t>
            </w:r>
          </w:p>
        </w:tc>
        <w:tc>
          <w:tcPr>
            <w:tcW w:w="851" w:type="dxa"/>
            <w:tcBorders>
              <w:top w:val="single" w:sz="6" w:space="0" w:color="auto"/>
              <w:left w:val="single" w:sz="6" w:space="0" w:color="auto"/>
              <w:bottom w:val="single" w:sz="6" w:space="0" w:color="auto"/>
              <w:right w:val="single" w:sz="6" w:space="0" w:color="auto"/>
            </w:tcBorders>
          </w:tcPr>
          <w:p w14:paraId="532E9721"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51,9</w:t>
            </w:r>
          </w:p>
        </w:tc>
        <w:tc>
          <w:tcPr>
            <w:tcW w:w="804" w:type="dxa"/>
            <w:tcBorders>
              <w:top w:val="single" w:sz="6" w:space="0" w:color="auto"/>
              <w:left w:val="single" w:sz="6" w:space="0" w:color="auto"/>
              <w:bottom w:val="single" w:sz="6" w:space="0" w:color="auto"/>
              <w:right w:val="single" w:sz="6" w:space="0" w:color="auto"/>
            </w:tcBorders>
          </w:tcPr>
          <w:p w14:paraId="3D68AD59"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r>
      <w:tr w:rsidR="00411147" w:rsidRPr="003954D9" w14:paraId="4F3E3353" w14:textId="77777777" w:rsidTr="00411147">
        <w:trPr>
          <w:trHeight w:val="227"/>
        </w:trPr>
        <w:tc>
          <w:tcPr>
            <w:tcW w:w="2453" w:type="dxa"/>
            <w:tcBorders>
              <w:top w:val="single" w:sz="6" w:space="0" w:color="auto"/>
              <w:left w:val="single" w:sz="6" w:space="0" w:color="auto"/>
              <w:bottom w:val="single" w:sz="6" w:space="0" w:color="auto"/>
              <w:right w:val="single" w:sz="6" w:space="0" w:color="auto"/>
            </w:tcBorders>
          </w:tcPr>
          <w:p w14:paraId="664409D0" w14:textId="34FE13FD" w:rsidR="00411147" w:rsidRPr="003954D9" w:rsidRDefault="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kvinna u. barn </w:t>
            </w:r>
            <w:r w:rsidR="00365C66" w:rsidRPr="003954D9">
              <w:rPr>
                <w:rFonts w:ascii="Calibri" w:hAnsi="Calibri" w:cs="Calibri"/>
                <w:b/>
                <w:bCs/>
                <w:color w:val="000000"/>
                <w:sz w:val="16"/>
                <w:szCs w:val="16"/>
              </w:rPr>
              <w:t>65-år</w:t>
            </w:r>
          </w:p>
        </w:tc>
        <w:tc>
          <w:tcPr>
            <w:tcW w:w="696" w:type="dxa"/>
            <w:tcBorders>
              <w:top w:val="single" w:sz="6" w:space="0" w:color="auto"/>
              <w:left w:val="single" w:sz="6" w:space="0" w:color="auto"/>
              <w:bottom w:val="single" w:sz="6" w:space="0" w:color="auto"/>
              <w:right w:val="single" w:sz="6" w:space="0" w:color="auto"/>
            </w:tcBorders>
          </w:tcPr>
          <w:p w14:paraId="5B395F61"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2 007</w:t>
            </w:r>
          </w:p>
        </w:tc>
        <w:tc>
          <w:tcPr>
            <w:tcW w:w="567" w:type="dxa"/>
            <w:tcBorders>
              <w:top w:val="single" w:sz="6" w:space="0" w:color="auto"/>
              <w:left w:val="single" w:sz="6" w:space="0" w:color="auto"/>
              <w:bottom w:val="single" w:sz="6" w:space="0" w:color="auto"/>
              <w:right w:val="single" w:sz="6" w:space="0" w:color="auto"/>
            </w:tcBorders>
          </w:tcPr>
          <w:p w14:paraId="430CFEE1"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8,7</w:t>
            </w:r>
          </w:p>
        </w:tc>
        <w:tc>
          <w:tcPr>
            <w:tcW w:w="709" w:type="dxa"/>
            <w:tcBorders>
              <w:top w:val="single" w:sz="6" w:space="0" w:color="auto"/>
              <w:left w:val="single" w:sz="6" w:space="0" w:color="auto"/>
              <w:bottom w:val="single" w:sz="6" w:space="0" w:color="auto"/>
              <w:right w:val="single" w:sz="6" w:space="0" w:color="auto"/>
            </w:tcBorders>
          </w:tcPr>
          <w:p w14:paraId="649AD421"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2 007</w:t>
            </w:r>
          </w:p>
        </w:tc>
        <w:tc>
          <w:tcPr>
            <w:tcW w:w="621" w:type="dxa"/>
            <w:tcBorders>
              <w:top w:val="single" w:sz="6" w:space="0" w:color="auto"/>
              <w:left w:val="single" w:sz="6" w:space="0" w:color="auto"/>
              <w:bottom w:val="single" w:sz="6" w:space="0" w:color="auto"/>
              <w:right w:val="single" w:sz="6" w:space="0" w:color="auto"/>
            </w:tcBorders>
          </w:tcPr>
          <w:p w14:paraId="22C8E063"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w:t>
            </w:r>
          </w:p>
        </w:tc>
        <w:tc>
          <w:tcPr>
            <w:tcW w:w="796" w:type="dxa"/>
            <w:gridSpan w:val="2"/>
            <w:tcBorders>
              <w:top w:val="single" w:sz="6" w:space="0" w:color="auto"/>
              <w:left w:val="single" w:sz="6" w:space="0" w:color="auto"/>
              <w:bottom w:val="single" w:sz="6" w:space="0" w:color="auto"/>
              <w:right w:val="single" w:sz="6" w:space="0" w:color="auto"/>
            </w:tcBorders>
          </w:tcPr>
          <w:p w14:paraId="0F550D1C"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65,1</w:t>
            </w:r>
          </w:p>
        </w:tc>
        <w:tc>
          <w:tcPr>
            <w:tcW w:w="851" w:type="dxa"/>
            <w:tcBorders>
              <w:top w:val="single" w:sz="6" w:space="0" w:color="auto"/>
              <w:left w:val="single" w:sz="6" w:space="0" w:color="auto"/>
              <w:bottom w:val="single" w:sz="6" w:space="0" w:color="auto"/>
              <w:right w:val="single" w:sz="6" w:space="0" w:color="auto"/>
            </w:tcBorders>
          </w:tcPr>
          <w:p w14:paraId="4CE4A82A"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65,1</w:t>
            </w:r>
          </w:p>
        </w:tc>
        <w:tc>
          <w:tcPr>
            <w:tcW w:w="804" w:type="dxa"/>
            <w:tcBorders>
              <w:top w:val="single" w:sz="6" w:space="0" w:color="auto"/>
              <w:left w:val="single" w:sz="6" w:space="0" w:color="auto"/>
              <w:bottom w:val="single" w:sz="6" w:space="0" w:color="auto"/>
              <w:right w:val="single" w:sz="6" w:space="0" w:color="auto"/>
            </w:tcBorders>
          </w:tcPr>
          <w:p w14:paraId="7B14278D"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r>
      <w:tr w:rsidR="00411147" w:rsidRPr="003954D9" w14:paraId="4FB8CAA3" w14:textId="77777777" w:rsidTr="00411147">
        <w:trPr>
          <w:trHeight w:val="227"/>
        </w:trPr>
        <w:tc>
          <w:tcPr>
            <w:tcW w:w="2453" w:type="dxa"/>
            <w:tcBorders>
              <w:top w:val="single" w:sz="6" w:space="0" w:color="auto"/>
              <w:left w:val="single" w:sz="6" w:space="0" w:color="auto"/>
              <w:bottom w:val="single" w:sz="6" w:space="0" w:color="auto"/>
              <w:right w:val="single" w:sz="6" w:space="0" w:color="auto"/>
            </w:tcBorders>
          </w:tcPr>
          <w:p w14:paraId="2043CE99" w14:textId="37F40BCA" w:rsidR="00411147" w:rsidRPr="003954D9" w:rsidRDefault="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man u. barn </w:t>
            </w:r>
            <w:r w:rsidR="00365C66" w:rsidRPr="003954D9">
              <w:rPr>
                <w:rFonts w:ascii="Calibri" w:hAnsi="Calibri" w:cs="Calibri"/>
                <w:b/>
                <w:bCs/>
                <w:color w:val="000000"/>
                <w:sz w:val="16"/>
                <w:szCs w:val="16"/>
              </w:rPr>
              <w:t>65-år</w:t>
            </w:r>
          </w:p>
        </w:tc>
        <w:tc>
          <w:tcPr>
            <w:tcW w:w="696" w:type="dxa"/>
            <w:tcBorders>
              <w:top w:val="single" w:sz="6" w:space="0" w:color="auto"/>
              <w:left w:val="single" w:sz="6" w:space="0" w:color="auto"/>
              <w:bottom w:val="single" w:sz="6" w:space="0" w:color="auto"/>
              <w:right w:val="single" w:sz="6" w:space="0" w:color="auto"/>
            </w:tcBorders>
          </w:tcPr>
          <w:p w14:paraId="64597615"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999</w:t>
            </w:r>
          </w:p>
        </w:tc>
        <w:tc>
          <w:tcPr>
            <w:tcW w:w="567" w:type="dxa"/>
            <w:tcBorders>
              <w:top w:val="single" w:sz="6" w:space="0" w:color="auto"/>
              <w:left w:val="single" w:sz="6" w:space="0" w:color="auto"/>
              <w:bottom w:val="single" w:sz="6" w:space="0" w:color="auto"/>
              <w:right w:val="single" w:sz="6" w:space="0" w:color="auto"/>
            </w:tcBorders>
          </w:tcPr>
          <w:p w14:paraId="5713EDCD"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w:t>
            </w:r>
          </w:p>
        </w:tc>
        <w:tc>
          <w:tcPr>
            <w:tcW w:w="709" w:type="dxa"/>
            <w:tcBorders>
              <w:top w:val="single" w:sz="6" w:space="0" w:color="auto"/>
              <w:left w:val="single" w:sz="6" w:space="0" w:color="auto"/>
              <w:bottom w:val="single" w:sz="6" w:space="0" w:color="auto"/>
              <w:right w:val="single" w:sz="6" w:space="0" w:color="auto"/>
            </w:tcBorders>
          </w:tcPr>
          <w:p w14:paraId="3296BA13"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999</w:t>
            </w:r>
          </w:p>
        </w:tc>
        <w:tc>
          <w:tcPr>
            <w:tcW w:w="621" w:type="dxa"/>
            <w:tcBorders>
              <w:top w:val="single" w:sz="6" w:space="0" w:color="auto"/>
              <w:left w:val="single" w:sz="6" w:space="0" w:color="auto"/>
              <w:bottom w:val="single" w:sz="6" w:space="0" w:color="auto"/>
              <w:right w:val="single" w:sz="6" w:space="0" w:color="auto"/>
            </w:tcBorders>
          </w:tcPr>
          <w:p w14:paraId="5B6D3441"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w:t>
            </w:r>
          </w:p>
        </w:tc>
        <w:tc>
          <w:tcPr>
            <w:tcW w:w="796" w:type="dxa"/>
            <w:gridSpan w:val="2"/>
            <w:tcBorders>
              <w:top w:val="single" w:sz="6" w:space="0" w:color="auto"/>
              <w:left w:val="single" w:sz="6" w:space="0" w:color="auto"/>
              <w:bottom w:val="single" w:sz="6" w:space="0" w:color="auto"/>
              <w:right w:val="single" w:sz="6" w:space="0" w:color="auto"/>
            </w:tcBorders>
          </w:tcPr>
          <w:p w14:paraId="077A9B27"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57,5</w:t>
            </w:r>
          </w:p>
        </w:tc>
        <w:tc>
          <w:tcPr>
            <w:tcW w:w="851" w:type="dxa"/>
            <w:tcBorders>
              <w:top w:val="single" w:sz="6" w:space="0" w:color="auto"/>
              <w:left w:val="single" w:sz="6" w:space="0" w:color="auto"/>
              <w:bottom w:val="single" w:sz="6" w:space="0" w:color="auto"/>
              <w:right w:val="single" w:sz="6" w:space="0" w:color="auto"/>
            </w:tcBorders>
          </w:tcPr>
          <w:p w14:paraId="059ECC1D"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57,5</w:t>
            </w:r>
          </w:p>
        </w:tc>
        <w:tc>
          <w:tcPr>
            <w:tcW w:w="804" w:type="dxa"/>
            <w:tcBorders>
              <w:top w:val="single" w:sz="6" w:space="0" w:color="auto"/>
              <w:left w:val="single" w:sz="6" w:space="0" w:color="auto"/>
              <w:bottom w:val="single" w:sz="6" w:space="0" w:color="auto"/>
              <w:right w:val="single" w:sz="6" w:space="0" w:color="auto"/>
            </w:tcBorders>
          </w:tcPr>
          <w:p w14:paraId="380916B4"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r>
      <w:tr w:rsidR="00411147" w:rsidRPr="003954D9" w14:paraId="0BE6FCCE" w14:textId="77777777" w:rsidTr="00411147">
        <w:trPr>
          <w:trHeight w:val="227"/>
        </w:trPr>
        <w:tc>
          <w:tcPr>
            <w:tcW w:w="2453" w:type="dxa"/>
            <w:tcBorders>
              <w:top w:val="single" w:sz="6" w:space="0" w:color="auto"/>
              <w:left w:val="single" w:sz="6" w:space="0" w:color="auto"/>
              <w:bottom w:val="single" w:sz="6" w:space="0" w:color="auto"/>
              <w:right w:val="single" w:sz="6" w:space="0" w:color="auto"/>
            </w:tcBorders>
          </w:tcPr>
          <w:p w14:paraId="7F42A17C" w14:textId="001EC44B" w:rsidR="00411147" w:rsidRPr="003954D9" w:rsidRDefault="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Ensamst. kvinna m.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696" w:type="dxa"/>
            <w:tcBorders>
              <w:top w:val="single" w:sz="6" w:space="0" w:color="auto"/>
              <w:left w:val="single" w:sz="6" w:space="0" w:color="auto"/>
              <w:bottom w:val="single" w:sz="6" w:space="0" w:color="auto"/>
              <w:right w:val="single" w:sz="6" w:space="0" w:color="auto"/>
            </w:tcBorders>
          </w:tcPr>
          <w:p w14:paraId="3A39FCD2"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1 606</w:t>
            </w:r>
          </w:p>
        </w:tc>
        <w:tc>
          <w:tcPr>
            <w:tcW w:w="567" w:type="dxa"/>
            <w:tcBorders>
              <w:top w:val="single" w:sz="6" w:space="0" w:color="auto"/>
              <w:left w:val="single" w:sz="6" w:space="0" w:color="auto"/>
              <w:bottom w:val="single" w:sz="6" w:space="0" w:color="auto"/>
              <w:right w:val="single" w:sz="6" w:space="0" w:color="auto"/>
            </w:tcBorders>
          </w:tcPr>
          <w:p w14:paraId="5DA4D7FC"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c>
          <w:tcPr>
            <w:tcW w:w="709" w:type="dxa"/>
            <w:tcBorders>
              <w:top w:val="single" w:sz="6" w:space="0" w:color="auto"/>
              <w:left w:val="single" w:sz="6" w:space="0" w:color="auto"/>
              <w:bottom w:val="single" w:sz="6" w:space="0" w:color="auto"/>
              <w:right w:val="single" w:sz="6" w:space="0" w:color="auto"/>
            </w:tcBorders>
          </w:tcPr>
          <w:p w14:paraId="17FEB445"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4 704</w:t>
            </w:r>
          </w:p>
        </w:tc>
        <w:tc>
          <w:tcPr>
            <w:tcW w:w="621" w:type="dxa"/>
            <w:tcBorders>
              <w:top w:val="single" w:sz="6" w:space="0" w:color="auto"/>
              <w:left w:val="single" w:sz="6" w:space="0" w:color="auto"/>
              <w:bottom w:val="single" w:sz="6" w:space="0" w:color="auto"/>
              <w:right w:val="single" w:sz="6" w:space="0" w:color="auto"/>
            </w:tcBorders>
          </w:tcPr>
          <w:p w14:paraId="215666C0"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9,1</w:t>
            </w:r>
          </w:p>
        </w:tc>
        <w:tc>
          <w:tcPr>
            <w:tcW w:w="796" w:type="dxa"/>
            <w:gridSpan w:val="2"/>
            <w:tcBorders>
              <w:top w:val="single" w:sz="6" w:space="0" w:color="auto"/>
              <w:left w:val="single" w:sz="6" w:space="0" w:color="auto"/>
              <w:bottom w:val="single" w:sz="6" w:space="0" w:color="auto"/>
              <w:right w:val="single" w:sz="6" w:space="0" w:color="auto"/>
            </w:tcBorders>
          </w:tcPr>
          <w:p w14:paraId="0AB0A99F"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78,0</w:t>
            </w:r>
          </w:p>
        </w:tc>
        <w:tc>
          <w:tcPr>
            <w:tcW w:w="851" w:type="dxa"/>
            <w:tcBorders>
              <w:top w:val="single" w:sz="6" w:space="0" w:color="auto"/>
              <w:left w:val="single" w:sz="6" w:space="0" w:color="auto"/>
              <w:bottom w:val="single" w:sz="6" w:space="0" w:color="auto"/>
              <w:right w:val="single" w:sz="6" w:space="0" w:color="auto"/>
            </w:tcBorders>
          </w:tcPr>
          <w:p w14:paraId="3667F262"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26,6</w:t>
            </w:r>
          </w:p>
        </w:tc>
        <w:tc>
          <w:tcPr>
            <w:tcW w:w="804" w:type="dxa"/>
            <w:tcBorders>
              <w:top w:val="single" w:sz="6" w:space="0" w:color="auto"/>
              <w:left w:val="single" w:sz="6" w:space="0" w:color="auto"/>
              <w:bottom w:val="single" w:sz="6" w:space="0" w:color="auto"/>
              <w:right w:val="single" w:sz="6" w:space="0" w:color="auto"/>
            </w:tcBorders>
          </w:tcPr>
          <w:p w14:paraId="4CCA673A"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w:t>
            </w:r>
          </w:p>
        </w:tc>
      </w:tr>
      <w:tr w:rsidR="00411147" w:rsidRPr="003954D9" w14:paraId="63A73B2E" w14:textId="77777777" w:rsidTr="00411147">
        <w:trPr>
          <w:trHeight w:val="227"/>
        </w:trPr>
        <w:tc>
          <w:tcPr>
            <w:tcW w:w="2453" w:type="dxa"/>
            <w:tcBorders>
              <w:top w:val="single" w:sz="6" w:space="0" w:color="auto"/>
              <w:left w:val="single" w:sz="6" w:space="0" w:color="auto"/>
              <w:bottom w:val="single" w:sz="6" w:space="0" w:color="auto"/>
              <w:right w:val="single" w:sz="6" w:space="0" w:color="auto"/>
            </w:tcBorders>
          </w:tcPr>
          <w:p w14:paraId="377D316B" w14:textId="11E9F95B" w:rsidR="00411147" w:rsidRPr="003954D9" w:rsidRDefault="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Ensamst. man m.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696" w:type="dxa"/>
            <w:tcBorders>
              <w:top w:val="single" w:sz="6" w:space="0" w:color="auto"/>
              <w:left w:val="single" w:sz="6" w:space="0" w:color="auto"/>
              <w:bottom w:val="single" w:sz="6" w:space="0" w:color="auto"/>
              <w:right w:val="single" w:sz="6" w:space="0" w:color="auto"/>
            </w:tcBorders>
          </w:tcPr>
          <w:p w14:paraId="58DDB3C1"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567" w:type="dxa"/>
            <w:tcBorders>
              <w:top w:val="single" w:sz="6" w:space="0" w:color="auto"/>
              <w:left w:val="single" w:sz="6" w:space="0" w:color="auto"/>
              <w:bottom w:val="single" w:sz="6" w:space="0" w:color="auto"/>
              <w:right w:val="single" w:sz="6" w:space="0" w:color="auto"/>
            </w:tcBorders>
          </w:tcPr>
          <w:p w14:paraId="4C45E3CE"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304136DF"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654</w:t>
            </w:r>
          </w:p>
        </w:tc>
        <w:tc>
          <w:tcPr>
            <w:tcW w:w="621" w:type="dxa"/>
            <w:tcBorders>
              <w:top w:val="single" w:sz="6" w:space="0" w:color="auto"/>
              <w:left w:val="single" w:sz="6" w:space="0" w:color="auto"/>
              <w:bottom w:val="single" w:sz="6" w:space="0" w:color="auto"/>
              <w:right w:val="single" w:sz="6" w:space="0" w:color="auto"/>
            </w:tcBorders>
          </w:tcPr>
          <w:p w14:paraId="50E2C51A"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w:t>
            </w:r>
          </w:p>
        </w:tc>
        <w:tc>
          <w:tcPr>
            <w:tcW w:w="796" w:type="dxa"/>
            <w:gridSpan w:val="2"/>
            <w:tcBorders>
              <w:top w:val="single" w:sz="6" w:space="0" w:color="auto"/>
              <w:left w:val="single" w:sz="6" w:space="0" w:color="auto"/>
              <w:bottom w:val="single" w:sz="6" w:space="0" w:color="auto"/>
              <w:right w:val="single" w:sz="6" w:space="0" w:color="auto"/>
            </w:tcBorders>
          </w:tcPr>
          <w:p w14:paraId="26B06A36"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76,3</w:t>
            </w:r>
          </w:p>
        </w:tc>
        <w:tc>
          <w:tcPr>
            <w:tcW w:w="851" w:type="dxa"/>
            <w:tcBorders>
              <w:top w:val="single" w:sz="6" w:space="0" w:color="auto"/>
              <w:left w:val="single" w:sz="6" w:space="0" w:color="auto"/>
              <w:bottom w:val="single" w:sz="6" w:space="0" w:color="auto"/>
              <w:right w:val="single" w:sz="6" w:space="0" w:color="auto"/>
            </w:tcBorders>
          </w:tcPr>
          <w:p w14:paraId="58E76572"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27,9</w:t>
            </w:r>
          </w:p>
        </w:tc>
        <w:tc>
          <w:tcPr>
            <w:tcW w:w="804" w:type="dxa"/>
            <w:tcBorders>
              <w:top w:val="single" w:sz="6" w:space="0" w:color="auto"/>
              <w:left w:val="single" w:sz="6" w:space="0" w:color="auto"/>
              <w:bottom w:val="single" w:sz="6" w:space="0" w:color="auto"/>
              <w:right w:val="single" w:sz="6" w:space="0" w:color="auto"/>
            </w:tcBorders>
          </w:tcPr>
          <w:p w14:paraId="402B995C"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w:t>
            </w:r>
          </w:p>
        </w:tc>
      </w:tr>
      <w:tr w:rsidR="00411147" w:rsidRPr="003954D9" w14:paraId="2C0B6AAC" w14:textId="77777777" w:rsidTr="00411147">
        <w:trPr>
          <w:trHeight w:val="227"/>
        </w:trPr>
        <w:tc>
          <w:tcPr>
            <w:tcW w:w="2453" w:type="dxa"/>
            <w:tcBorders>
              <w:top w:val="single" w:sz="6" w:space="0" w:color="auto"/>
              <w:left w:val="single" w:sz="6" w:space="0" w:color="auto"/>
              <w:bottom w:val="single" w:sz="6" w:space="0" w:color="auto"/>
              <w:right w:val="single" w:sz="6" w:space="0" w:color="auto"/>
            </w:tcBorders>
          </w:tcPr>
          <w:p w14:paraId="21964EF8" w14:textId="77777777" w:rsidR="00411147" w:rsidRPr="003954D9" w:rsidRDefault="00411147">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Summa</w:t>
            </w:r>
          </w:p>
        </w:tc>
        <w:tc>
          <w:tcPr>
            <w:tcW w:w="696" w:type="dxa"/>
            <w:tcBorders>
              <w:top w:val="single" w:sz="6" w:space="0" w:color="auto"/>
              <w:left w:val="single" w:sz="6" w:space="0" w:color="auto"/>
              <w:bottom w:val="single" w:sz="6" w:space="0" w:color="auto"/>
              <w:right w:val="single" w:sz="6" w:space="0" w:color="auto"/>
            </w:tcBorders>
          </w:tcPr>
          <w:p w14:paraId="1E605238"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12 346</w:t>
            </w:r>
          </w:p>
        </w:tc>
        <w:tc>
          <w:tcPr>
            <w:tcW w:w="567" w:type="dxa"/>
            <w:tcBorders>
              <w:top w:val="single" w:sz="6" w:space="0" w:color="auto"/>
              <w:left w:val="single" w:sz="6" w:space="0" w:color="auto"/>
              <w:bottom w:val="single" w:sz="6" w:space="0" w:color="auto"/>
              <w:right w:val="single" w:sz="6" w:space="0" w:color="auto"/>
            </w:tcBorders>
          </w:tcPr>
          <w:p w14:paraId="703EE4D0"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53,6</w:t>
            </w:r>
          </w:p>
        </w:tc>
        <w:tc>
          <w:tcPr>
            <w:tcW w:w="709" w:type="dxa"/>
            <w:tcBorders>
              <w:top w:val="single" w:sz="6" w:space="0" w:color="auto"/>
              <w:left w:val="single" w:sz="6" w:space="0" w:color="auto"/>
              <w:bottom w:val="single" w:sz="6" w:space="0" w:color="auto"/>
              <w:right w:val="single" w:sz="6" w:space="0" w:color="auto"/>
            </w:tcBorders>
          </w:tcPr>
          <w:p w14:paraId="37DD01CA"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15 859</w:t>
            </w:r>
          </w:p>
        </w:tc>
        <w:tc>
          <w:tcPr>
            <w:tcW w:w="621" w:type="dxa"/>
            <w:tcBorders>
              <w:top w:val="single" w:sz="6" w:space="0" w:color="auto"/>
              <w:left w:val="single" w:sz="6" w:space="0" w:color="auto"/>
              <w:bottom w:val="single" w:sz="6" w:space="0" w:color="auto"/>
              <w:right w:val="single" w:sz="6" w:space="0" w:color="auto"/>
            </w:tcBorders>
          </w:tcPr>
          <w:p w14:paraId="349A7089" w14:textId="77777777" w:rsidR="00411147" w:rsidRPr="003954D9" w:rsidRDefault="00411147">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30,8</w:t>
            </w:r>
          </w:p>
        </w:tc>
        <w:tc>
          <w:tcPr>
            <w:tcW w:w="796" w:type="dxa"/>
            <w:gridSpan w:val="2"/>
            <w:tcBorders>
              <w:top w:val="single" w:sz="6" w:space="0" w:color="auto"/>
              <w:left w:val="single" w:sz="6" w:space="0" w:color="auto"/>
              <w:bottom w:val="single" w:sz="6" w:space="0" w:color="auto"/>
              <w:right w:val="single" w:sz="6" w:space="0" w:color="auto"/>
            </w:tcBorders>
          </w:tcPr>
          <w:p w14:paraId="23DBFC8E" w14:textId="77777777" w:rsidR="00411147" w:rsidRPr="003954D9" w:rsidRDefault="00411147">
            <w:pPr>
              <w:autoSpaceDE w:val="0"/>
              <w:autoSpaceDN w:val="0"/>
              <w:adjustRightInd w:val="0"/>
              <w:jc w:val="right"/>
              <w:rPr>
                <w:rFonts w:ascii="Calibri" w:hAnsi="Calibri" w:cs="Calibri"/>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4974A3AF" w14:textId="77777777" w:rsidR="00411147" w:rsidRPr="003954D9" w:rsidRDefault="00411147">
            <w:pPr>
              <w:autoSpaceDE w:val="0"/>
              <w:autoSpaceDN w:val="0"/>
              <w:adjustRightInd w:val="0"/>
              <w:jc w:val="right"/>
              <w:rPr>
                <w:rFonts w:ascii="Calibri" w:hAnsi="Calibri" w:cs="Calibri"/>
                <w:color w:val="000000"/>
                <w:sz w:val="16"/>
                <w:szCs w:val="16"/>
              </w:rPr>
            </w:pPr>
          </w:p>
        </w:tc>
        <w:tc>
          <w:tcPr>
            <w:tcW w:w="804" w:type="dxa"/>
            <w:tcBorders>
              <w:top w:val="single" w:sz="6" w:space="0" w:color="auto"/>
              <w:left w:val="single" w:sz="6" w:space="0" w:color="auto"/>
              <w:bottom w:val="single" w:sz="6" w:space="0" w:color="auto"/>
              <w:right w:val="single" w:sz="6" w:space="0" w:color="auto"/>
            </w:tcBorders>
          </w:tcPr>
          <w:p w14:paraId="1AB85116" w14:textId="77777777" w:rsidR="00411147" w:rsidRPr="003954D9" w:rsidRDefault="00411147">
            <w:pPr>
              <w:autoSpaceDE w:val="0"/>
              <w:autoSpaceDN w:val="0"/>
              <w:adjustRightInd w:val="0"/>
              <w:jc w:val="right"/>
              <w:rPr>
                <w:rFonts w:ascii="Calibri" w:hAnsi="Calibri" w:cs="Calibri"/>
                <w:color w:val="000000"/>
                <w:sz w:val="16"/>
                <w:szCs w:val="16"/>
              </w:rPr>
            </w:pPr>
          </w:p>
        </w:tc>
      </w:tr>
    </w:tbl>
    <w:p w14:paraId="135C37C2" w14:textId="77777777" w:rsidR="003D1A30" w:rsidRPr="003954D9" w:rsidRDefault="003D1A30" w:rsidP="00075544"/>
    <w:p w14:paraId="4080274C" w14:textId="55A97243" w:rsidR="00075544" w:rsidRPr="003954D9" w:rsidRDefault="00D36DC3" w:rsidP="00075544">
      <w:r w:rsidRPr="003954D9">
        <w:t>Hemmavarande</w:t>
      </w:r>
      <w:r w:rsidR="00D01F5B" w:rsidRPr="003954D9">
        <w:t xml:space="preserve"> vuxna barn kan återfinnas i hushållstyper</w:t>
      </w:r>
      <w:r w:rsidR="0050468F" w:rsidRPr="003954D9">
        <w:t xml:space="preserve">na </w:t>
      </w:r>
      <w:r w:rsidR="00D01F5B" w:rsidRPr="003954D9">
        <w:t xml:space="preserve">ensamstående med barn </w:t>
      </w:r>
      <w:r w:rsidR="00365C66" w:rsidRPr="003954D9">
        <w:t>0–19</w:t>
      </w:r>
      <w:r w:rsidR="00D01F5B" w:rsidRPr="003954D9">
        <w:t xml:space="preserve"> år, samboende med barn </w:t>
      </w:r>
      <w:r w:rsidR="00365C66" w:rsidRPr="003954D9">
        <w:t>0–19</w:t>
      </w:r>
      <w:r w:rsidR="00D01F5B" w:rsidRPr="003954D9">
        <w:t xml:space="preserve"> år och övriga hushåll med </w:t>
      </w:r>
      <w:r w:rsidR="00387126" w:rsidRPr="003954D9">
        <w:t xml:space="preserve">och utan </w:t>
      </w:r>
      <w:r w:rsidR="00D01F5B" w:rsidRPr="003954D9">
        <w:t xml:space="preserve">barn </w:t>
      </w:r>
      <w:r w:rsidR="00365C66" w:rsidRPr="003954D9">
        <w:t>0–19</w:t>
      </w:r>
      <w:r w:rsidR="00D01F5B" w:rsidRPr="003954D9">
        <w:t xml:space="preserve"> år. De finns i drygt 5 procent av hushållen </w:t>
      </w:r>
      <w:r w:rsidR="003D1A30" w:rsidRPr="003954D9">
        <w:t xml:space="preserve">med </w:t>
      </w:r>
      <w:r w:rsidR="00D01F5B" w:rsidRPr="003954D9">
        <w:t>nästan 9 procent av alla personer i urvalet. I genomsnitt bor 3,7 personer i var</w:t>
      </w:r>
      <w:r w:rsidR="003D1A30" w:rsidRPr="003954D9">
        <w:t xml:space="preserve">t och ett </w:t>
      </w:r>
      <w:r w:rsidR="00D01F5B" w:rsidRPr="003954D9">
        <w:t>av dessa hushåll</w:t>
      </w:r>
      <w:r w:rsidR="005B78DB">
        <w:t>. Se tabell 4:3.</w:t>
      </w:r>
    </w:p>
    <w:p w14:paraId="1FFF51F8" w14:textId="1F03C277" w:rsidR="00075544" w:rsidRPr="003954D9" w:rsidRDefault="00D01F5B" w:rsidP="00D01F5B">
      <w:pPr>
        <w:pStyle w:val="Rubrik5"/>
      </w:pPr>
      <w:r w:rsidRPr="003954D9">
        <w:t xml:space="preserve">Tabell 4:3 Hushåll med </w:t>
      </w:r>
      <w:r w:rsidR="00D36DC3" w:rsidRPr="003954D9">
        <w:t>hemmavarande</w:t>
      </w:r>
      <w:r w:rsidRPr="003954D9">
        <w:t xml:space="preserve"> vuxna barn </w:t>
      </w:r>
      <w:r w:rsidR="00365C66" w:rsidRPr="003954D9">
        <w:t>20–29</w:t>
      </w:r>
      <w:r w:rsidRPr="003954D9">
        <w:t xml:space="preserve"> år, antal hushåll, personer, lägenhetsyta – hela urvalet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4"/>
        <w:gridCol w:w="622"/>
        <w:gridCol w:w="623"/>
        <w:gridCol w:w="653"/>
        <w:gridCol w:w="622"/>
        <w:gridCol w:w="14"/>
        <w:gridCol w:w="888"/>
        <w:gridCol w:w="830"/>
        <w:gridCol w:w="804"/>
      </w:tblGrid>
      <w:tr w:rsidR="00D01F5B" w:rsidRPr="003954D9" w14:paraId="582AF2CA" w14:textId="77777777" w:rsidTr="00075544">
        <w:trPr>
          <w:trHeight w:val="227"/>
        </w:trPr>
        <w:tc>
          <w:tcPr>
            <w:tcW w:w="3144" w:type="dxa"/>
            <w:vMerge w:val="restart"/>
          </w:tcPr>
          <w:p w14:paraId="03D35E77" w14:textId="77777777" w:rsidR="00D01F5B" w:rsidRPr="003954D9" w:rsidRDefault="00D01F5B" w:rsidP="000755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Hushållstyp</w:t>
            </w:r>
          </w:p>
        </w:tc>
        <w:tc>
          <w:tcPr>
            <w:tcW w:w="1245" w:type="dxa"/>
            <w:gridSpan w:val="2"/>
          </w:tcPr>
          <w:p w14:paraId="2BD5D26C" w14:textId="184A639D" w:rsidR="00D01F5B" w:rsidRPr="003954D9" w:rsidRDefault="00D01F5B" w:rsidP="000755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Hushåll</w:t>
            </w:r>
          </w:p>
        </w:tc>
        <w:tc>
          <w:tcPr>
            <w:tcW w:w="1289" w:type="dxa"/>
            <w:gridSpan w:val="3"/>
          </w:tcPr>
          <w:p w14:paraId="44F63148" w14:textId="77777777" w:rsidR="00D01F5B" w:rsidRPr="003954D9" w:rsidRDefault="00D01F5B" w:rsidP="000755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w:t>
            </w:r>
          </w:p>
        </w:tc>
        <w:tc>
          <w:tcPr>
            <w:tcW w:w="1718" w:type="dxa"/>
            <w:gridSpan w:val="2"/>
          </w:tcPr>
          <w:p w14:paraId="2D1B6786" w14:textId="275D3EA6" w:rsidR="00D01F5B" w:rsidRPr="003954D9" w:rsidRDefault="00D01F5B" w:rsidP="000755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Boarea</w:t>
            </w:r>
          </w:p>
        </w:tc>
        <w:tc>
          <w:tcPr>
            <w:tcW w:w="804" w:type="dxa"/>
            <w:vMerge w:val="restart"/>
          </w:tcPr>
          <w:p w14:paraId="0F5F5ACC" w14:textId="77777777" w:rsidR="00D01F5B" w:rsidRPr="003954D9" w:rsidRDefault="00D01F5B" w:rsidP="000755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Boende/hushåll</w:t>
            </w:r>
          </w:p>
        </w:tc>
      </w:tr>
      <w:tr w:rsidR="00D01F5B" w:rsidRPr="003954D9" w14:paraId="53BB66C5" w14:textId="77777777" w:rsidTr="00075544">
        <w:trPr>
          <w:trHeight w:val="227"/>
        </w:trPr>
        <w:tc>
          <w:tcPr>
            <w:tcW w:w="3144" w:type="dxa"/>
            <w:vMerge/>
          </w:tcPr>
          <w:p w14:paraId="02B10F72" w14:textId="77777777" w:rsidR="00D01F5B" w:rsidRPr="003954D9" w:rsidRDefault="00D01F5B">
            <w:pPr>
              <w:autoSpaceDE w:val="0"/>
              <w:autoSpaceDN w:val="0"/>
              <w:adjustRightInd w:val="0"/>
              <w:jc w:val="right"/>
              <w:rPr>
                <w:rFonts w:ascii="Calibri" w:hAnsi="Calibri" w:cs="Calibri"/>
                <w:b/>
                <w:bCs/>
                <w:color w:val="000000"/>
                <w:sz w:val="16"/>
                <w:szCs w:val="16"/>
              </w:rPr>
            </w:pPr>
          </w:p>
        </w:tc>
        <w:tc>
          <w:tcPr>
            <w:tcW w:w="622" w:type="dxa"/>
          </w:tcPr>
          <w:p w14:paraId="5DAA36A5" w14:textId="76A09742" w:rsidR="00D01F5B" w:rsidRPr="003954D9" w:rsidRDefault="00F3209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623" w:type="dxa"/>
          </w:tcPr>
          <w:p w14:paraId="65FF348E" w14:textId="645149D1" w:rsidR="00D01F5B" w:rsidRPr="003954D9" w:rsidRDefault="0082650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653" w:type="dxa"/>
          </w:tcPr>
          <w:p w14:paraId="0A90098D" w14:textId="38D34570" w:rsidR="00D01F5B" w:rsidRPr="003954D9" w:rsidRDefault="0082650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622" w:type="dxa"/>
          </w:tcPr>
          <w:p w14:paraId="52CB1128" w14:textId="48552F7B" w:rsidR="00D01F5B" w:rsidRPr="003954D9" w:rsidRDefault="0082650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902" w:type="dxa"/>
            <w:gridSpan w:val="2"/>
          </w:tcPr>
          <w:p w14:paraId="535E0871" w14:textId="77777777" w:rsidR="00D01F5B" w:rsidRPr="003954D9" w:rsidRDefault="00D01F5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Medelv.</w:t>
            </w:r>
          </w:p>
        </w:tc>
        <w:tc>
          <w:tcPr>
            <w:tcW w:w="830" w:type="dxa"/>
          </w:tcPr>
          <w:p w14:paraId="5976B9E1" w14:textId="77777777" w:rsidR="00D01F5B" w:rsidRPr="003954D9" w:rsidRDefault="00D01F5B">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 pers.</w:t>
            </w:r>
          </w:p>
        </w:tc>
        <w:tc>
          <w:tcPr>
            <w:tcW w:w="804" w:type="dxa"/>
            <w:vMerge/>
          </w:tcPr>
          <w:p w14:paraId="3AC5DCFB" w14:textId="77777777" w:rsidR="00D01F5B" w:rsidRPr="003954D9" w:rsidRDefault="00D01F5B">
            <w:pPr>
              <w:autoSpaceDE w:val="0"/>
              <w:autoSpaceDN w:val="0"/>
              <w:adjustRightInd w:val="0"/>
              <w:jc w:val="right"/>
              <w:rPr>
                <w:rFonts w:ascii="Calibri" w:hAnsi="Calibri" w:cs="Calibri"/>
                <w:b/>
                <w:bCs/>
                <w:color w:val="000000"/>
                <w:sz w:val="16"/>
                <w:szCs w:val="16"/>
              </w:rPr>
            </w:pPr>
          </w:p>
        </w:tc>
      </w:tr>
      <w:tr w:rsidR="00075544" w:rsidRPr="003954D9" w14:paraId="2F2C1E15" w14:textId="77777777" w:rsidTr="00075544">
        <w:trPr>
          <w:trHeight w:val="227"/>
        </w:trPr>
        <w:tc>
          <w:tcPr>
            <w:tcW w:w="3144" w:type="dxa"/>
          </w:tcPr>
          <w:p w14:paraId="57626862" w14:textId="45C54007" w:rsidR="00075544" w:rsidRPr="003954D9" w:rsidRDefault="000755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Hushåll med </w:t>
            </w:r>
            <w:r w:rsidR="00D36DC3" w:rsidRPr="003954D9">
              <w:rPr>
                <w:rFonts w:ascii="Calibri" w:hAnsi="Calibri" w:cs="Calibri"/>
                <w:b/>
                <w:bCs/>
                <w:color w:val="000000"/>
                <w:sz w:val="16"/>
                <w:szCs w:val="16"/>
              </w:rPr>
              <w:t>hemmavarande</w:t>
            </w:r>
            <w:r w:rsidRPr="003954D9">
              <w:rPr>
                <w:rFonts w:ascii="Calibri" w:hAnsi="Calibri" w:cs="Calibri"/>
                <w:b/>
                <w:bCs/>
                <w:color w:val="000000"/>
                <w:sz w:val="16"/>
                <w:szCs w:val="16"/>
              </w:rPr>
              <w:t xml:space="preserve"> barn </w:t>
            </w:r>
            <w:r w:rsidR="00365C66" w:rsidRPr="003954D9">
              <w:rPr>
                <w:rFonts w:ascii="Calibri" w:hAnsi="Calibri" w:cs="Calibri"/>
                <w:b/>
                <w:bCs/>
                <w:color w:val="000000"/>
                <w:sz w:val="16"/>
                <w:szCs w:val="16"/>
              </w:rPr>
              <w:t>20–29</w:t>
            </w:r>
            <w:r w:rsidRPr="003954D9">
              <w:rPr>
                <w:rFonts w:ascii="Calibri" w:hAnsi="Calibri" w:cs="Calibri"/>
                <w:b/>
                <w:bCs/>
                <w:color w:val="000000"/>
                <w:sz w:val="16"/>
                <w:szCs w:val="16"/>
              </w:rPr>
              <w:t xml:space="preserve"> år</w:t>
            </w:r>
          </w:p>
        </w:tc>
        <w:tc>
          <w:tcPr>
            <w:tcW w:w="622" w:type="dxa"/>
          </w:tcPr>
          <w:p w14:paraId="754B691D" w14:textId="77777777" w:rsidR="00075544" w:rsidRPr="003954D9" w:rsidRDefault="000755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1 243</w:t>
            </w:r>
          </w:p>
        </w:tc>
        <w:tc>
          <w:tcPr>
            <w:tcW w:w="623" w:type="dxa"/>
          </w:tcPr>
          <w:p w14:paraId="690C84DA" w14:textId="77777777" w:rsidR="00075544" w:rsidRPr="003954D9" w:rsidRDefault="000755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5,4</w:t>
            </w:r>
          </w:p>
        </w:tc>
        <w:tc>
          <w:tcPr>
            <w:tcW w:w="653" w:type="dxa"/>
          </w:tcPr>
          <w:p w14:paraId="2051A133" w14:textId="77777777" w:rsidR="00075544" w:rsidRPr="003954D9" w:rsidRDefault="000755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4 573</w:t>
            </w:r>
          </w:p>
        </w:tc>
        <w:tc>
          <w:tcPr>
            <w:tcW w:w="622" w:type="dxa"/>
          </w:tcPr>
          <w:p w14:paraId="76A1DA9F" w14:textId="77777777" w:rsidR="00075544" w:rsidRPr="003954D9" w:rsidRDefault="000755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8,9</w:t>
            </w:r>
          </w:p>
        </w:tc>
        <w:tc>
          <w:tcPr>
            <w:tcW w:w="902" w:type="dxa"/>
            <w:gridSpan w:val="2"/>
          </w:tcPr>
          <w:p w14:paraId="3A4CEF56" w14:textId="77777777" w:rsidR="00075544" w:rsidRPr="003954D9" w:rsidRDefault="000755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81,1</w:t>
            </w:r>
          </w:p>
        </w:tc>
        <w:tc>
          <w:tcPr>
            <w:tcW w:w="830" w:type="dxa"/>
          </w:tcPr>
          <w:p w14:paraId="34868D89" w14:textId="77777777" w:rsidR="00075544" w:rsidRPr="003954D9" w:rsidRDefault="000755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22,0</w:t>
            </w:r>
          </w:p>
        </w:tc>
        <w:tc>
          <w:tcPr>
            <w:tcW w:w="804" w:type="dxa"/>
          </w:tcPr>
          <w:p w14:paraId="28F08BB3" w14:textId="77777777" w:rsidR="00075544" w:rsidRPr="003954D9" w:rsidRDefault="000755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w:t>
            </w:r>
          </w:p>
        </w:tc>
      </w:tr>
    </w:tbl>
    <w:p w14:paraId="29218CD2" w14:textId="77777777" w:rsidR="00075544" w:rsidRPr="003954D9" w:rsidRDefault="00075544" w:rsidP="00075544"/>
    <w:p w14:paraId="156914FB" w14:textId="39A66BBE" w:rsidR="009A1A3B" w:rsidRPr="003954D9" w:rsidRDefault="00BF22AF" w:rsidP="00540A4D">
      <w:pPr>
        <w:pStyle w:val="Rubrik2"/>
      </w:pPr>
      <w:bookmarkStart w:id="110" w:name="_Toc463184405"/>
      <w:bookmarkStart w:id="111" w:name="_Toc464828410"/>
      <w:r w:rsidRPr="003954D9">
        <w:t>Hushållsammansättningen i stadsdelarna</w:t>
      </w:r>
      <w:bookmarkEnd w:id="110"/>
      <w:bookmarkEnd w:id="111"/>
      <w:r w:rsidRPr="003954D9">
        <w:t xml:space="preserve"> </w:t>
      </w:r>
    </w:p>
    <w:p w14:paraId="7E1082E5" w14:textId="59705D2A" w:rsidR="003D1A30" w:rsidRPr="003954D9" w:rsidRDefault="002C546C" w:rsidP="00747DCB">
      <w:r w:rsidRPr="003954D9">
        <w:t>Det finns en stor variation i h</w:t>
      </w:r>
      <w:r w:rsidR="00747DCB" w:rsidRPr="003954D9">
        <w:t xml:space="preserve">ushållssammansättningen </w:t>
      </w:r>
      <w:r w:rsidRPr="003954D9">
        <w:t xml:space="preserve">mellan de olika </w:t>
      </w:r>
      <w:r w:rsidR="00526E71" w:rsidRPr="003954D9">
        <w:t xml:space="preserve">stadsdelarna. </w:t>
      </w:r>
      <w:r w:rsidRPr="003954D9">
        <w:t>Det kan bero på skillnader i lägenhetsbeståndet, i ålderssammansättningen bland de boende och i andelen ensamboende.</w:t>
      </w:r>
    </w:p>
    <w:p w14:paraId="29C9B8DF" w14:textId="076F569B" w:rsidR="003D1A30" w:rsidRPr="003954D9" w:rsidRDefault="00526E71" w:rsidP="00747DCB">
      <w:r w:rsidRPr="003954D9">
        <w:t xml:space="preserve">I Lundby är nästan vartannat hushåll </w:t>
      </w:r>
      <w:r w:rsidRPr="003954D9">
        <w:rPr>
          <w:i/>
        </w:rPr>
        <w:t>ensamboende utan barn</w:t>
      </w:r>
      <w:r w:rsidRPr="003954D9">
        <w:t xml:space="preserve"> </w:t>
      </w:r>
      <w:r w:rsidR="00365C66" w:rsidRPr="003954D9">
        <w:t>18–64</w:t>
      </w:r>
      <w:r w:rsidRPr="003954D9">
        <w:t xml:space="preserve"> år</w:t>
      </w:r>
      <w:r w:rsidR="00040D70" w:rsidRPr="003954D9">
        <w:t xml:space="preserve">. Även i </w:t>
      </w:r>
      <w:r w:rsidR="009267B9" w:rsidRPr="003954D9">
        <w:t>Majorna-Linnéstaden</w:t>
      </w:r>
      <w:r w:rsidR="00040D70" w:rsidRPr="003954D9">
        <w:t xml:space="preserve"> är denna andel hög, 38 procent</w:t>
      </w:r>
      <w:r w:rsidR="00692B44" w:rsidRPr="003954D9">
        <w:t xml:space="preserve">. Lägst andel av denna hushållstyp finns i Angered. </w:t>
      </w:r>
    </w:p>
    <w:p w14:paraId="556E640C" w14:textId="77777777" w:rsidR="002C546C" w:rsidRPr="003954D9" w:rsidRDefault="00692B44" w:rsidP="00747DCB">
      <w:r w:rsidRPr="003954D9">
        <w:t>Andelen ensamboende utan barn 65 år och äldre är lägst i Angered och högst i Majorna-Linné</w:t>
      </w:r>
      <w:r w:rsidR="009267B9" w:rsidRPr="003954D9">
        <w:t>staden</w:t>
      </w:r>
      <w:r w:rsidRPr="003954D9">
        <w:t xml:space="preserve">. </w:t>
      </w:r>
    </w:p>
    <w:p w14:paraId="2DD18CB3" w14:textId="77777777" w:rsidR="002C546C" w:rsidRPr="003954D9" w:rsidRDefault="002C546C" w:rsidP="00747DCB"/>
    <w:p w14:paraId="274F71E8" w14:textId="7AC1F176" w:rsidR="002C546C" w:rsidRPr="003954D9" w:rsidRDefault="002C546C" w:rsidP="002C546C">
      <w:r w:rsidRPr="003954D9">
        <w:rPr>
          <w:i/>
        </w:rPr>
        <w:lastRenderedPageBreak/>
        <w:t xml:space="preserve">Samboende utan barn </w:t>
      </w:r>
      <w:r w:rsidR="00365C66" w:rsidRPr="003954D9">
        <w:t>18–64</w:t>
      </w:r>
      <w:r w:rsidRPr="003954D9">
        <w:t xml:space="preserve"> år är vanligast i Majorna-Linnéstaden (13 procent) och lägst på Västra Hisingen (8 procent). De äldre samboende utan barn är vanligast i Örgryte men utgör ändå bara 6 procent av alla hushåll i urvalet där. Lägst är andelen i Lundby, endast 1 procent.</w:t>
      </w:r>
    </w:p>
    <w:p w14:paraId="7420BF15" w14:textId="77777777" w:rsidR="002C546C" w:rsidRPr="003954D9" w:rsidRDefault="002C546C" w:rsidP="00747DCB"/>
    <w:p w14:paraId="5FF4BB56" w14:textId="7BD7D2EE" w:rsidR="00747DCB" w:rsidRPr="003954D9" w:rsidRDefault="003D1A30" w:rsidP="00747DCB">
      <w:r w:rsidRPr="003954D9">
        <w:t>Andelen</w:t>
      </w:r>
      <w:r w:rsidRPr="003954D9">
        <w:rPr>
          <w:i/>
        </w:rPr>
        <w:t xml:space="preserve"> e</w:t>
      </w:r>
      <w:r w:rsidR="00692B44" w:rsidRPr="003954D9">
        <w:rPr>
          <w:i/>
        </w:rPr>
        <w:t xml:space="preserve">nsamstående med barn </w:t>
      </w:r>
      <w:r w:rsidR="00365C66" w:rsidRPr="003954D9">
        <w:rPr>
          <w:i/>
        </w:rPr>
        <w:t>0–19</w:t>
      </w:r>
      <w:r w:rsidR="00692B44" w:rsidRPr="003954D9">
        <w:t xml:space="preserve"> är högst i Angered och Östra Göteborg </w:t>
      </w:r>
      <w:r w:rsidRPr="003954D9">
        <w:t>(</w:t>
      </w:r>
      <w:r w:rsidR="00692B44" w:rsidRPr="003954D9">
        <w:t>nästan 10 procent</w:t>
      </w:r>
      <w:r w:rsidRPr="003954D9">
        <w:t xml:space="preserve">) </w:t>
      </w:r>
      <w:r w:rsidR="00D13868" w:rsidRPr="003954D9">
        <w:t>och</w:t>
      </w:r>
      <w:r w:rsidR="00692B44" w:rsidRPr="003954D9">
        <w:t xml:space="preserve"> lägst i Lundby</w:t>
      </w:r>
      <w:r w:rsidRPr="003954D9">
        <w:t xml:space="preserve"> (</w:t>
      </w:r>
      <w:r w:rsidR="00692B44" w:rsidRPr="003954D9">
        <w:t>drygt 4 procent</w:t>
      </w:r>
      <w:r w:rsidRPr="003954D9">
        <w:t>)</w:t>
      </w:r>
      <w:r w:rsidR="00692B44" w:rsidRPr="003954D9">
        <w:t xml:space="preserve">. </w:t>
      </w:r>
    </w:p>
    <w:p w14:paraId="5B0F8A70" w14:textId="77777777" w:rsidR="002C546C" w:rsidRPr="003954D9" w:rsidRDefault="002C546C" w:rsidP="00747DCB"/>
    <w:p w14:paraId="7E3EDB9A" w14:textId="77777777" w:rsidR="002C546C" w:rsidRPr="003954D9" w:rsidRDefault="00E705B5" w:rsidP="00D114F5">
      <w:r w:rsidRPr="003954D9">
        <w:t xml:space="preserve">Bland </w:t>
      </w:r>
      <w:r w:rsidRPr="003954D9">
        <w:rPr>
          <w:i/>
        </w:rPr>
        <w:t>samboende med barn</w:t>
      </w:r>
      <w:r w:rsidRPr="003954D9">
        <w:t xml:space="preserve"> är hushåll med 1 barn vanligast i Västra Göteborg och ovanligast i Lundby. </w:t>
      </w:r>
      <w:r w:rsidR="003D1A30" w:rsidRPr="003954D9">
        <w:t>D</w:t>
      </w:r>
      <w:r w:rsidRPr="003954D9">
        <w:t>e större barnhushållen är vanligast i Angered och m</w:t>
      </w:r>
      <w:r w:rsidR="003D1A30" w:rsidRPr="003954D9">
        <w:t xml:space="preserve">inst </w:t>
      </w:r>
      <w:r w:rsidRPr="003954D9">
        <w:t xml:space="preserve">vanliga i Lundby och Centrum. </w:t>
      </w:r>
    </w:p>
    <w:p w14:paraId="3CA4EC58" w14:textId="77777777" w:rsidR="002C546C" w:rsidRPr="003954D9" w:rsidRDefault="002C546C" w:rsidP="00D114F5"/>
    <w:p w14:paraId="72BC7371" w14:textId="0444FD14" w:rsidR="00387126" w:rsidRPr="003954D9" w:rsidRDefault="00E705B5" w:rsidP="00387126">
      <w:pPr>
        <w:rPr>
          <w:color w:val="FF0000"/>
        </w:rPr>
      </w:pPr>
      <w:r w:rsidRPr="003954D9">
        <w:t xml:space="preserve">Andelen </w:t>
      </w:r>
      <w:r w:rsidRPr="003954D9">
        <w:rPr>
          <w:i/>
        </w:rPr>
        <w:t>övriga hushåll med barn</w:t>
      </w:r>
      <w:r w:rsidRPr="003954D9">
        <w:t xml:space="preserve"> (hushåll med flera vuxna) är 19 procent i Angered och 6 procent i Centrum. I Angered har nästan vartannat hushåll barn </w:t>
      </w:r>
      <w:r w:rsidR="00365C66" w:rsidRPr="003954D9">
        <w:t>0–19</w:t>
      </w:r>
      <w:r w:rsidRPr="003954D9">
        <w:t xml:space="preserve"> år. I Lundby är denna andel bara 18 procent.</w:t>
      </w:r>
      <w:r w:rsidR="002C546C" w:rsidRPr="003954D9">
        <w:t xml:space="preserve"> </w:t>
      </w:r>
      <w:r w:rsidRPr="003954D9">
        <w:rPr>
          <w:i/>
        </w:rPr>
        <w:t>Övriga hushåll</w:t>
      </w:r>
      <w:r w:rsidRPr="003954D9">
        <w:t xml:space="preserve"> (med flera vuxna) </w:t>
      </w:r>
      <w:r w:rsidRPr="003954D9">
        <w:rPr>
          <w:i/>
        </w:rPr>
        <w:t xml:space="preserve">utan barn </w:t>
      </w:r>
      <w:r w:rsidR="003D1A30" w:rsidRPr="003954D9">
        <w:t xml:space="preserve">är </w:t>
      </w:r>
      <w:r w:rsidRPr="003954D9">
        <w:t>vanligast i Lundby (10 procent) och m</w:t>
      </w:r>
      <w:r w:rsidR="002C546C" w:rsidRPr="003954D9">
        <w:t xml:space="preserve">inst </w:t>
      </w:r>
      <w:r w:rsidRPr="003954D9">
        <w:t>vanlig</w:t>
      </w:r>
      <w:r w:rsidR="002C546C" w:rsidRPr="003954D9">
        <w:t>a</w:t>
      </w:r>
      <w:r w:rsidRPr="003954D9">
        <w:t xml:space="preserve"> i Västra Göteborg (knappt 5 procent).</w:t>
      </w:r>
      <w:r w:rsidR="00D114F5" w:rsidRPr="003954D9">
        <w:t xml:space="preserve"> </w:t>
      </w:r>
      <w:r w:rsidR="005B78DB">
        <w:t xml:space="preserve"> Se tabell 4:4.</w:t>
      </w:r>
    </w:p>
    <w:p w14:paraId="2D4893E9" w14:textId="47F73BC3" w:rsidR="00692B44" w:rsidRPr="003954D9" w:rsidRDefault="00692B44" w:rsidP="00D114F5"/>
    <w:p w14:paraId="420D0E85" w14:textId="77777777" w:rsidR="001B26A9" w:rsidRPr="003954D9" w:rsidRDefault="001B26A9" w:rsidP="001B26A9">
      <w:pPr>
        <w:pStyle w:val="Rubrik5"/>
      </w:pPr>
      <w:r w:rsidRPr="003954D9">
        <w:t>Tabell 4:4: Fördelning på hushållstyp och antal hushåll i stadsdelarna</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795"/>
        <w:gridCol w:w="884"/>
        <w:gridCol w:w="842"/>
        <w:gridCol w:w="721"/>
        <w:gridCol w:w="826"/>
        <w:gridCol w:w="840"/>
        <w:gridCol w:w="810"/>
        <w:gridCol w:w="913"/>
        <w:gridCol w:w="884"/>
        <w:gridCol w:w="930"/>
      </w:tblGrid>
      <w:tr w:rsidR="0088326D" w:rsidRPr="003954D9" w14:paraId="2825FA23" w14:textId="77777777" w:rsidTr="0088326D">
        <w:trPr>
          <w:trHeight w:val="227"/>
        </w:trPr>
        <w:tc>
          <w:tcPr>
            <w:tcW w:w="1477" w:type="dxa"/>
          </w:tcPr>
          <w:p w14:paraId="4495AD13" w14:textId="77777777" w:rsidR="0088326D" w:rsidRPr="003954D9" w:rsidRDefault="0088326D" w:rsidP="00631C2E">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Hushållstyp</w:t>
            </w:r>
          </w:p>
        </w:tc>
        <w:tc>
          <w:tcPr>
            <w:tcW w:w="795" w:type="dxa"/>
          </w:tcPr>
          <w:p w14:paraId="3D1D8320" w14:textId="77777777" w:rsidR="0088326D" w:rsidRPr="003954D9" w:rsidRDefault="0088326D" w:rsidP="00631C2E">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84" w:type="dxa"/>
          </w:tcPr>
          <w:p w14:paraId="303C3892" w14:textId="77777777" w:rsidR="0088326D" w:rsidRPr="003954D9" w:rsidRDefault="0088326D" w:rsidP="00631C2E">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Askim-Frölunda-Högsbo</w:t>
            </w:r>
          </w:p>
        </w:tc>
        <w:tc>
          <w:tcPr>
            <w:tcW w:w="842" w:type="dxa"/>
          </w:tcPr>
          <w:p w14:paraId="1152F9A1" w14:textId="77777777" w:rsidR="0088326D" w:rsidRPr="003954D9" w:rsidRDefault="0088326D" w:rsidP="00631C2E">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21" w:type="dxa"/>
          </w:tcPr>
          <w:p w14:paraId="373F5EFE" w14:textId="77777777" w:rsidR="0088326D" w:rsidRPr="003954D9" w:rsidRDefault="0088326D" w:rsidP="00631C2E">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26" w:type="dxa"/>
          </w:tcPr>
          <w:p w14:paraId="152C1762" w14:textId="77777777" w:rsidR="0088326D" w:rsidRPr="003954D9" w:rsidRDefault="0088326D" w:rsidP="00631C2E">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Majorna-Linné</w:t>
            </w:r>
          </w:p>
        </w:tc>
        <w:tc>
          <w:tcPr>
            <w:tcW w:w="840" w:type="dxa"/>
          </w:tcPr>
          <w:p w14:paraId="5789CDA9" w14:textId="77777777" w:rsidR="0088326D" w:rsidRPr="003954D9" w:rsidRDefault="0088326D" w:rsidP="00631C2E">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810" w:type="dxa"/>
          </w:tcPr>
          <w:p w14:paraId="5CA3BC09" w14:textId="77777777" w:rsidR="0088326D" w:rsidRPr="003954D9" w:rsidRDefault="0088326D" w:rsidP="00631C2E">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913" w:type="dxa"/>
          </w:tcPr>
          <w:p w14:paraId="107197D7" w14:textId="77777777" w:rsidR="0088326D" w:rsidRPr="003954D9" w:rsidRDefault="0088326D" w:rsidP="00631C2E">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Örgryte-Härlanda</w:t>
            </w:r>
          </w:p>
        </w:tc>
        <w:tc>
          <w:tcPr>
            <w:tcW w:w="884" w:type="dxa"/>
          </w:tcPr>
          <w:p w14:paraId="70DABC2A" w14:textId="77777777" w:rsidR="0088326D" w:rsidRPr="003954D9" w:rsidRDefault="0088326D" w:rsidP="00631C2E">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930" w:type="dxa"/>
          </w:tcPr>
          <w:p w14:paraId="127185C8" w14:textId="77777777" w:rsidR="0088326D" w:rsidRPr="003954D9" w:rsidRDefault="0088326D" w:rsidP="00631C2E">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88326D" w:rsidRPr="003954D9" w14:paraId="5B095124" w14:textId="77777777" w:rsidTr="0088326D">
        <w:trPr>
          <w:trHeight w:val="227"/>
        </w:trPr>
        <w:tc>
          <w:tcPr>
            <w:tcW w:w="1477" w:type="dxa"/>
          </w:tcPr>
          <w:p w14:paraId="53F9D832" w14:textId="0A8ED3DB"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Ensambo u. barn </w:t>
            </w:r>
            <w:r w:rsidR="00365C66" w:rsidRPr="003954D9">
              <w:rPr>
                <w:rFonts w:ascii="Calibri" w:eastAsiaTheme="minorHAnsi" w:hAnsi="Calibri" w:cs="Calibri"/>
                <w:b/>
                <w:color w:val="000000"/>
                <w:sz w:val="16"/>
                <w:szCs w:val="16"/>
                <w:lang w:eastAsia="en-US"/>
              </w:rPr>
              <w:t>18–64</w:t>
            </w:r>
            <w:r w:rsidRPr="003954D9">
              <w:rPr>
                <w:rFonts w:ascii="Calibri" w:eastAsiaTheme="minorHAnsi" w:hAnsi="Calibri" w:cs="Calibri"/>
                <w:b/>
                <w:color w:val="000000"/>
                <w:sz w:val="16"/>
                <w:szCs w:val="16"/>
                <w:lang w:eastAsia="en-US"/>
              </w:rPr>
              <w:t xml:space="preserve"> år</w:t>
            </w:r>
          </w:p>
        </w:tc>
        <w:tc>
          <w:tcPr>
            <w:tcW w:w="795" w:type="dxa"/>
          </w:tcPr>
          <w:p w14:paraId="32E7DAF2" w14:textId="77777777" w:rsidR="0088326D" w:rsidRPr="003954D9" w:rsidRDefault="0088326D" w:rsidP="00631C2E">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20,2</w:t>
            </w:r>
          </w:p>
        </w:tc>
        <w:tc>
          <w:tcPr>
            <w:tcW w:w="884" w:type="dxa"/>
          </w:tcPr>
          <w:p w14:paraId="03C73528"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33,4</w:t>
            </w:r>
          </w:p>
        </w:tc>
        <w:tc>
          <w:tcPr>
            <w:tcW w:w="842" w:type="dxa"/>
          </w:tcPr>
          <w:p w14:paraId="0C4EFEB3"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44,6</w:t>
            </w:r>
          </w:p>
        </w:tc>
        <w:tc>
          <w:tcPr>
            <w:tcW w:w="721" w:type="dxa"/>
          </w:tcPr>
          <w:p w14:paraId="4D8DD139" w14:textId="77777777" w:rsidR="0088326D" w:rsidRPr="003954D9" w:rsidRDefault="0088326D" w:rsidP="00631C2E">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48,2</w:t>
            </w:r>
          </w:p>
        </w:tc>
        <w:tc>
          <w:tcPr>
            <w:tcW w:w="826" w:type="dxa"/>
          </w:tcPr>
          <w:p w14:paraId="54A05A63"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38,1</w:t>
            </w:r>
          </w:p>
        </w:tc>
        <w:tc>
          <w:tcPr>
            <w:tcW w:w="840" w:type="dxa"/>
          </w:tcPr>
          <w:p w14:paraId="26B86A46"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33,6</w:t>
            </w:r>
          </w:p>
        </w:tc>
        <w:tc>
          <w:tcPr>
            <w:tcW w:w="810" w:type="dxa"/>
          </w:tcPr>
          <w:p w14:paraId="0BD1BEE6"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28,6</w:t>
            </w:r>
          </w:p>
        </w:tc>
        <w:tc>
          <w:tcPr>
            <w:tcW w:w="913" w:type="dxa"/>
          </w:tcPr>
          <w:p w14:paraId="08952B44"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35,9</w:t>
            </w:r>
          </w:p>
        </w:tc>
        <w:tc>
          <w:tcPr>
            <w:tcW w:w="884" w:type="dxa"/>
          </w:tcPr>
          <w:p w14:paraId="5DA97B89"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32,2</w:t>
            </w:r>
          </w:p>
        </w:tc>
        <w:tc>
          <w:tcPr>
            <w:tcW w:w="930" w:type="dxa"/>
          </w:tcPr>
          <w:p w14:paraId="49F51A93"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32,6</w:t>
            </w:r>
          </w:p>
        </w:tc>
      </w:tr>
      <w:tr w:rsidR="0088326D" w:rsidRPr="003954D9" w14:paraId="12563638" w14:textId="77777777" w:rsidTr="0088326D">
        <w:trPr>
          <w:trHeight w:val="227"/>
        </w:trPr>
        <w:tc>
          <w:tcPr>
            <w:tcW w:w="1477" w:type="dxa"/>
          </w:tcPr>
          <w:p w14:paraId="0F7AC6D2" w14:textId="15E47EEF"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Ensambo u. barn </w:t>
            </w:r>
            <w:r w:rsidR="00365C66" w:rsidRPr="003954D9">
              <w:rPr>
                <w:rFonts w:ascii="Calibri" w:eastAsiaTheme="minorHAnsi" w:hAnsi="Calibri" w:cs="Calibri"/>
                <w:b/>
                <w:color w:val="000000"/>
                <w:sz w:val="16"/>
                <w:szCs w:val="16"/>
                <w:lang w:eastAsia="en-US"/>
              </w:rPr>
              <w:t>65-år</w:t>
            </w:r>
          </w:p>
        </w:tc>
        <w:tc>
          <w:tcPr>
            <w:tcW w:w="795" w:type="dxa"/>
          </w:tcPr>
          <w:p w14:paraId="742A199D" w14:textId="77777777" w:rsidR="0088326D" w:rsidRPr="003954D9" w:rsidRDefault="0088326D" w:rsidP="00631C2E">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10,6</w:t>
            </w:r>
          </w:p>
        </w:tc>
        <w:tc>
          <w:tcPr>
            <w:tcW w:w="884" w:type="dxa"/>
          </w:tcPr>
          <w:p w14:paraId="0E258623"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11,5</w:t>
            </w:r>
          </w:p>
        </w:tc>
        <w:tc>
          <w:tcPr>
            <w:tcW w:w="842" w:type="dxa"/>
          </w:tcPr>
          <w:p w14:paraId="5097A7FC"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15,3</w:t>
            </w:r>
          </w:p>
        </w:tc>
        <w:tc>
          <w:tcPr>
            <w:tcW w:w="721" w:type="dxa"/>
          </w:tcPr>
          <w:p w14:paraId="65143C05"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11,5</w:t>
            </w:r>
          </w:p>
        </w:tc>
        <w:tc>
          <w:tcPr>
            <w:tcW w:w="826" w:type="dxa"/>
          </w:tcPr>
          <w:p w14:paraId="544F84F9" w14:textId="77777777" w:rsidR="0088326D" w:rsidRPr="003954D9" w:rsidRDefault="0088326D" w:rsidP="00631C2E">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17,6</w:t>
            </w:r>
          </w:p>
        </w:tc>
        <w:tc>
          <w:tcPr>
            <w:tcW w:w="840" w:type="dxa"/>
          </w:tcPr>
          <w:p w14:paraId="09AD39A6"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13,2</w:t>
            </w:r>
          </w:p>
        </w:tc>
        <w:tc>
          <w:tcPr>
            <w:tcW w:w="810" w:type="dxa"/>
          </w:tcPr>
          <w:p w14:paraId="55894C14"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12,3</w:t>
            </w:r>
          </w:p>
        </w:tc>
        <w:tc>
          <w:tcPr>
            <w:tcW w:w="913" w:type="dxa"/>
          </w:tcPr>
          <w:p w14:paraId="0F386CA4"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16,3</w:t>
            </w:r>
          </w:p>
        </w:tc>
        <w:tc>
          <w:tcPr>
            <w:tcW w:w="884" w:type="dxa"/>
          </w:tcPr>
          <w:p w14:paraId="02AC8D19"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13,9</w:t>
            </w:r>
          </w:p>
        </w:tc>
        <w:tc>
          <w:tcPr>
            <w:tcW w:w="930" w:type="dxa"/>
          </w:tcPr>
          <w:p w14:paraId="30ADB06E"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r>
      <w:tr w:rsidR="0088326D" w:rsidRPr="003954D9" w14:paraId="43B76EDA" w14:textId="77777777" w:rsidTr="0088326D">
        <w:trPr>
          <w:trHeight w:val="227"/>
        </w:trPr>
        <w:tc>
          <w:tcPr>
            <w:tcW w:w="1477" w:type="dxa"/>
          </w:tcPr>
          <w:p w14:paraId="106ACD0D" w14:textId="6450F41E"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Ensamst. m.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795" w:type="dxa"/>
          </w:tcPr>
          <w:p w14:paraId="6C4922DE" w14:textId="77777777" w:rsidR="0088326D" w:rsidRPr="003954D9" w:rsidRDefault="0088326D" w:rsidP="00631C2E">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9,8</w:t>
            </w:r>
          </w:p>
        </w:tc>
        <w:tc>
          <w:tcPr>
            <w:tcW w:w="884" w:type="dxa"/>
          </w:tcPr>
          <w:p w14:paraId="4CCB92DD"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9,4</w:t>
            </w:r>
          </w:p>
        </w:tc>
        <w:tc>
          <w:tcPr>
            <w:tcW w:w="842" w:type="dxa"/>
          </w:tcPr>
          <w:p w14:paraId="38CDF7A3"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6,0</w:t>
            </w:r>
          </w:p>
        </w:tc>
        <w:tc>
          <w:tcPr>
            <w:tcW w:w="721" w:type="dxa"/>
          </w:tcPr>
          <w:p w14:paraId="50A1E967" w14:textId="77777777" w:rsidR="0088326D" w:rsidRPr="003954D9" w:rsidRDefault="0088326D" w:rsidP="00631C2E">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4,4</w:t>
            </w:r>
          </w:p>
        </w:tc>
        <w:tc>
          <w:tcPr>
            <w:tcW w:w="826" w:type="dxa"/>
          </w:tcPr>
          <w:p w14:paraId="6E83EF4E"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5,3</w:t>
            </w:r>
          </w:p>
        </w:tc>
        <w:tc>
          <w:tcPr>
            <w:tcW w:w="840" w:type="dxa"/>
          </w:tcPr>
          <w:p w14:paraId="568069D6"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8,7</w:t>
            </w:r>
          </w:p>
        </w:tc>
        <w:tc>
          <w:tcPr>
            <w:tcW w:w="810" w:type="dxa"/>
          </w:tcPr>
          <w:p w14:paraId="1769232B"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913" w:type="dxa"/>
          </w:tcPr>
          <w:p w14:paraId="3776D5BB"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6,0</w:t>
            </w:r>
          </w:p>
        </w:tc>
        <w:tc>
          <w:tcPr>
            <w:tcW w:w="884" w:type="dxa"/>
          </w:tcPr>
          <w:p w14:paraId="64F227BF"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8,8</w:t>
            </w:r>
          </w:p>
        </w:tc>
        <w:tc>
          <w:tcPr>
            <w:tcW w:w="930" w:type="dxa"/>
          </w:tcPr>
          <w:p w14:paraId="38EBA8CC" w14:textId="77777777" w:rsidR="0088326D" w:rsidRPr="003954D9" w:rsidRDefault="0088326D" w:rsidP="00631C2E">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9,7</w:t>
            </w:r>
          </w:p>
        </w:tc>
      </w:tr>
      <w:tr w:rsidR="0088326D" w:rsidRPr="003954D9" w14:paraId="3FB63F19" w14:textId="77777777" w:rsidTr="0088326D">
        <w:trPr>
          <w:trHeight w:val="227"/>
        </w:trPr>
        <w:tc>
          <w:tcPr>
            <w:tcW w:w="1477" w:type="dxa"/>
          </w:tcPr>
          <w:p w14:paraId="6F248BBE" w14:textId="72841A70"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u. barn </w:t>
            </w:r>
            <w:r w:rsidR="00365C66" w:rsidRPr="003954D9">
              <w:rPr>
                <w:rFonts w:ascii="Calibri" w:eastAsiaTheme="minorHAnsi" w:hAnsi="Calibri" w:cs="Calibri"/>
                <w:b/>
                <w:color w:val="000000"/>
                <w:sz w:val="16"/>
                <w:szCs w:val="16"/>
                <w:lang w:eastAsia="en-US"/>
              </w:rPr>
              <w:t>18–64</w:t>
            </w:r>
            <w:r w:rsidRPr="003954D9">
              <w:rPr>
                <w:rFonts w:ascii="Calibri" w:eastAsiaTheme="minorHAnsi" w:hAnsi="Calibri" w:cs="Calibri"/>
                <w:b/>
                <w:color w:val="000000"/>
                <w:sz w:val="16"/>
                <w:szCs w:val="16"/>
                <w:lang w:eastAsia="en-US"/>
              </w:rPr>
              <w:t xml:space="preserve"> år</w:t>
            </w:r>
          </w:p>
        </w:tc>
        <w:tc>
          <w:tcPr>
            <w:tcW w:w="795" w:type="dxa"/>
          </w:tcPr>
          <w:p w14:paraId="6811DD19"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8,5</w:t>
            </w:r>
          </w:p>
        </w:tc>
        <w:tc>
          <w:tcPr>
            <w:tcW w:w="884" w:type="dxa"/>
          </w:tcPr>
          <w:p w14:paraId="105C09A3"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11,8</w:t>
            </w:r>
          </w:p>
        </w:tc>
        <w:tc>
          <w:tcPr>
            <w:tcW w:w="842" w:type="dxa"/>
          </w:tcPr>
          <w:p w14:paraId="35EA67DD"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9,9</w:t>
            </w:r>
          </w:p>
        </w:tc>
        <w:tc>
          <w:tcPr>
            <w:tcW w:w="721" w:type="dxa"/>
          </w:tcPr>
          <w:p w14:paraId="7C9F6538"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11,1</w:t>
            </w:r>
          </w:p>
        </w:tc>
        <w:tc>
          <w:tcPr>
            <w:tcW w:w="826" w:type="dxa"/>
          </w:tcPr>
          <w:p w14:paraId="09FB10AE" w14:textId="77777777" w:rsidR="0088326D" w:rsidRPr="003954D9" w:rsidRDefault="0088326D" w:rsidP="00631C2E">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12,8</w:t>
            </w:r>
          </w:p>
        </w:tc>
        <w:tc>
          <w:tcPr>
            <w:tcW w:w="840" w:type="dxa"/>
          </w:tcPr>
          <w:p w14:paraId="7FBB9615"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9,6</w:t>
            </w:r>
          </w:p>
        </w:tc>
        <w:tc>
          <w:tcPr>
            <w:tcW w:w="810" w:type="dxa"/>
          </w:tcPr>
          <w:p w14:paraId="5A79B0A5" w14:textId="77777777" w:rsidR="0088326D" w:rsidRPr="003954D9" w:rsidRDefault="0088326D" w:rsidP="00631C2E">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2060"/>
                <w:sz w:val="16"/>
                <w:szCs w:val="16"/>
                <w:lang w:eastAsia="en-US"/>
              </w:rPr>
              <w:t>8,0</w:t>
            </w:r>
          </w:p>
        </w:tc>
        <w:tc>
          <w:tcPr>
            <w:tcW w:w="913" w:type="dxa"/>
          </w:tcPr>
          <w:p w14:paraId="097A7E17"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9,5</w:t>
            </w:r>
          </w:p>
        </w:tc>
        <w:tc>
          <w:tcPr>
            <w:tcW w:w="884" w:type="dxa"/>
          </w:tcPr>
          <w:p w14:paraId="3B43EB28"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11,0</w:t>
            </w:r>
          </w:p>
        </w:tc>
        <w:tc>
          <w:tcPr>
            <w:tcW w:w="930" w:type="dxa"/>
          </w:tcPr>
          <w:p w14:paraId="37A13D37"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9,7</w:t>
            </w:r>
          </w:p>
        </w:tc>
      </w:tr>
      <w:tr w:rsidR="0088326D" w:rsidRPr="003954D9" w14:paraId="1E668BBB" w14:textId="77777777" w:rsidTr="0088326D">
        <w:trPr>
          <w:trHeight w:val="227"/>
        </w:trPr>
        <w:tc>
          <w:tcPr>
            <w:tcW w:w="1477" w:type="dxa"/>
          </w:tcPr>
          <w:p w14:paraId="4D9F6CEF" w14:textId="66380B58"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u. barn </w:t>
            </w:r>
            <w:r w:rsidR="00365C66" w:rsidRPr="003954D9">
              <w:rPr>
                <w:rFonts w:ascii="Calibri" w:eastAsiaTheme="minorHAnsi" w:hAnsi="Calibri" w:cs="Calibri"/>
                <w:b/>
                <w:color w:val="000000"/>
                <w:sz w:val="16"/>
                <w:szCs w:val="16"/>
                <w:lang w:eastAsia="en-US"/>
              </w:rPr>
              <w:t>65-år</w:t>
            </w:r>
          </w:p>
        </w:tc>
        <w:tc>
          <w:tcPr>
            <w:tcW w:w="795" w:type="dxa"/>
          </w:tcPr>
          <w:p w14:paraId="7822F845"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2,8</w:t>
            </w:r>
          </w:p>
        </w:tc>
        <w:tc>
          <w:tcPr>
            <w:tcW w:w="884" w:type="dxa"/>
          </w:tcPr>
          <w:p w14:paraId="709B5B09"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w:t>
            </w:r>
          </w:p>
        </w:tc>
        <w:tc>
          <w:tcPr>
            <w:tcW w:w="842" w:type="dxa"/>
          </w:tcPr>
          <w:p w14:paraId="13005EBC"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w:t>
            </w:r>
          </w:p>
        </w:tc>
        <w:tc>
          <w:tcPr>
            <w:tcW w:w="721" w:type="dxa"/>
          </w:tcPr>
          <w:p w14:paraId="103F0C85" w14:textId="77777777" w:rsidR="0088326D" w:rsidRPr="003954D9" w:rsidRDefault="0088326D" w:rsidP="00631C2E">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1,2</w:t>
            </w:r>
          </w:p>
        </w:tc>
        <w:tc>
          <w:tcPr>
            <w:tcW w:w="826" w:type="dxa"/>
          </w:tcPr>
          <w:p w14:paraId="5DD002F6"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w:t>
            </w:r>
          </w:p>
        </w:tc>
        <w:tc>
          <w:tcPr>
            <w:tcW w:w="840" w:type="dxa"/>
          </w:tcPr>
          <w:p w14:paraId="100E7D7F"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w:t>
            </w:r>
          </w:p>
        </w:tc>
        <w:tc>
          <w:tcPr>
            <w:tcW w:w="810" w:type="dxa"/>
          </w:tcPr>
          <w:p w14:paraId="16F13AB8"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2,9</w:t>
            </w:r>
          </w:p>
        </w:tc>
        <w:tc>
          <w:tcPr>
            <w:tcW w:w="913" w:type="dxa"/>
          </w:tcPr>
          <w:p w14:paraId="3F66668E" w14:textId="77777777" w:rsidR="0088326D" w:rsidRPr="003954D9" w:rsidRDefault="0088326D" w:rsidP="00631C2E">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6,1</w:t>
            </w:r>
          </w:p>
        </w:tc>
        <w:tc>
          <w:tcPr>
            <w:tcW w:w="884" w:type="dxa"/>
          </w:tcPr>
          <w:p w14:paraId="56793AE3"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w:t>
            </w:r>
          </w:p>
        </w:tc>
        <w:tc>
          <w:tcPr>
            <w:tcW w:w="930" w:type="dxa"/>
          </w:tcPr>
          <w:p w14:paraId="03D5067D"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w:t>
            </w:r>
          </w:p>
        </w:tc>
      </w:tr>
      <w:tr w:rsidR="0088326D" w:rsidRPr="003954D9" w14:paraId="7996D69E" w14:textId="77777777" w:rsidTr="0088326D">
        <w:trPr>
          <w:trHeight w:val="227"/>
        </w:trPr>
        <w:tc>
          <w:tcPr>
            <w:tcW w:w="1477" w:type="dxa"/>
          </w:tcPr>
          <w:p w14:paraId="5F0B3FC0" w14:textId="09DCD534"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m. 1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795" w:type="dxa"/>
          </w:tcPr>
          <w:p w14:paraId="4D999924"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6,6</w:t>
            </w:r>
          </w:p>
        </w:tc>
        <w:tc>
          <w:tcPr>
            <w:tcW w:w="884" w:type="dxa"/>
          </w:tcPr>
          <w:p w14:paraId="1894E59A"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5,3</w:t>
            </w:r>
          </w:p>
        </w:tc>
        <w:tc>
          <w:tcPr>
            <w:tcW w:w="842" w:type="dxa"/>
          </w:tcPr>
          <w:p w14:paraId="23391186"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4,6</w:t>
            </w:r>
          </w:p>
        </w:tc>
        <w:tc>
          <w:tcPr>
            <w:tcW w:w="721" w:type="dxa"/>
          </w:tcPr>
          <w:p w14:paraId="5F620D95" w14:textId="77777777" w:rsidR="0088326D" w:rsidRPr="003954D9" w:rsidRDefault="0088326D" w:rsidP="00631C2E">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3,1</w:t>
            </w:r>
          </w:p>
        </w:tc>
        <w:tc>
          <w:tcPr>
            <w:tcW w:w="826" w:type="dxa"/>
          </w:tcPr>
          <w:p w14:paraId="4FAFE70B"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w:t>
            </w:r>
          </w:p>
        </w:tc>
        <w:tc>
          <w:tcPr>
            <w:tcW w:w="840" w:type="dxa"/>
          </w:tcPr>
          <w:p w14:paraId="2A3F69A3"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4,8</w:t>
            </w:r>
          </w:p>
        </w:tc>
        <w:tc>
          <w:tcPr>
            <w:tcW w:w="810" w:type="dxa"/>
          </w:tcPr>
          <w:p w14:paraId="5DC4677B"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5,8</w:t>
            </w:r>
          </w:p>
        </w:tc>
        <w:tc>
          <w:tcPr>
            <w:tcW w:w="913" w:type="dxa"/>
          </w:tcPr>
          <w:p w14:paraId="52C2CEA5"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4,6</w:t>
            </w:r>
          </w:p>
        </w:tc>
        <w:tc>
          <w:tcPr>
            <w:tcW w:w="884" w:type="dxa"/>
          </w:tcPr>
          <w:p w14:paraId="167E7E8A" w14:textId="77777777" w:rsidR="0088326D" w:rsidRPr="003954D9" w:rsidRDefault="0088326D" w:rsidP="00631C2E">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6,9</w:t>
            </w:r>
          </w:p>
        </w:tc>
        <w:tc>
          <w:tcPr>
            <w:tcW w:w="930" w:type="dxa"/>
          </w:tcPr>
          <w:p w14:paraId="0DC92B82"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5,0</w:t>
            </w:r>
          </w:p>
        </w:tc>
      </w:tr>
      <w:tr w:rsidR="0088326D" w:rsidRPr="003954D9" w14:paraId="1C40D489" w14:textId="77777777" w:rsidTr="0088326D">
        <w:trPr>
          <w:trHeight w:val="227"/>
        </w:trPr>
        <w:tc>
          <w:tcPr>
            <w:tcW w:w="1477" w:type="dxa"/>
          </w:tcPr>
          <w:p w14:paraId="2AB454AD" w14:textId="074935B5"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m. 2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795" w:type="dxa"/>
          </w:tcPr>
          <w:p w14:paraId="63212C44" w14:textId="77777777" w:rsidR="0088326D" w:rsidRPr="003954D9" w:rsidRDefault="0088326D" w:rsidP="00631C2E">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7,0</w:t>
            </w:r>
          </w:p>
        </w:tc>
        <w:tc>
          <w:tcPr>
            <w:tcW w:w="884" w:type="dxa"/>
          </w:tcPr>
          <w:p w14:paraId="0AAC081F"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5,8</w:t>
            </w:r>
          </w:p>
        </w:tc>
        <w:tc>
          <w:tcPr>
            <w:tcW w:w="842" w:type="dxa"/>
          </w:tcPr>
          <w:p w14:paraId="04C03175"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w:t>
            </w:r>
          </w:p>
        </w:tc>
        <w:tc>
          <w:tcPr>
            <w:tcW w:w="721" w:type="dxa"/>
          </w:tcPr>
          <w:p w14:paraId="5C35FEB7" w14:textId="77777777" w:rsidR="0088326D" w:rsidRPr="003954D9" w:rsidRDefault="0088326D" w:rsidP="00631C2E">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2,6</w:t>
            </w:r>
          </w:p>
        </w:tc>
        <w:tc>
          <w:tcPr>
            <w:tcW w:w="826" w:type="dxa"/>
          </w:tcPr>
          <w:p w14:paraId="1E798893"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w:t>
            </w:r>
          </w:p>
        </w:tc>
        <w:tc>
          <w:tcPr>
            <w:tcW w:w="840" w:type="dxa"/>
          </w:tcPr>
          <w:p w14:paraId="37793DEE"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w:t>
            </w:r>
          </w:p>
        </w:tc>
        <w:tc>
          <w:tcPr>
            <w:tcW w:w="810" w:type="dxa"/>
          </w:tcPr>
          <w:p w14:paraId="414994B9"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5,6</w:t>
            </w:r>
          </w:p>
        </w:tc>
        <w:tc>
          <w:tcPr>
            <w:tcW w:w="913" w:type="dxa"/>
          </w:tcPr>
          <w:p w14:paraId="3EDB5F10"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4,4</w:t>
            </w:r>
          </w:p>
        </w:tc>
        <w:tc>
          <w:tcPr>
            <w:tcW w:w="884" w:type="dxa"/>
          </w:tcPr>
          <w:p w14:paraId="00DACB33"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w:t>
            </w:r>
          </w:p>
        </w:tc>
        <w:tc>
          <w:tcPr>
            <w:tcW w:w="930" w:type="dxa"/>
          </w:tcPr>
          <w:p w14:paraId="64B20398"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5,4</w:t>
            </w:r>
          </w:p>
        </w:tc>
      </w:tr>
      <w:tr w:rsidR="0088326D" w:rsidRPr="003954D9" w14:paraId="54D4B733" w14:textId="77777777" w:rsidTr="0088326D">
        <w:trPr>
          <w:trHeight w:val="227"/>
        </w:trPr>
        <w:tc>
          <w:tcPr>
            <w:tcW w:w="1477" w:type="dxa"/>
          </w:tcPr>
          <w:p w14:paraId="7E264370" w14:textId="5AEEA995"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m. 3-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795" w:type="dxa"/>
          </w:tcPr>
          <w:p w14:paraId="1CF61E52" w14:textId="77777777" w:rsidR="0088326D" w:rsidRPr="003954D9" w:rsidRDefault="0088326D" w:rsidP="00631C2E">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6,6</w:t>
            </w:r>
          </w:p>
        </w:tc>
        <w:tc>
          <w:tcPr>
            <w:tcW w:w="884" w:type="dxa"/>
          </w:tcPr>
          <w:p w14:paraId="28F5E25E"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2,8</w:t>
            </w:r>
          </w:p>
        </w:tc>
        <w:tc>
          <w:tcPr>
            <w:tcW w:w="842" w:type="dxa"/>
          </w:tcPr>
          <w:p w14:paraId="7BF9FAEC" w14:textId="77777777" w:rsidR="0088326D" w:rsidRPr="003954D9" w:rsidRDefault="0088326D" w:rsidP="00631C2E">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0,8</w:t>
            </w:r>
          </w:p>
        </w:tc>
        <w:tc>
          <w:tcPr>
            <w:tcW w:w="721" w:type="dxa"/>
          </w:tcPr>
          <w:p w14:paraId="401C3A94"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w:t>
            </w:r>
          </w:p>
        </w:tc>
        <w:tc>
          <w:tcPr>
            <w:tcW w:w="826" w:type="dxa"/>
          </w:tcPr>
          <w:p w14:paraId="16000993" w14:textId="77777777" w:rsidR="0088326D" w:rsidRPr="003954D9" w:rsidRDefault="0088326D" w:rsidP="00631C2E">
            <w:pPr>
              <w:autoSpaceDE w:val="0"/>
              <w:autoSpaceDN w:val="0"/>
              <w:adjustRightInd w:val="0"/>
              <w:jc w:val="right"/>
              <w:rPr>
                <w:rFonts w:ascii="Calibri" w:eastAsiaTheme="minorHAnsi" w:hAnsi="Calibri" w:cs="Calibri"/>
                <w:b/>
                <w:color w:val="002060"/>
                <w:sz w:val="16"/>
                <w:szCs w:val="16"/>
                <w:lang w:eastAsia="en-US"/>
              </w:rPr>
            </w:pPr>
            <w:r w:rsidRPr="003954D9">
              <w:rPr>
                <w:rFonts w:ascii="Calibri" w:eastAsiaTheme="minorHAnsi" w:hAnsi="Calibri" w:cs="Calibri"/>
                <w:b/>
                <w:color w:val="002060"/>
                <w:sz w:val="16"/>
                <w:szCs w:val="16"/>
                <w:lang w:eastAsia="en-US"/>
              </w:rPr>
              <w:t>0,9</w:t>
            </w:r>
          </w:p>
        </w:tc>
        <w:tc>
          <w:tcPr>
            <w:tcW w:w="840" w:type="dxa"/>
          </w:tcPr>
          <w:p w14:paraId="1A7BFCA9"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w:t>
            </w:r>
          </w:p>
        </w:tc>
        <w:tc>
          <w:tcPr>
            <w:tcW w:w="810" w:type="dxa"/>
          </w:tcPr>
          <w:p w14:paraId="219891F9"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3,9</w:t>
            </w:r>
          </w:p>
        </w:tc>
        <w:tc>
          <w:tcPr>
            <w:tcW w:w="913" w:type="dxa"/>
          </w:tcPr>
          <w:p w14:paraId="7524C83C"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w:t>
            </w:r>
          </w:p>
        </w:tc>
        <w:tc>
          <w:tcPr>
            <w:tcW w:w="884" w:type="dxa"/>
          </w:tcPr>
          <w:p w14:paraId="1F228A47"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w:t>
            </w:r>
          </w:p>
        </w:tc>
        <w:tc>
          <w:tcPr>
            <w:tcW w:w="930" w:type="dxa"/>
          </w:tcPr>
          <w:p w14:paraId="0B1F8F9A"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3,9</w:t>
            </w:r>
          </w:p>
        </w:tc>
      </w:tr>
      <w:tr w:rsidR="0088326D" w:rsidRPr="003954D9" w14:paraId="04CAC425" w14:textId="77777777" w:rsidTr="0088326D">
        <w:trPr>
          <w:trHeight w:val="227"/>
        </w:trPr>
        <w:tc>
          <w:tcPr>
            <w:tcW w:w="1477" w:type="dxa"/>
          </w:tcPr>
          <w:p w14:paraId="7F84F877" w14:textId="77777777"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Övr. hushåll u. barn </w:t>
            </w:r>
          </w:p>
        </w:tc>
        <w:tc>
          <w:tcPr>
            <w:tcW w:w="795" w:type="dxa"/>
          </w:tcPr>
          <w:p w14:paraId="2B3CDE60"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8,6</w:t>
            </w:r>
          </w:p>
        </w:tc>
        <w:tc>
          <w:tcPr>
            <w:tcW w:w="884" w:type="dxa"/>
          </w:tcPr>
          <w:p w14:paraId="592BC724"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6,0</w:t>
            </w:r>
          </w:p>
        </w:tc>
        <w:tc>
          <w:tcPr>
            <w:tcW w:w="842" w:type="dxa"/>
          </w:tcPr>
          <w:p w14:paraId="7F8387BE"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6,6</w:t>
            </w:r>
          </w:p>
        </w:tc>
        <w:tc>
          <w:tcPr>
            <w:tcW w:w="721" w:type="dxa"/>
          </w:tcPr>
          <w:p w14:paraId="73FB71CA" w14:textId="77777777" w:rsidR="0088326D" w:rsidRPr="003954D9" w:rsidRDefault="0088326D" w:rsidP="00631C2E">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9,9</w:t>
            </w:r>
          </w:p>
        </w:tc>
        <w:tc>
          <w:tcPr>
            <w:tcW w:w="826" w:type="dxa"/>
          </w:tcPr>
          <w:p w14:paraId="104956A2"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6,6</w:t>
            </w:r>
          </w:p>
        </w:tc>
        <w:tc>
          <w:tcPr>
            <w:tcW w:w="840" w:type="dxa"/>
          </w:tcPr>
          <w:p w14:paraId="688D4F41"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7,4</w:t>
            </w:r>
          </w:p>
        </w:tc>
        <w:tc>
          <w:tcPr>
            <w:tcW w:w="810" w:type="dxa"/>
          </w:tcPr>
          <w:p w14:paraId="1026589E" w14:textId="77777777" w:rsidR="0088326D" w:rsidRPr="003954D9" w:rsidRDefault="0088326D" w:rsidP="00631C2E">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sz w:val="16"/>
                <w:szCs w:val="16"/>
                <w:lang w:eastAsia="en-US"/>
              </w:rPr>
              <w:t>9,5</w:t>
            </w:r>
          </w:p>
        </w:tc>
        <w:tc>
          <w:tcPr>
            <w:tcW w:w="913" w:type="dxa"/>
          </w:tcPr>
          <w:p w14:paraId="2A225D5F"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7,1</w:t>
            </w:r>
          </w:p>
        </w:tc>
        <w:tc>
          <w:tcPr>
            <w:tcW w:w="884" w:type="dxa"/>
          </w:tcPr>
          <w:p w14:paraId="0364D34B" w14:textId="77777777" w:rsidR="0088326D" w:rsidRPr="003954D9" w:rsidRDefault="0088326D" w:rsidP="00631C2E">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4,7</w:t>
            </w:r>
          </w:p>
        </w:tc>
        <w:tc>
          <w:tcPr>
            <w:tcW w:w="930" w:type="dxa"/>
          </w:tcPr>
          <w:p w14:paraId="4E0A8630"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9,2</w:t>
            </w:r>
          </w:p>
        </w:tc>
      </w:tr>
      <w:tr w:rsidR="0088326D" w:rsidRPr="003954D9" w14:paraId="794783C3" w14:textId="77777777" w:rsidTr="0088326D">
        <w:trPr>
          <w:trHeight w:val="227"/>
        </w:trPr>
        <w:tc>
          <w:tcPr>
            <w:tcW w:w="1477" w:type="dxa"/>
          </w:tcPr>
          <w:p w14:paraId="71D377B6" w14:textId="77777777"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Övr. hushåll m. barn</w:t>
            </w:r>
          </w:p>
        </w:tc>
        <w:tc>
          <w:tcPr>
            <w:tcW w:w="795" w:type="dxa"/>
          </w:tcPr>
          <w:p w14:paraId="58A46AC4" w14:textId="77777777" w:rsidR="0088326D" w:rsidRPr="003954D9" w:rsidRDefault="0088326D" w:rsidP="00631C2E">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19,3</w:t>
            </w:r>
          </w:p>
        </w:tc>
        <w:tc>
          <w:tcPr>
            <w:tcW w:w="884" w:type="dxa"/>
          </w:tcPr>
          <w:p w14:paraId="36A0BF8A"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10,2</w:t>
            </w:r>
          </w:p>
        </w:tc>
        <w:tc>
          <w:tcPr>
            <w:tcW w:w="842" w:type="dxa"/>
          </w:tcPr>
          <w:p w14:paraId="4FE0DEE8" w14:textId="77777777" w:rsidR="0088326D" w:rsidRPr="003954D9" w:rsidRDefault="0088326D" w:rsidP="00631C2E">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5,7</w:t>
            </w:r>
          </w:p>
        </w:tc>
        <w:tc>
          <w:tcPr>
            <w:tcW w:w="721" w:type="dxa"/>
          </w:tcPr>
          <w:p w14:paraId="00D458F4"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6,7</w:t>
            </w:r>
          </w:p>
        </w:tc>
        <w:tc>
          <w:tcPr>
            <w:tcW w:w="826" w:type="dxa"/>
          </w:tcPr>
          <w:p w14:paraId="6D6546FB"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7,0</w:t>
            </w:r>
          </w:p>
        </w:tc>
        <w:tc>
          <w:tcPr>
            <w:tcW w:w="840" w:type="dxa"/>
          </w:tcPr>
          <w:p w14:paraId="6160E9D1"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11,8</w:t>
            </w:r>
          </w:p>
        </w:tc>
        <w:tc>
          <w:tcPr>
            <w:tcW w:w="810" w:type="dxa"/>
          </w:tcPr>
          <w:p w14:paraId="5DF6EC30"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15,2</w:t>
            </w:r>
          </w:p>
        </w:tc>
        <w:tc>
          <w:tcPr>
            <w:tcW w:w="913" w:type="dxa"/>
          </w:tcPr>
          <w:p w14:paraId="64CFD18A"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884" w:type="dxa"/>
          </w:tcPr>
          <w:p w14:paraId="13A68EC0"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12,6</w:t>
            </w:r>
          </w:p>
        </w:tc>
        <w:tc>
          <w:tcPr>
            <w:tcW w:w="930" w:type="dxa"/>
          </w:tcPr>
          <w:p w14:paraId="77BF19A3"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10,4</w:t>
            </w:r>
          </w:p>
        </w:tc>
      </w:tr>
      <w:tr w:rsidR="0088326D" w:rsidRPr="003954D9" w14:paraId="0CAC5679" w14:textId="77777777" w:rsidTr="0088326D">
        <w:trPr>
          <w:trHeight w:val="227"/>
        </w:trPr>
        <w:tc>
          <w:tcPr>
            <w:tcW w:w="1477" w:type="dxa"/>
          </w:tcPr>
          <w:p w14:paraId="4796D24A" w14:textId="77777777"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Alla</w:t>
            </w:r>
          </w:p>
        </w:tc>
        <w:tc>
          <w:tcPr>
            <w:tcW w:w="795" w:type="dxa"/>
          </w:tcPr>
          <w:p w14:paraId="000E43DE"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84" w:type="dxa"/>
          </w:tcPr>
          <w:p w14:paraId="3E4E4D1A"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42" w:type="dxa"/>
          </w:tcPr>
          <w:p w14:paraId="5CF0B3CA"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721" w:type="dxa"/>
          </w:tcPr>
          <w:p w14:paraId="192E2F97"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26" w:type="dxa"/>
          </w:tcPr>
          <w:p w14:paraId="1BE47A37"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40" w:type="dxa"/>
          </w:tcPr>
          <w:p w14:paraId="273158F6"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10" w:type="dxa"/>
          </w:tcPr>
          <w:p w14:paraId="2B2EAC10"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913" w:type="dxa"/>
          </w:tcPr>
          <w:p w14:paraId="388B9B5C"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84" w:type="dxa"/>
          </w:tcPr>
          <w:p w14:paraId="5ED3DF14"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930" w:type="dxa"/>
          </w:tcPr>
          <w:p w14:paraId="0121E720"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r>
      <w:tr w:rsidR="0088326D" w:rsidRPr="003954D9" w14:paraId="71C0E8FC" w14:textId="77777777" w:rsidTr="0088326D">
        <w:trPr>
          <w:trHeight w:val="227"/>
        </w:trPr>
        <w:tc>
          <w:tcPr>
            <w:tcW w:w="1477" w:type="dxa"/>
          </w:tcPr>
          <w:p w14:paraId="4A7E1B00" w14:textId="77777777" w:rsidR="0088326D" w:rsidRPr="003954D9" w:rsidRDefault="0088326D" w:rsidP="00631C2E">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Antal</w:t>
            </w:r>
          </w:p>
        </w:tc>
        <w:tc>
          <w:tcPr>
            <w:tcW w:w="795" w:type="dxa"/>
          </w:tcPr>
          <w:p w14:paraId="62DEB96F" w14:textId="77777777" w:rsidR="0088326D" w:rsidRPr="003954D9" w:rsidRDefault="0088326D" w:rsidP="00631C2E">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4 480</w:t>
            </w:r>
          </w:p>
        </w:tc>
        <w:tc>
          <w:tcPr>
            <w:tcW w:w="884" w:type="dxa"/>
          </w:tcPr>
          <w:p w14:paraId="157CC52C"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2 390</w:t>
            </w:r>
          </w:p>
        </w:tc>
        <w:tc>
          <w:tcPr>
            <w:tcW w:w="842" w:type="dxa"/>
          </w:tcPr>
          <w:p w14:paraId="6EA4E766"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2 060</w:t>
            </w:r>
          </w:p>
        </w:tc>
        <w:tc>
          <w:tcPr>
            <w:tcW w:w="721" w:type="dxa"/>
          </w:tcPr>
          <w:p w14:paraId="474E19A8"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908</w:t>
            </w:r>
          </w:p>
        </w:tc>
        <w:tc>
          <w:tcPr>
            <w:tcW w:w="826" w:type="dxa"/>
          </w:tcPr>
          <w:p w14:paraId="1A3B2790"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2 651</w:t>
            </w:r>
          </w:p>
        </w:tc>
        <w:tc>
          <w:tcPr>
            <w:tcW w:w="840" w:type="dxa"/>
          </w:tcPr>
          <w:p w14:paraId="6A697782"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1 385</w:t>
            </w:r>
          </w:p>
        </w:tc>
        <w:tc>
          <w:tcPr>
            <w:tcW w:w="810" w:type="dxa"/>
          </w:tcPr>
          <w:p w14:paraId="6B1A98E8"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2 790</w:t>
            </w:r>
          </w:p>
        </w:tc>
        <w:tc>
          <w:tcPr>
            <w:tcW w:w="913" w:type="dxa"/>
          </w:tcPr>
          <w:p w14:paraId="7668DE96"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2 589</w:t>
            </w:r>
          </w:p>
        </w:tc>
        <w:tc>
          <w:tcPr>
            <w:tcW w:w="884" w:type="dxa"/>
          </w:tcPr>
          <w:p w14:paraId="30300652" w14:textId="77777777" w:rsidR="0088326D" w:rsidRPr="003954D9" w:rsidRDefault="0088326D" w:rsidP="00631C2E">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317</w:t>
            </w:r>
          </w:p>
        </w:tc>
        <w:tc>
          <w:tcPr>
            <w:tcW w:w="930" w:type="dxa"/>
          </w:tcPr>
          <w:p w14:paraId="3D6F4BEF" w14:textId="77777777" w:rsidR="0088326D" w:rsidRPr="003954D9" w:rsidRDefault="0088326D" w:rsidP="00631C2E">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3 482</w:t>
            </w:r>
          </w:p>
        </w:tc>
      </w:tr>
    </w:tbl>
    <w:p w14:paraId="3CDBAFA7" w14:textId="77A3B5A2" w:rsidR="009A1A3B" w:rsidRPr="003954D9" w:rsidRDefault="005522ED" w:rsidP="009A1A3B">
      <w:pPr>
        <w:rPr>
          <w:b/>
          <w:color w:val="002060"/>
          <w:sz w:val="16"/>
          <w:szCs w:val="16"/>
        </w:rPr>
      </w:pPr>
      <w:r w:rsidRPr="003954D9">
        <w:rPr>
          <w:b/>
          <w:color w:val="FF0000"/>
          <w:sz w:val="16"/>
          <w:szCs w:val="16"/>
        </w:rPr>
        <w:t>Rött = högsta värde</w:t>
      </w:r>
      <w:r w:rsidRPr="003954D9">
        <w:rPr>
          <w:b/>
          <w:color w:val="002060"/>
          <w:sz w:val="16"/>
          <w:szCs w:val="16"/>
        </w:rPr>
        <w:t xml:space="preserve"> </w:t>
      </w:r>
      <w:r w:rsidRPr="005B78DB">
        <w:rPr>
          <w:b/>
          <w:color w:val="0070C0"/>
          <w:sz w:val="16"/>
          <w:szCs w:val="16"/>
        </w:rPr>
        <w:t>Blått= lägsta värde</w:t>
      </w:r>
    </w:p>
    <w:p w14:paraId="522E2993" w14:textId="77777777" w:rsidR="002C546C" w:rsidRPr="003954D9" w:rsidRDefault="002C546C" w:rsidP="00A20935">
      <w:pPr>
        <w:rPr>
          <w:b/>
          <w:color w:val="002060"/>
          <w:sz w:val="16"/>
          <w:szCs w:val="16"/>
        </w:rPr>
      </w:pPr>
    </w:p>
    <w:p w14:paraId="252F5552" w14:textId="1C4A0B9D" w:rsidR="00A20935" w:rsidRPr="003954D9" w:rsidRDefault="00B42722" w:rsidP="00A20935">
      <w:r>
        <w:t xml:space="preserve">Av </w:t>
      </w:r>
      <w:r w:rsidR="002C546C" w:rsidRPr="003954D9">
        <w:t xml:space="preserve">de undersökta hushållen bor den största andelen i Angered </w:t>
      </w:r>
      <w:r w:rsidR="001B26A9" w:rsidRPr="003954D9">
        <w:t xml:space="preserve">(19 procent) </w:t>
      </w:r>
      <w:r w:rsidR="002C546C" w:rsidRPr="003954D9">
        <w:t xml:space="preserve">liksom den största </w:t>
      </w:r>
      <w:r w:rsidR="001B26A9" w:rsidRPr="003954D9">
        <w:t>andelen personer (26 procent)</w:t>
      </w:r>
      <w:r w:rsidR="002C546C" w:rsidRPr="003954D9">
        <w:t xml:space="preserve">. </w:t>
      </w:r>
      <w:r w:rsidR="001B26A9" w:rsidRPr="003954D9">
        <w:t>Angered</w:t>
      </w:r>
      <w:r w:rsidR="002C546C" w:rsidRPr="003954D9">
        <w:t xml:space="preserve"> har </w:t>
      </w:r>
      <w:r w:rsidR="00B47A74" w:rsidRPr="003954D9">
        <w:t>också det högsta antalet personer per bostad och den minsta lägenhetsytan per person</w:t>
      </w:r>
      <w:r w:rsidR="002C546C" w:rsidRPr="003954D9">
        <w:t xml:space="preserve"> samt </w:t>
      </w:r>
      <w:r w:rsidR="00B47A74" w:rsidRPr="003954D9">
        <w:t xml:space="preserve">den </w:t>
      </w:r>
      <w:r w:rsidR="002C546C" w:rsidRPr="003954D9">
        <w:t xml:space="preserve">största </w:t>
      </w:r>
      <w:r w:rsidR="00B47A74" w:rsidRPr="003954D9">
        <w:t xml:space="preserve">andelen barnhushåll. </w:t>
      </w:r>
      <w:r>
        <w:t xml:space="preserve">Den lägsta andelen av de undersökta hushållen och personerna bor i </w:t>
      </w:r>
      <w:r w:rsidR="00B47A74" w:rsidRPr="003954D9">
        <w:t>Västra Göteborg, bara drygt 1 procent</w:t>
      </w:r>
      <w:r>
        <w:t xml:space="preserve">, </w:t>
      </w:r>
      <w:r w:rsidR="00B47A74" w:rsidRPr="003954D9">
        <w:t>och de</w:t>
      </w:r>
      <w:r>
        <w:t xml:space="preserve"> har</w:t>
      </w:r>
      <w:r w:rsidR="00B47A74" w:rsidRPr="003954D9">
        <w:t xml:space="preserve"> </w:t>
      </w:r>
      <w:r>
        <w:t xml:space="preserve">den </w:t>
      </w:r>
      <w:r w:rsidR="00B47A74" w:rsidRPr="003954D9">
        <w:t>högsta lägenhetsytan per person</w:t>
      </w:r>
      <w:r w:rsidR="007824C9">
        <w:t>. Se tabell 4:5.</w:t>
      </w:r>
    </w:p>
    <w:p w14:paraId="1C76E971" w14:textId="77777777" w:rsidR="008568D2" w:rsidRDefault="008568D2" w:rsidP="0088326D">
      <w:pPr>
        <w:pStyle w:val="Rubrik5"/>
      </w:pPr>
      <w:r>
        <w:br w:type="page"/>
      </w:r>
    </w:p>
    <w:p w14:paraId="2235D7A5" w14:textId="7DE02EF8" w:rsidR="00A20935" w:rsidRPr="003954D9" w:rsidRDefault="00C33DCC" w:rsidP="0088326D">
      <w:pPr>
        <w:pStyle w:val="Rubrik5"/>
      </w:pPr>
      <w:r w:rsidRPr="003954D9">
        <w:lastRenderedPageBreak/>
        <w:t>T</w:t>
      </w:r>
      <w:r w:rsidR="00A20935" w:rsidRPr="003954D9">
        <w:t>abell 4:5: Antal hushåll och personer samt hushåll med och utan barn – stadsdelarna</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708"/>
        <w:gridCol w:w="709"/>
        <w:gridCol w:w="691"/>
        <w:gridCol w:w="585"/>
        <w:gridCol w:w="850"/>
        <w:gridCol w:w="784"/>
        <w:gridCol w:w="917"/>
        <w:gridCol w:w="993"/>
      </w:tblGrid>
      <w:tr w:rsidR="00BE5719" w:rsidRPr="003954D9" w14:paraId="6FE2BB6E" w14:textId="77777777" w:rsidTr="005E09C7">
        <w:trPr>
          <w:trHeight w:val="227"/>
        </w:trPr>
        <w:tc>
          <w:tcPr>
            <w:tcW w:w="1868" w:type="dxa"/>
            <w:vMerge w:val="restart"/>
          </w:tcPr>
          <w:p w14:paraId="62DE6F40" w14:textId="77777777" w:rsidR="00BE5719" w:rsidRPr="003954D9" w:rsidRDefault="00BE5719" w:rsidP="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1417" w:type="dxa"/>
            <w:gridSpan w:val="2"/>
          </w:tcPr>
          <w:p w14:paraId="70E31488" w14:textId="543BE12A" w:rsidR="00BE5719" w:rsidRPr="003954D9" w:rsidRDefault="00BE5719" w:rsidP="00BE5719">
            <w:pPr>
              <w:autoSpaceDE w:val="0"/>
              <w:autoSpaceDN w:val="0"/>
              <w:adjustRightInd w:val="0"/>
              <w:rPr>
                <w:rFonts w:ascii="Calibri" w:hAnsi="Calibri" w:cs="Calibri"/>
                <w:color w:val="000000"/>
                <w:sz w:val="22"/>
                <w:szCs w:val="22"/>
              </w:rPr>
            </w:pPr>
            <w:r w:rsidRPr="003954D9">
              <w:rPr>
                <w:rFonts w:ascii="Calibri" w:hAnsi="Calibri" w:cs="Calibri"/>
                <w:b/>
                <w:bCs/>
                <w:color w:val="000000"/>
                <w:sz w:val="16"/>
                <w:szCs w:val="16"/>
              </w:rPr>
              <w:t>Hushåll</w:t>
            </w:r>
          </w:p>
        </w:tc>
        <w:tc>
          <w:tcPr>
            <w:tcW w:w="1276" w:type="dxa"/>
            <w:gridSpan w:val="2"/>
          </w:tcPr>
          <w:p w14:paraId="5297A8FB" w14:textId="77777777" w:rsidR="00BE5719" w:rsidRPr="003954D9" w:rsidRDefault="00BE5719" w:rsidP="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w:t>
            </w:r>
          </w:p>
        </w:tc>
        <w:tc>
          <w:tcPr>
            <w:tcW w:w="850" w:type="dxa"/>
            <w:vMerge w:val="restart"/>
          </w:tcPr>
          <w:p w14:paraId="21EE5D71"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 hushåll</w:t>
            </w:r>
          </w:p>
        </w:tc>
        <w:tc>
          <w:tcPr>
            <w:tcW w:w="784" w:type="dxa"/>
            <w:vMerge w:val="restart"/>
          </w:tcPr>
          <w:p w14:paraId="508370C5"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Boarea/ person</w:t>
            </w:r>
          </w:p>
        </w:tc>
        <w:tc>
          <w:tcPr>
            <w:tcW w:w="1910" w:type="dxa"/>
            <w:gridSpan w:val="2"/>
          </w:tcPr>
          <w:p w14:paraId="5D8A22A9"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Andel hushåll</w:t>
            </w:r>
          </w:p>
        </w:tc>
      </w:tr>
      <w:tr w:rsidR="00BE5719" w:rsidRPr="003954D9" w14:paraId="19D414D7" w14:textId="77777777" w:rsidTr="005E09C7">
        <w:trPr>
          <w:trHeight w:val="227"/>
        </w:trPr>
        <w:tc>
          <w:tcPr>
            <w:tcW w:w="1868" w:type="dxa"/>
            <w:vMerge/>
          </w:tcPr>
          <w:p w14:paraId="683D4CBE" w14:textId="77777777" w:rsidR="00BE5719" w:rsidRPr="003954D9" w:rsidRDefault="00BE5719">
            <w:pPr>
              <w:autoSpaceDE w:val="0"/>
              <w:autoSpaceDN w:val="0"/>
              <w:adjustRightInd w:val="0"/>
              <w:jc w:val="right"/>
              <w:rPr>
                <w:rFonts w:ascii="Calibri" w:hAnsi="Calibri" w:cs="Calibri"/>
                <w:color w:val="000000"/>
                <w:sz w:val="22"/>
                <w:szCs w:val="22"/>
              </w:rPr>
            </w:pPr>
          </w:p>
        </w:tc>
        <w:tc>
          <w:tcPr>
            <w:tcW w:w="708" w:type="dxa"/>
          </w:tcPr>
          <w:p w14:paraId="12B5F084"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709" w:type="dxa"/>
          </w:tcPr>
          <w:p w14:paraId="68D8A31C"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691" w:type="dxa"/>
          </w:tcPr>
          <w:p w14:paraId="59F65AFD"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585" w:type="dxa"/>
          </w:tcPr>
          <w:p w14:paraId="5B0D7260"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850" w:type="dxa"/>
            <w:vMerge/>
          </w:tcPr>
          <w:p w14:paraId="2DE9BE3E" w14:textId="77777777" w:rsidR="00BE5719" w:rsidRPr="003954D9" w:rsidRDefault="00BE5719">
            <w:pPr>
              <w:autoSpaceDE w:val="0"/>
              <w:autoSpaceDN w:val="0"/>
              <w:adjustRightInd w:val="0"/>
              <w:jc w:val="right"/>
              <w:rPr>
                <w:rFonts w:ascii="Calibri" w:hAnsi="Calibri" w:cs="Calibri"/>
                <w:color w:val="000000"/>
                <w:sz w:val="22"/>
                <w:szCs w:val="22"/>
              </w:rPr>
            </w:pPr>
          </w:p>
        </w:tc>
        <w:tc>
          <w:tcPr>
            <w:tcW w:w="784" w:type="dxa"/>
            <w:vMerge/>
          </w:tcPr>
          <w:p w14:paraId="7B34238A" w14:textId="77777777" w:rsidR="00BE5719" w:rsidRPr="003954D9" w:rsidRDefault="00BE5719">
            <w:pPr>
              <w:autoSpaceDE w:val="0"/>
              <w:autoSpaceDN w:val="0"/>
              <w:adjustRightInd w:val="0"/>
              <w:jc w:val="right"/>
              <w:rPr>
                <w:rFonts w:ascii="Calibri" w:hAnsi="Calibri" w:cs="Calibri"/>
                <w:color w:val="000000"/>
                <w:sz w:val="22"/>
                <w:szCs w:val="22"/>
              </w:rPr>
            </w:pPr>
          </w:p>
        </w:tc>
        <w:tc>
          <w:tcPr>
            <w:tcW w:w="917" w:type="dxa"/>
          </w:tcPr>
          <w:p w14:paraId="1A446F3A"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med barn</w:t>
            </w:r>
          </w:p>
        </w:tc>
        <w:tc>
          <w:tcPr>
            <w:tcW w:w="993" w:type="dxa"/>
          </w:tcPr>
          <w:p w14:paraId="4E6BD4EB"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utan barn</w:t>
            </w:r>
          </w:p>
        </w:tc>
      </w:tr>
      <w:tr w:rsidR="00BE5719" w:rsidRPr="003954D9" w14:paraId="764C8603" w14:textId="77777777" w:rsidTr="005E09C7">
        <w:trPr>
          <w:trHeight w:val="227"/>
        </w:trPr>
        <w:tc>
          <w:tcPr>
            <w:tcW w:w="1868" w:type="dxa"/>
          </w:tcPr>
          <w:p w14:paraId="78302AEF"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708" w:type="dxa"/>
          </w:tcPr>
          <w:p w14:paraId="6AEC00D1" w14:textId="77777777" w:rsidR="00BE5719" w:rsidRPr="003954D9" w:rsidRDefault="00BE5719">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4 480</w:t>
            </w:r>
          </w:p>
        </w:tc>
        <w:tc>
          <w:tcPr>
            <w:tcW w:w="709" w:type="dxa"/>
          </w:tcPr>
          <w:p w14:paraId="7AE844A3" w14:textId="77777777" w:rsidR="00BE5719" w:rsidRPr="003954D9" w:rsidRDefault="00BE5719">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19,4</w:t>
            </w:r>
          </w:p>
        </w:tc>
        <w:tc>
          <w:tcPr>
            <w:tcW w:w="691" w:type="dxa"/>
          </w:tcPr>
          <w:p w14:paraId="3B9E2504" w14:textId="77777777" w:rsidR="00BE5719" w:rsidRPr="003954D9" w:rsidRDefault="00BE5719">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13 353</w:t>
            </w:r>
          </w:p>
        </w:tc>
        <w:tc>
          <w:tcPr>
            <w:tcW w:w="585" w:type="dxa"/>
          </w:tcPr>
          <w:p w14:paraId="3CFED169" w14:textId="77777777" w:rsidR="00BE5719" w:rsidRPr="003954D9" w:rsidRDefault="00BE5719">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26,0</w:t>
            </w:r>
          </w:p>
        </w:tc>
        <w:tc>
          <w:tcPr>
            <w:tcW w:w="850" w:type="dxa"/>
          </w:tcPr>
          <w:p w14:paraId="16B48383" w14:textId="77777777" w:rsidR="00BE5719" w:rsidRPr="003954D9" w:rsidRDefault="00BE5719">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2,98</w:t>
            </w:r>
          </w:p>
        </w:tc>
        <w:tc>
          <w:tcPr>
            <w:tcW w:w="784" w:type="dxa"/>
          </w:tcPr>
          <w:p w14:paraId="2625EE51" w14:textId="77777777" w:rsidR="00BE5719" w:rsidRPr="003954D9" w:rsidRDefault="00BE5719">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24,7</w:t>
            </w:r>
          </w:p>
        </w:tc>
        <w:tc>
          <w:tcPr>
            <w:tcW w:w="917" w:type="dxa"/>
          </w:tcPr>
          <w:p w14:paraId="183455F8" w14:textId="77777777" w:rsidR="00BE5719" w:rsidRPr="003954D9" w:rsidRDefault="00BE5719">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49,3</w:t>
            </w:r>
          </w:p>
        </w:tc>
        <w:tc>
          <w:tcPr>
            <w:tcW w:w="993" w:type="dxa"/>
          </w:tcPr>
          <w:p w14:paraId="2AD2DBF1"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50,7</w:t>
            </w:r>
          </w:p>
        </w:tc>
      </w:tr>
      <w:tr w:rsidR="00BE5719" w:rsidRPr="003954D9" w14:paraId="6C632B8A" w14:textId="77777777" w:rsidTr="005E09C7">
        <w:trPr>
          <w:trHeight w:val="227"/>
        </w:trPr>
        <w:tc>
          <w:tcPr>
            <w:tcW w:w="1868" w:type="dxa"/>
          </w:tcPr>
          <w:p w14:paraId="70BE1CA5"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08" w:type="dxa"/>
          </w:tcPr>
          <w:p w14:paraId="485DD403"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2 390</w:t>
            </w:r>
          </w:p>
        </w:tc>
        <w:tc>
          <w:tcPr>
            <w:tcW w:w="709" w:type="dxa"/>
          </w:tcPr>
          <w:p w14:paraId="529B4A7C"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10,4</w:t>
            </w:r>
          </w:p>
        </w:tc>
        <w:tc>
          <w:tcPr>
            <w:tcW w:w="691" w:type="dxa"/>
          </w:tcPr>
          <w:p w14:paraId="2A855742"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4 975</w:t>
            </w:r>
          </w:p>
        </w:tc>
        <w:tc>
          <w:tcPr>
            <w:tcW w:w="585" w:type="dxa"/>
          </w:tcPr>
          <w:p w14:paraId="58713B25"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9,7</w:t>
            </w:r>
          </w:p>
        </w:tc>
        <w:tc>
          <w:tcPr>
            <w:tcW w:w="850" w:type="dxa"/>
          </w:tcPr>
          <w:p w14:paraId="0AF6CED0"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2,08</w:t>
            </w:r>
          </w:p>
        </w:tc>
        <w:tc>
          <w:tcPr>
            <w:tcW w:w="784" w:type="dxa"/>
          </w:tcPr>
          <w:p w14:paraId="3968C945"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33,6</w:t>
            </w:r>
          </w:p>
        </w:tc>
        <w:tc>
          <w:tcPr>
            <w:tcW w:w="917" w:type="dxa"/>
          </w:tcPr>
          <w:p w14:paraId="03FE2F64"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33,6</w:t>
            </w:r>
          </w:p>
        </w:tc>
        <w:tc>
          <w:tcPr>
            <w:tcW w:w="993" w:type="dxa"/>
          </w:tcPr>
          <w:p w14:paraId="496CC234"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66,4</w:t>
            </w:r>
          </w:p>
        </w:tc>
      </w:tr>
      <w:tr w:rsidR="00BE5719" w:rsidRPr="003954D9" w14:paraId="1E9A38AF" w14:textId="77777777" w:rsidTr="005E09C7">
        <w:trPr>
          <w:trHeight w:val="227"/>
        </w:trPr>
        <w:tc>
          <w:tcPr>
            <w:tcW w:w="1868" w:type="dxa"/>
          </w:tcPr>
          <w:p w14:paraId="338A477E"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8" w:type="dxa"/>
          </w:tcPr>
          <w:p w14:paraId="5AE57813"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2 060</w:t>
            </w:r>
          </w:p>
        </w:tc>
        <w:tc>
          <w:tcPr>
            <w:tcW w:w="709" w:type="dxa"/>
          </w:tcPr>
          <w:p w14:paraId="303C5FCC"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8,9</w:t>
            </w:r>
          </w:p>
        </w:tc>
        <w:tc>
          <w:tcPr>
            <w:tcW w:w="691" w:type="dxa"/>
          </w:tcPr>
          <w:p w14:paraId="1733E85C"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3 464</w:t>
            </w:r>
          </w:p>
        </w:tc>
        <w:tc>
          <w:tcPr>
            <w:tcW w:w="585" w:type="dxa"/>
          </w:tcPr>
          <w:p w14:paraId="3D65BD55"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6,7</w:t>
            </w:r>
          </w:p>
        </w:tc>
        <w:tc>
          <w:tcPr>
            <w:tcW w:w="850" w:type="dxa"/>
          </w:tcPr>
          <w:p w14:paraId="031D2A4B" w14:textId="77777777" w:rsidR="00BE5719" w:rsidRPr="003954D9" w:rsidRDefault="00BE5719">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1,68</w:t>
            </w:r>
          </w:p>
        </w:tc>
        <w:tc>
          <w:tcPr>
            <w:tcW w:w="784" w:type="dxa"/>
          </w:tcPr>
          <w:p w14:paraId="10EC2C82"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34,0</w:t>
            </w:r>
          </w:p>
        </w:tc>
        <w:tc>
          <w:tcPr>
            <w:tcW w:w="917" w:type="dxa"/>
          </w:tcPr>
          <w:p w14:paraId="4F741F9D"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20,5</w:t>
            </w:r>
          </w:p>
        </w:tc>
        <w:tc>
          <w:tcPr>
            <w:tcW w:w="993" w:type="dxa"/>
          </w:tcPr>
          <w:p w14:paraId="34EDB735"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79,5</w:t>
            </w:r>
          </w:p>
        </w:tc>
      </w:tr>
      <w:tr w:rsidR="00BE5719" w:rsidRPr="003954D9" w14:paraId="0F6D2A85" w14:textId="77777777" w:rsidTr="005E09C7">
        <w:trPr>
          <w:trHeight w:val="227"/>
        </w:trPr>
        <w:tc>
          <w:tcPr>
            <w:tcW w:w="1868" w:type="dxa"/>
          </w:tcPr>
          <w:p w14:paraId="1D7D4F8B"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708" w:type="dxa"/>
          </w:tcPr>
          <w:p w14:paraId="6B614349"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908</w:t>
            </w:r>
          </w:p>
        </w:tc>
        <w:tc>
          <w:tcPr>
            <w:tcW w:w="709" w:type="dxa"/>
          </w:tcPr>
          <w:p w14:paraId="0D5F45C7"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w:t>
            </w:r>
          </w:p>
        </w:tc>
        <w:tc>
          <w:tcPr>
            <w:tcW w:w="691" w:type="dxa"/>
          </w:tcPr>
          <w:p w14:paraId="1B049952"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1 608</w:t>
            </w:r>
          </w:p>
        </w:tc>
        <w:tc>
          <w:tcPr>
            <w:tcW w:w="585" w:type="dxa"/>
          </w:tcPr>
          <w:p w14:paraId="1A7A90D8"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w:t>
            </w:r>
          </w:p>
        </w:tc>
        <w:tc>
          <w:tcPr>
            <w:tcW w:w="850" w:type="dxa"/>
          </w:tcPr>
          <w:p w14:paraId="6B136ED4"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1,77</w:t>
            </w:r>
          </w:p>
        </w:tc>
        <w:tc>
          <w:tcPr>
            <w:tcW w:w="784" w:type="dxa"/>
          </w:tcPr>
          <w:p w14:paraId="638FBC57"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26,5</w:t>
            </w:r>
          </w:p>
        </w:tc>
        <w:tc>
          <w:tcPr>
            <w:tcW w:w="917" w:type="dxa"/>
          </w:tcPr>
          <w:p w14:paraId="1C39433A" w14:textId="77777777" w:rsidR="00BE5719" w:rsidRPr="003954D9" w:rsidRDefault="00BE5719">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18,1</w:t>
            </w:r>
          </w:p>
        </w:tc>
        <w:tc>
          <w:tcPr>
            <w:tcW w:w="993" w:type="dxa"/>
          </w:tcPr>
          <w:p w14:paraId="5BD4D7F1" w14:textId="77777777" w:rsidR="00BE5719" w:rsidRPr="003954D9" w:rsidRDefault="00BE5719">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81,9</w:t>
            </w:r>
          </w:p>
        </w:tc>
      </w:tr>
      <w:tr w:rsidR="00BE5719" w:rsidRPr="003954D9" w14:paraId="6ECAB5D4" w14:textId="77777777" w:rsidTr="005E09C7">
        <w:trPr>
          <w:trHeight w:val="227"/>
        </w:trPr>
        <w:tc>
          <w:tcPr>
            <w:tcW w:w="1868" w:type="dxa"/>
          </w:tcPr>
          <w:p w14:paraId="6A04EE5B" w14:textId="59C22D03"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w:t>
            </w:r>
            <w:r w:rsidR="00CD1C48" w:rsidRPr="003954D9">
              <w:rPr>
                <w:rFonts w:ascii="Calibri" w:hAnsi="Calibri" w:cs="Calibri"/>
                <w:b/>
                <w:bCs/>
                <w:color w:val="000000"/>
                <w:sz w:val="16"/>
                <w:szCs w:val="16"/>
              </w:rPr>
              <w:t>Linné</w:t>
            </w:r>
          </w:p>
        </w:tc>
        <w:tc>
          <w:tcPr>
            <w:tcW w:w="708" w:type="dxa"/>
          </w:tcPr>
          <w:p w14:paraId="5A39022F"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2 651</w:t>
            </w:r>
          </w:p>
        </w:tc>
        <w:tc>
          <w:tcPr>
            <w:tcW w:w="709" w:type="dxa"/>
          </w:tcPr>
          <w:p w14:paraId="581598D8"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11,5</w:t>
            </w:r>
          </w:p>
        </w:tc>
        <w:tc>
          <w:tcPr>
            <w:tcW w:w="691" w:type="dxa"/>
          </w:tcPr>
          <w:p w14:paraId="4F957328"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4 579</w:t>
            </w:r>
          </w:p>
        </w:tc>
        <w:tc>
          <w:tcPr>
            <w:tcW w:w="585" w:type="dxa"/>
          </w:tcPr>
          <w:p w14:paraId="336F9375"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8,9</w:t>
            </w:r>
          </w:p>
        </w:tc>
        <w:tc>
          <w:tcPr>
            <w:tcW w:w="850" w:type="dxa"/>
          </w:tcPr>
          <w:p w14:paraId="5A78C5BF"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1,73</w:t>
            </w:r>
          </w:p>
        </w:tc>
        <w:tc>
          <w:tcPr>
            <w:tcW w:w="784" w:type="dxa"/>
          </w:tcPr>
          <w:p w14:paraId="66470CD9"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35,7</w:t>
            </w:r>
          </w:p>
        </w:tc>
        <w:tc>
          <w:tcPr>
            <w:tcW w:w="917" w:type="dxa"/>
          </w:tcPr>
          <w:p w14:paraId="4EC4C037"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21,2</w:t>
            </w:r>
          </w:p>
        </w:tc>
        <w:tc>
          <w:tcPr>
            <w:tcW w:w="993" w:type="dxa"/>
          </w:tcPr>
          <w:p w14:paraId="6D0EE095"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78,8</w:t>
            </w:r>
          </w:p>
        </w:tc>
      </w:tr>
      <w:tr w:rsidR="00BE5719" w:rsidRPr="003954D9" w14:paraId="23BD03C3" w14:textId="77777777" w:rsidTr="005E09C7">
        <w:trPr>
          <w:trHeight w:val="227"/>
        </w:trPr>
        <w:tc>
          <w:tcPr>
            <w:tcW w:w="1868" w:type="dxa"/>
          </w:tcPr>
          <w:p w14:paraId="71AE7009"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08" w:type="dxa"/>
          </w:tcPr>
          <w:p w14:paraId="4C0D0A5F"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1 385</w:t>
            </w:r>
          </w:p>
        </w:tc>
        <w:tc>
          <w:tcPr>
            <w:tcW w:w="709" w:type="dxa"/>
          </w:tcPr>
          <w:p w14:paraId="2B53B727"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6,0</w:t>
            </w:r>
          </w:p>
        </w:tc>
        <w:tc>
          <w:tcPr>
            <w:tcW w:w="691" w:type="dxa"/>
          </w:tcPr>
          <w:p w14:paraId="45A62870"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2 926</w:t>
            </w:r>
          </w:p>
        </w:tc>
        <w:tc>
          <w:tcPr>
            <w:tcW w:w="585" w:type="dxa"/>
          </w:tcPr>
          <w:p w14:paraId="126A1F4A"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w:t>
            </w:r>
          </w:p>
        </w:tc>
        <w:tc>
          <w:tcPr>
            <w:tcW w:w="850" w:type="dxa"/>
          </w:tcPr>
          <w:p w14:paraId="0C3F221E"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784" w:type="dxa"/>
          </w:tcPr>
          <w:p w14:paraId="6D0C9045"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29,3</w:t>
            </w:r>
          </w:p>
        </w:tc>
        <w:tc>
          <w:tcPr>
            <w:tcW w:w="917" w:type="dxa"/>
          </w:tcPr>
          <w:p w14:paraId="160789D3"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32,5</w:t>
            </w:r>
          </w:p>
        </w:tc>
        <w:tc>
          <w:tcPr>
            <w:tcW w:w="993" w:type="dxa"/>
          </w:tcPr>
          <w:p w14:paraId="3A3F26B7"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67,5</w:t>
            </w:r>
          </w:p>
        </w:tc>
      </w:tr>
      <w:tr w:rsidR="00BE5719" w:rsidRPr="003954D9" w14:paraId="5C85102A" w14:textId="77777777" w:rsidTr="005E09C7">
        <w:trPr>
          <w:trHeight w:val="227"/>
        </w:trPr>
        <w:tc>
          <w:tcPr>
            <w:tcW w:w="1868" w:type="dxa"/>
          </w:tcPr>
          <w:p w14:paraId="25461C0B"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08" w:type="dxa"/>
          </w:tcPr>
          <w:p w14:paraId="0DAEA16C"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2 790</w:t>
            </w:r>
          </w:p>
        </w:tc>
        <w:tc>
          <w:tcPr>
            <w:tcW w:w="709" w:type="dxa"/>
          </w:tcPr>
          <w:p w14:paraId="7F737463"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12,1</w:t>
            </w:r>
          </w:p>
        </w:tc>
        <w:tc>
          <w:tcPr>
            <w:tcW w:w="691" w:type="dxa"/>
          </w:tcPr>
          <w:p w14:paraId="0B44F719"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6 977</w:t>
            </w:r>
          </w:p>
        </w:tc>
        <w:tc>
          <w:tcPr>
            <w:tcW w:w="585" w:type="dxa"/>
          </w:tcPr>
          <w:p w14:paraId="6FC83ABE"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13,6</w:t>
            </w:r>
          </w:p>
        </w:tc>
        <w:tc>
          <w:tcPr>
            <w:tcW w:w="850" w:type="dxa"/>
          </w:tcPr>
          <w:p w14:paraId="6F8281DB"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2,50</w:t>
            </w:r>
          </w:p>
        </w:tc>
        <w:tc>
          <w:tcPr>
            <w:tcW w:w="784" w:type="dxa"/>
          </w:tcPr>
          <w:p w14:paraId="7CBCB20E"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26,3</w:t>
            </w:r>
          </w:p>
        </w:tc>
        <w:tc>
          <w:tcPr>
            <w:tcW w:w="917" w:type="dxa"/>
          </w:tcPr>
          <w:p w14:paraId="6E07BAE5"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38,7</w:t>
            </w:r>
          </w:p>
        </w:tc>
        <w:tc>
          <w:tcPr>
            <w:tcW w:w="993" w:type="dxa"/>
          </w:tcPr>
          <w:p w14:paraId="3999CE1D"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61,3</w:t>
            </w:r>
          </w:p>
        </w:tc>
      </w:tr>
      <w:tr w:rsidR="00BE5719" w:rsidRPr="003954D9" w14:paraId="6712AFC5" w14:textId="77777777" w:rsidTr="005E09C7">
        <w:trPr>
          <w:trHeight w:val="227"/>
        </w:trPr>
        <w:tc>
          <w:tcPr>
            <w:tcW w:w="1868" w:type="dxa"/>
          </w:tcPr>
          <w:p w14:paraId="77CA0F18"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708" w:type="dxa"/>
          </w:tcPr>
          <w:p w14:paraId="1DB204E1"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2 589</w:t>
            </w:r>
          </w:p>
        </w:tc>
        <w:tc>
          <w:tcPr>
            <w:tcW w:w="709" w:type="dxa"/>
          </w:tcPr>
          <w:p w14:paraId="5171FAA3"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11,2</w:t>
            </w:r>
          </w:p>
        </w:tc>
        <w:tc>
          <w:tcPr>
            <w:tcW w:w="691" w:type="dxa"/>
          </w:tcPr>
          <w:p w14:paraId="1CA92352"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4 859</w:t>
            </w:r>
          </w:p>
        </w:tc>
        <w:tc>
          <w:tcPr>
            <w:tcW w:w="585" w:type="dxa"/>
          </w:tcPr>
          <w:p w14:paraId="1FBCCE0B"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9,4</w:t>
            </w:r>
          </w:p>
        </w:tc>
        <w:tc>
          <w:tcPr>
            <w:tcW w:w="850" w:type="dxa"/>
          </w:tcPr>
          <w:p w14:paraId="293939E3"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1,88</w:t>
            </w:r>
          </w:p>
        </w:tc>
        <w:tc>
          <w:tcPr>
            <w:tcW w:w="784" w:type="dxa"/>
          </w:tcPr>
          <w:p w14:paraId="136E94A8"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33,8</w:t>
            </w:r>
          </w:p>
        </w:tc>
        <w:tc>
          <w:tcPr>
            <w:tcW w:w="917" w:type="dxa"/>
          </w:tcPr>
          <w:p w14:paraId="1449A6AF"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25,1</w:t>
            </w:r>
          </w:p>
        </w:tc>
        <w:tc>
          <w:tcPr>
            <w:tcW w:w="993" w:type="dxa"/>
          </w:tcPr>
          <w:p w14:paraId="688C3D25"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74,9</w:t>
            </w:r>
          </w:p>
        </w:tc>
      </w:tr>
      <w:tr w:rsidR="00BE5719" w:rsidRPr="003954D9" w14:paraId="2C573F7C" w14:textId="77777777" w:rsidTr="005E09C7">
        <w:trPr>
          <w:trHeight w:val="227"/>
        </w:trPr>
        <w:tc>
          <w:tcPr>
            <w:tcW w:w="1868" w:type="dxa"/>
          </w:tcPr>
          <w:p w14:paraId="52EE1805"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708" w:type="dxa"/>
          </w:tcPr>
          <w:p w14:paraId="131C5089" w14:textId="77777777" w:rsidR="00BE5719" w:rsidRPr="003954D9" w:rsidRDefault="00BE5719">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317</w:t>
            </w:r>
          </w:p>
        </w:tc>
        <w:tc>
          <w:tcPr>
            <w:tcW w:w="709" w:type="dxa"/>
          </w:tcPr>
          <w:p w14:paraId="404A4DA5" w14:textId="77777777" w:rsidR="00BE5719" w:rsidRPr="003954D9" w:rsidRDefault="00BE5719">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1,4</w:t>
            </w:r>
          </w:p>
        </w:tc>
        <w:tc>
          <w:tcPr>
            <w:tcW w:w="691" w:type="dxa"/>
          </w:tcPr>
          <w:p w14:paraId="7D917D6B" w14:textId="77777777" w:rsidR="00BE5719" w:rsidRPr="003954D9" w:rsidRDefault="00BE5719">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661</w:t>
            </w:r>
          </w:p>
        </w:tc>
        <w:tc>
          <w:tcPr>
            <w:tcW w:w="585" w:type="dxa"/>
          </w:tcPr>
          <w:p w14:paraId="518560D7" w14:textId="77777777" w:rsidR="00BE5719" w:rsidRPr="003954D9" w:rsidRDefault="00BE5719">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1,3</w:t>
            </w:r>
          </w:p>
        </w:tc>
        <w:tc>
          <w:tcPr>
            <w:tcW w:w="850" w:type="dxa"/>
          </w:tcPr>
          <w:p w14:paraId="04E0F266"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2,09</w:t>
            </w:r>
          </w:p>
        </w:tc>
        <w:tc>
          <w:tcPr>
            <w:tcW w:w="784" w:type="dxa"/>
          </w:tcPr>
          <w:p w14:paraId="44BFE1CF" w14:textId="77777777" w:rsidR="00BE5719" w:rsidRPr="003954D9" w:rsidRDefault="00BE5719">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36,3</w:t>
            </w:r>
          </w:p>
        </w:tc>
        <w:tc>
          <w:tcPr>
            <w:tcW w:w="917" w:type="dxa"/>
          </w:tcPr>
          <w:p w14:paraId="1046A93B"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35,0</w:t>
            </w:r>
          </w:p>
        </w:tc>
        <w:tc>
          <w:tcPr>
            <w:tcW w:w="993" w:type="dxa"/>
          </w:tcPr>
          <w:p w14:paraId="01D6E68C"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65,0</w:t>
            </w:r>
          </w:p>
        </w:tc>
      </w:tr>
      <w:tr w:rsidR="00BE5719" w:rsidRPr="003954D9" w14:paraId="4D94DA4D" w14:textId="77777777" w:rsidTr="005E09C7">
        <w:trPr>
          <w:trHeight w:val="227"/>
        </w:trPr>
        <w:tc>
          <w:tcPr>
            <w:tcW w:w="1868" w:type="dxa"/>
          </w:tcPr>
          <w:p w14:paraId="2A2B3B7D"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708" w:type="dxa"/>
          </w:tcPr>
          <w:p w14:paraId="5795E0CF"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3 482</w:t>
            </w:r>
          </w:p>
        </w:tc>
        <w:tc>
          <w:tcPr>
            <w:tcW w:w="709" w:type="dxa"/>
          </w:tcPr>
          <w:p w14:paraId="2BDE3A18"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15,1</w:t>
            </w:r>
          </w:p>
        </w:tc>
        <w:tc>
          <w:tcPr>
            <w:tcW w:w="691" w:type="dxa"/>
          </w:tcPr>
          <w:p w14:paraId="07677CD8"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8 048</w:t>
            </w:r>
          </w:p>
        </w:tc>
        <w:tc>
          <w:tcPr>
            <w:tcW w:w="585" w:type="dxa"/>
          </w:tcPr>
          <w:p w14:paraId="282D20F2"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15,6</w:t>
            </w:r>
          </w:p>
        </w:tc>
        <w:tc>
          <w:tcPr>
            <w:tcW w:w="850" w:type="dxa"/>
          </w:tcPr>
          <w:p w14:paraId="66559969"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c>
          <w:tcPr>
            <w:tcW w:w="784" w:type="dxa"/>
          </w:tcPr>
          <w:p w14:paraId="7CEB4581"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27,7</w:t>
            </w:r>
          </w:p>
        </w:tc>
        <w:tc>
          <w:tcPr>
            <w:tcW w:w="917" w:type="dxa"/>
          </w:tcPr>
          <w:p w14:paraId="68D6696F"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34,5</w:t>
            </w:r>
          </w:p>
        </w:tc>
        <w:tc>
          <w:tcPr>
            <w:tcW w:w="993" w:type="dxa"/>
          </w:tcPr>
          <w:p w14:paraId="0497C608"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65,5</w:t>
            </w:r>
          </w:p>
        </w:tc>
      </w:tr>
      <w:tr w:rsidR="00BE5719" w:rsidRPr="003954D9" w14:paraId="354FE485" w14:textId="77777777" w:rsidTr="005E09C7">
        <w:trPr>
          <w:trHeight w:val="227"/>
        </w:trPr>
        <w:tc>
          <w:tcPr>
            <w:tcW w:w="1868" w:type="dxa"/>
          </w:tcPr>
          <w:p w14:paraId="62879B0E" w14:textId="77777777" w:rsidR="00BE5719" w:rsidRPr="003954D9" w:rsidRDefault="00BE571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Hela urvalet</w:t>
            </w:r>
          </w:p>
        </w:tc>
        <w:tc>
          <w:tcPr>
            <w:tcW w:w="708" w:type="dxa"/>
          </w:tcPr>
          <w:p w14:paraId="0754552F"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23 052</w:t>
            </w:r>
          </w:p>
        </w:tc>
        <w:tc>
          <w:tcPr>
            <w:tcW w:w="709" w:type="dxa"/>
          </w:tcPr>
          <w:p w14:paraId="4954B188"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691" w:type="dxa"/>
          </w:tcPr>
          <w:p w14:paraId="512B96DB"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51 450</w:t>
            </w:r>
          </w:p>
        </w:tc>
        <w:tc>
          <w:tcPr>
            <w:tcW w:w="585" w:type="dxa"/>
          </w:tcPr>
          <w:p w14:paraId="10473158"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850" w:type="dxa"/>
          </w:tcPr>
          <w:p w14:paraId="163CB205"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2,23</w:t>
            </w:r>
          </w:p>
        </w:tc>
        <w:tc>
          <w:tcPr>
            <w:tcW w:w="784" w:type="dxa"/>
          </w:tcPr>
          <w:p w14:paraId="3186345F"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29,2</w:t>
            </w:r>
          </w:p>
        </w:tc>
        <w:tc>
          <w:tcPr>
            <w:tcW w:w="917" w:type="dxa"/>
          </w:tcPr>
          <w:p w14:paraId="0493F017"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33,2</w:t>
            </w:r>
          </w:p>
        </w:tc>
        <w:tc>
          <w:tcPr>
            <w:tcW w:w="993" w:type="dxa"/>
          </w:tcPr>
          <w:p w14:paraId="3A6E5216" w14:textId="77777777" w:rsidR="00BE5719" w:rsidRPr="003954D9" w:rsidRDefault="00BE5719">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67,8</w:t>
            </w:r>
          </w:p>
        </w:tc>
      </w:tr>
    </w:tbl>
    <w:p w14:paraId="7AFF3067" w14:textId="63FA6D39" w:rsidR="00A20935" w:rsidRPr="003954D9" w:rsidRDefault="005E09C7" w:rsidP="00A20935">
      <w:pPr>
        <w:rPr>
          <w:sz w:val="16"/>
          <w:szCs w:val="16"/>
        </w:rPr>
      </w:pPr>
      <w:r w:rsidRPr="003954D9">
        <w:rPr>
          <w:b/>
          <w:color w:val="FF0000"/>
          <w:sz w:val="16"/>
          <w:szCs w:val="16"/>
        </w:rPr>
        <w:t>Rött är högsta</w:t>
      </w:r>
      <w:r w:rsidRPr="003954D9">
        <w:rPr>
          <w:color w:val="FF0000"/>
          <w:sz w:val="16"/>
          <w:szCs w:val="16"/>
        </w:rPr>
        <w:t xml:space="preserve"> </w:t>
      </w:r>
      <w:r w:rsidRPr="003954D9">
        <w:rPr>
          <w:sz w:val="16"/>
          <w:szCs w:val="16"/>
        </w:rPr>
        <w:t xml:space="preserve">och </w:t>
      </w:r>
      <w:r w:rsidRPr="003954D9">
        <w:rPr>
          <w:b/>
          <w:color w:val="0070C0"/>
          <w:sz w:val="16"/>
          <w:szCs w:val="16"/>
        </w:rPr>
        <w:t xml:space="preserve">blått är lägsta </w:t>
      </w:r>
      <w:r w:rsidRPr="003954D9">
        <w:rPr>
          <w:sz w:val="16"/>
          <w:szCs w:val="16"/>
        </w:rPr>
        <w:t>värde</w:t>
      </w:r>
    </w:p>
    <w:p w14:paraId="1E618353" w14:textId="1DC7C396" w:rsidR="00897810" w:rsidRPr="003954D9" w:rsidRDefault="00540A4D" w:rsidP="00540A4D">
      <w:pPr>
        <w:pStyle w:val="Rubrik1"/>
      </w:pPr>
      <w:bookmarkStart w:id="112" w:name="_Toc463184406"/>
      <w:bookmarkStart w:id="113" w:name="_Toc464828411"/>
      <w:bookmarkStart w:id="114" w:name="_Toc467818480"/>
      <w:bookmarkStart w:id="115" w:name="_Toc468614366"/>
      <w:r w:rsidRPr="003954D9">
        <w:t>5. E</w:t>
      </w:r>
      <w:r w:rsidR="00897810" w:rsidRPr="003954D9">
        <w:t xml:space="preserve">ffekterna av hyreshöjningar </w:t>
      </w:r>
      <w:r w:rsidRPr="003954D9">
        <w:t>på olika hushållstyper</w:t>
      </w:r>
      <w:bookmarkEnd w:id="112"/>
      <w:bookmarkEnd w:id="113"/>
      <w:bookmarkEnd w:id="114"/>
      <w:bookmarkEnd w:id="115"/>
    </w:p>
    <w:p w14:paraId="1D06928D" w14:textId="77777777" w:rsidR="00540A4D" w:rsidRPr="003954D9" w:rsidRDefault="00A01674" w:rsidP="00540A4D">
      <w:pPr>
        <w:pStyle w:val="Rubrik2"/>
      </w:pPr>
      <w:bookmarkStart w:id="116" w:name="_Toc463184407"/>
      <w:bookmarkStart w:id="117" w:name="_Toc464828412"/>
      <w:r w:rsidRPr="003954D9">
        <w:t>H</w:t>
      </w:r>
      <w:r w:rsidR="00540A4D" w:rsidRPr="003954D9">
        <w:t>ela urvalet</w:t>
      </w:r>
      <w:bookmarkEnd w:id="116"/>
      <w:bookmarkEnd w:id="117"/>
      <w:r w:rsidR="00540A4D" w:rsidRPr="003954D9">
        <w:t xml:space="preserve"> </w:t>
      </w:r>
    </w:p>
    <w:p w14:paraId="29CCFDFE" w14:textId="122C190B" w:rsidR="00CD1413" w:rsidRPr="003954D9" w:rsidRDefault="00540A4D" w:rsidP="00540A4D">
      <w:pPr>
        <w:pStyle w:val="Rubrik3"/>
      </w:pPr>
      <w:bookmarkStart w:id="118" w:name="_Toc463184408"/>
      <w:bookmarkStart w:id="119" w:name="_Toc464828413"/>
      <w:r w:rsidRPr="003954D9">
        <w:t>H</w:t>
      </w:r>
      <w:r w:rsidR="00A01674" w:rsidRPr="003954D9">
        <w:t>ushållstyper</w:t>
      </w:r>
      <w:r w:rsidRPr="003954D9">
        <w:t xml:space="preserve"> som drabbas mest</w:t>
      </w:r>
      <w:bookmarkEnd w:id="118"/>
      <w:bookmarkEnd w:id="119"/>
    </w:p>
    <w:p w14:paraId="66BFE9A2" w14:textId="1B7A22F2" w:rsidR="004E2215" w:rsidRPr="003954D9" w:rsidRDefault="00387126" w:rsidP="00CE0196">
      <w:r w:rsidRPr="003954D9">
        <w:t xml:space="preserve">De hushållstyper som drabbas värst är ensamboende över 65 år, ensamstående med barn 0–19 år och de stora barnfamiljerna, samboende med 3 eller flera barn 0–19 år. </w:t>
      </w:r>
      <w:r w:rsidR="00A01674" w:rsidRPr="003954D9">
        <w:t xml:space="preserve">När man </w:t>
      </w:r>
      <w:r w:rsidR="00DF572C" w:rsidRPr="003954D9">
        <w:t xml:space="preserve">i andra sammanhang använder begreppet </w:t>
      </w:r>
      <w:r w:rsidR="00A01674" w:rsidRPr="003954D9">
        <w:t xml:space="preserve">fattigdom brukar det </w:t>
      </w:r>
      <w:r w:rsidR="00475673" w:rsidRPr="003954D9">
        <w:t xml:space="preserve">också </w:t>
      </w:r>
      <w:r w:rsidR="00A01674" w:rsidRPr="003954D9">
        <w:t xml:space="preserve">vara just dessa grupper som nämns. </w:t>
      </w:r>
    </w:p>
    <w:p w14:paraId="49997A3F" w14:textId="5FAC4460" w:rsidR="00DF572C" w:rsidRPr="003954D9" w:rsidRDefault="00DF572C" w:rsidP="007C0B17">
      <w:r w:rsidRPr="003954D9">
        <w:rPr>
          <w:i/>
        </w:rPr>
        <w:t>Ensamstående med barn:</w:t>
      </w:r>
      <w:r w:rsidRPr="003954D9">
        <w:t xml:space="preserve"> Vid en hyreshöjning på 50 </w:t>
      </w:r>
      <w:r w:rsidR="00475673" w:rsidRPr="003954D9">
        <w:t>procent</w:t>
      </w:r>
      <w:r w:rsidRPr="003954D9">
        <w:t xml:space="preserve"> befinner sig </w:t>
      </w:r>
      <w:r w:rsidR="00475673" w:rsidRPr="003954D9">
        <w:t xml:space="preserve">hälften </w:t>
      </w:r>
      <w:r w:rsidRPr="003954D9">
        <w:t>av hushållen i riskzonen</w:t>
      </w:r>
      <w:r w:rsidR="00475673" w:rsidRPr="003954D9">
        <w:t xml:space="preserve"> (52 procent)</w:t>
      </w:r>
      <w:r w:rsidRPr="003954D9">
        <w:t xml:space="preserve">, vid 25 </w:t>
      </w:r>
      <w:r w:rsidR="00475673" w:rsidRPr="003954D9">
        <w:t>procent</w:t>
      </w:r>
      <w:r w:rsidRPr="003954D9">
        <w:t xml:space="preserve"> är andelen </w:t>
      </w:r>
      <w:r w:rsidR="00475673" w:rsidRPr="003954D9">
        <w:t xml:space="preserve">något mindre (40 procent) </w:t>
      </w:r>
      <w:r w:rsidRPr="003954D9">
        <w:t xml:space="preserve">och vid 5 </w:t>
      </w:r>
      <w:r w:rsidR="00475673" w:rsidRPr="003954D9">
        <w:t>procent</w:t>
      </w:r>
      <w:r w:rsidRPr="003954D9">
        <w:t xml:space="preserve"> </w:t>
      </w:r>
      <w:r w:rsidR="00475673" w:rsidRPr="003954D9">
        <w:t>en fjärdedel (</w:t>
      </w:r>
      <w:r w:rsidRPr="003954D9">
        <w:t>27 procent</w:t>
      </w:r>
      <w:r w:rsidR="00475673" w:rsidRPr="003954D9">
        <w:t>)</w:t>
      </w:r>
      <w:r w:rsidRPr="003954D9">
        <w:t xml:space="preserve">. Att andelen är så hög </w:t>
      </w:r>
      <w:r w:rsidR="00475673" w:rsidRPr="003954D9">
        <w:t xml:space="preserve">även </w:t>
      </w:r>
      <w:r w:rsidRPr="003954D9">
        <w:t xml:space="preserve">vid en höjning på 5 </w:t>
      </w:r>
      <w:r w:rsidR="00475673" w:rsidRPr="003954D9">
        <w:t>procent</w:t>
      </w:r>
      <w:r w:rsidRPr="003954D9">
        <w:t xml:space="preserve"> beror på att 24 procent av hushållen i den här gruppen redan idag befinner sig i riskzonen. I den här undersökningen består gruppen av 1 845 hushåll</w:t>
      </w:r>
      <w:r w:rsidR="00A459AB" w:rsidRPr="003954D9">
        <w:t xml:space="preserve"> eller 5 358 personer</w:t>
      </w:r>
      <w:r w:rsidRPr="003954D9">
        <w:t>.</w:t>
      </w:r>
    </w:p>
    <w:p w14:paraId="6B72C9BC" w14:textId="082265E1" w:rsidR="004E2215" w:rsidRPr="003954D9" w:rsidRDefault="00DF572C" w:rsidP="00CE0196">
      <w:r w:rsidRPr="003954D9">
        <w:rPr>
          <w:i/>
        </w:rPr>
        <w:t xml:space="preserve">Ensamboende över 65 år: </w:t>
      </w:r>
      <w:r w:rsidR="007C0B17" w:rsidRPr="003954D9">
        <w:t xml:space="preserve">Vid en hyreshöjning på 50 </w:t>
      </w:r>
      <w:r w:rsidR="00475673" w:rsidRPr="003954D9">
        <w:t>procent</w:t>
      </w:r>
      <w:r w:rsidR="007C0B17" w:rsidRPr="003954D9">
        <w:t xml:space="preserve"> befinner sig </w:t>
      </w:r>
      <w:r w:rsidR="00475673" w:rsidRPr="003954D9">
        <w:t>over hälften</w:t>
      </w:r>
      <w:r w:rsidR="007C0B17" w:rsidRPr="003954D9">
        <w:t xml:space="preserve"> av </w:t>
      </w:r>
      <w:r w:rsidRPr="003954D9">
        <w:t xml:space="preserve">gruppen </w:t>
      </w:r>
      <w:r w:rsidR="007C0B17" w:rsidRPr="003954D9">
        <w:t>i riskzonen</w:t>
      </w:r>
      <w:r w:rsidR="00475673" w:rsidRPr="003954D9">
        <w:t xml:space="preserve"> (56 procent)</w:t>
      </w:r>
      <w:r w:rsidR="007C0B17" w:rsidRPr="003954D9">
        <w:t xml:space="preserve">, vid 25 </w:t>
      </w:r>
      <w:r w:rsidR="00475673" w:rsidRPr="003954D9">
        <w:t>procent</w:t>
      </w:r>
      <w:r w:rsidR="007C0B17" w:rsidRPr="003954D9">
        <w:t xml:space="preserve"> </w:t>
      </w:r>
      <w:r w:rsidR="00475673" w:rsidRPr="003954D9">
        <w:t>drygt en fjärdedel (</w:t>
      </w:r>
      <w:r w:rsidR="007C0B17" w:rsidRPr="003954D9">
        <w:t>29 procent</w:t>
      </w:r>
      <w:r w:rsidR="00475673" w:rsidRPr="003954D9">
        <w:t>)</w:t>
      </w:r>
      <w:r w:rsidR="007C0B17" w:rsidRPr="003954D9">
        <w:t xml:space="preserve"> och vid 5 </w:t>
      </w:r>
      <w:r w:rsidR="00475673" w:rsidRPr="003954D9">
        <w:t>procent</w:t>
      </w:r>
      <w:r w:rsidR="007C0B17" w:rsidRPr="003954D9">
        <w:t xml:space="preserve"> är andelen </w:t>
      </w:r>
      <w:r w:rsidR="00475673" w:rsidRPr="003954D9">
        <w:t>drygt en tiondel (</w:t>
      </w:r>
      <w:r w:rsidR="007C0B17" w:rsidRPr="003954D9">
        <w:t>12 procent</w:t>
      </w:r>
      <w:r w:rsidR="00475673" w:rsidRPr="003954D9">
        <w:t>)</w:t>
      </w:r>
      <w:r w:rsidR="007C0B17" w:rsidRPr="003954D9">
        <w:t xml:space="preserve">. Idag befinner sig 9 procent av hushållen i riskzonen. I den här undersökningen består gruppen av 3 006 personer och </w:t>
      </w:r>
      <w:r w:rsidR="00B42722">
        <w:t>den</w:t>
      </w:r>
      <w:r w:rsidRPr="003954D9">
        <w:t xml:space="preserve"> </w:t>
      </w:r>
      <w:r w:rsidR="007C0B17" w:rsidRPr="003954D9">
        <w:t xml:space="preserve">är den näst största hushållsgruppen.  </w:t>
      </w:r>
    </w:p>
    <w:p w14:paraId="25CEC7F2" w14:textId="4AD5ADA5" w:rsidR="004E2215" w:rsidRPr="003954D9" w:rsidRDefault="00DF572C" w:rsidP="007C0B17">
      <w:r w:rsidRPr="003954D9">
        <w:rPr>
          <w:i/>
        </w:rPr>
        <w:t>De stora barnfamiljerna:</w:t>
      </w:r>
      <w:r w:rsidRPr="003954D9">
        <w:t xml:space="preserve"> </w:t>
      </w:r>
      <w:r w:rsidR="008C5ECF" w:rsidRPr="003954D9">
        <w:t xml:space="preserve">Vid en hyreshöjning på 50 </w:t>
      </w:r>
      <w:r w:rsidR="00475673" w:rsidRPr="003954D9">
        <w:t>procent</w:t>
      </w:r>
      <w:r w:rsidR="008C5ECF" w:rsidRPr="003954D9">
        <w:t xml:space="preserve"> befinner sig</w:t>
      </w:r>
      <w:r w:rsidR="00475673" w:rsidRPr="003954D9">
        <w:t xml:space="preserve"> nära hälften </w:t>
      </w:r>
      <w:r w:rsidR="008C5ECF" w:rsidRPr="003954D9">
        <w:t xml:space="preserve">av </w:t>
      </w:r>
      <w:r w:rsidRPr="003954D9">
        <w:t xml:space="preserve">gruppen </w:t>
      </w:r>
      <w:r w:rsidR="008C5ECF" w:rsidRPr="003954D9">
        <w:t>i riskzonen</w:t>
      </w:r>
      <w:r w:rsidR="00475673" w:rsidRPr="003954D9">
        <w:t xml:space="preserve"> (43 procent),</w:t>
      </w:r>
      <w:r w:rsidR="008C5ECF" w:rsidRPr="003954D9">
        <w:t xml:space="preserve"> vid 25 </w:t>
      </w:r>
      <w:r w:rsidR="00475673" w:rsidRPr="003954D9">
        <w:t>procent</w:t>
      </w:r>
      <w:r w:rsidR="008C5ECF" w:rsidRPr="003954D9">
        <w:t xml:space="preserve"> </w:t>
      </w:r>
      <w:r w:rsidR="00475673" w:rsidRPr="003954D9">
        <w:t>en tredjedel (</w:t>
      </w:r>
      <w:r w:rsidR="008C5ECF" w:rsidRPr="003954D9">
        <w:t>30 procent</w:t>
      </w:r>
      <w:r w:rsidR="00475673" w:rsidRPr="003954D9">
        <w:t>)</w:t>
      </w:r>
      <w:r w:rsidR="008C5ECF" w:rsidRPr="003954D9">
        <w:t xml:space="preserve"> och vid 5 </w:t>
      </w:r>
      <w:r w:rsidR="00475673" w:rsidRPr="003954D9">
        <w:t>procent</w:t>
      </w:r>
      <w:r w:rsidR="008C5ECF" w:rsidRPr="003954D9">
        <w:t xml:space="preserve"> </w:t>
      </w:r>
      <w:r w:rsidR="00475673" w:rsidRPr="003954D9">
        <w:t xml:space="preserve">en </w:t>
      </w:r>
      <w:r w:rsidR="00D13868" w:rsidRPr="003954D9">
        <w:t>fjärd</w:t>
      </w:r>
      <w:r w:rsidR="00475673" w:rsidRPr="003954D9">
        <w:t>edel (</w:t>
      </w:r>
      <w:r w:rsidR="008C5ECF" w:rsidRPr="003954D9">
        <w:t>23 procent</w:t>
      </w:r>
      <w:r w:rsidR="00475673" w:rsidRPr="003954D9">
        <w:t>)</w:t>
      </w:r>
      <w:r w:rsidR="008C5ECF" w:rsidRPr="003954D9">
        <w:t xml:space="preserve">. Att andelen är så hög vid en höjning på 5 </w:t>
      </w:r>
      <w:r w:rsidR="00475673" w:rsidRPr="003954D9">
        <w:t>procent</w:t>
      </w:r>
      <w:r w:rsidR="008C5ECF" w:rsidRPr="003954D9">
        <w:t xml:space="preserve"> beror på att 21 procent av hushållen i den här gruppen redan idag befinner sig i riskzonen. </w:t>
      </w:r>
      <w:r w:rsidR="007C0B17" w:rsidRPr="003954D9">
        <w:t xml:space="preserve">I den här undersökningen består </w:t>
      </w:r>
      <w:r w:rsidRPr="003954D9">
        <w:t>gruppen</w:t>
      </w:r>
      <w:r w:rsidR="007C0B17" w:rsidRPr="003954D9">
        <w:t xml:space="preserve"> av </w:t>
      </w:r>
      <w:r w:rsidR="00834EDE" w:rsidRPr="003954D9">
        <w:t xml:space="preserve">ett mindre antal </w:t>
      </w:r>
      <w:r w:rsidR="007C0B17" w:rsidRPr="003954D9">
        <w:t>hushåll</w:t>
      </w:r>
      <w:r w:rsidR="00834EDE" w:rsidRPr="003954D9">
        <w:t xml:space="preserve"> – 747</w:t>
      </w:r>
      <w:r w:rsidR="008B74C6">
        <w:t xml:space="preserve"> – men av </w:t>
      </w:r>
      <w:r w:rsidR="008B74C6" w:rsidRPr="008B74C6">
        <w:t>4 243</w:t>
      </w:r>
      <w:r w:rsidR="008B74C6">
        <w:t xml:space="preserve"> personer</w:t>
      </w:r>
      <w:r w:rsidR="007C0B17" w:rsidRPr="003954D9">
        <w:t xml:space="preserve">. </w:t>
      </w:r>
    </w:p>
    <w:p w14:paraId="08D94B03" w14:textId="23432DC2" w:rsidR="004E2215" w:rsidRPr="003954D9" w:rsidRDefault="007C0B17" w:rsidP="00930DC8">
      <w:r w:rsidRPr="003954D9">
        <w:t xml:space="preserve">Den största hushållsgruppen är </w:t>
      </w:r>
      <w:r w:rsidRPr="003954D9">
        <w:rPr>
          <w:i/>
        </w:rPr>
        <w:t xml:space="preserve">ensamboende utan barn </w:t>
      </w:r>
      <w:r w:rsidR="00365C66" w:rsidRPr="003954D9">
        <w:rPr>
          <w:i/>
        </w:rPr>
        <w:t>18–64</w:t>
      </w:r>
      <w:r w:rsidRPr="003954D9">
        <w:t xml:space="preserve"> år och i den här undersökningen är de 7 495 perso</w:t>
      </w:r>
      <w:r w:rsidR="00DF572C" w:rsidRPr="003954D9">
        <w:t xml:space="preserve">ner eller vart tredje hushåll. </w:t>
      </w:r>
      <w:r w:rsidRPr="003954D9">
        <w:t xml:space="preserve">Vid en hyreshöjning på 50 </w:t>
      </w:r>
      <w:r w:rsidR="00475673" w:rsidRPr="003954D9">
        <w:t>procent</w:t>
      </w:r>
      <w:r w:rsidRPr="003954D9">
        <w:t xml:space="preserve"> befinner sig </w:t>
      </w:r>
      <w:r w:rsidR="00475673" w:rsidRPr="003954D9">
        <w:t xml:space="preserve">nära hälften </w:t>
      </w:r>
      <w:r w:rsidRPr="003954D9">
        <w:t>av gruppen i riskzonen</w:t>
      </w:r>
      <w:r w:rsidR="00475673" w:rsidRPr="003954D9">
        <w:t xml:space="preserve"> (40 procent)</w:t>
      </w:r>
      <w:r w:rsidRPr="003954D9">
        <w:t xml:space="preserve">, vid 25 </w:t>
      </w:r>
      <w:r w:rsidR="00475673" w:rsidRPr="003954D9">
        <w:t>procent</w:t>
      </w:r>
      <w:r w:rsidRPr="003954D9">
        <w:t xml:space="preserve"> </w:t>
      </w:r>
      <w:r w:rsidR="00475673" w:rsidRPr="003954D9">
        <w:t>en tredjedel (</w:t>
      </w:r>
      <w:r w:rsidRPr="003954D9">
        <w:t>29 procent</w:t>
      </w:r>
      <w:r w:rsidR="00475673" w:rsidRPr="003954D9">
        <w:t>)</w:t>
      </w:r>
      <w:r w:rsidRPr="003954D9">
        <w:t xml:space="preserve"> och vid 5 </w:t>
      </w:r>
      <w:r w:rsidR="00475673" w:rsidRPr="003954D9">
        <w:t>procent</w:t>
      </w:r>
      <w:r w:rsidRPr="003954D9">
        <w:t xml:space="preserve"> </w:t>
      </w:r>
      <w:r w:rsidR="00475673" w:rsidRPr="003954D9">
        <w:t>en femtedel (</w:t>
      </w:r>
      <w:r w:rsidRPr="003954D9">
        <w:t>21 procent</w:t>
      </w:r>
      <w:r w:rsidR="00475673" w:rsidRPr="003954D9">
        <w:t>)</w:t>
      </w:r>
      <w:r w:rsidRPr="003954D9">
        <w:t xml:space="preserve">. </w:t>
      </w:r>
      <w:r w:rsidR="00475673" w:rsidRPr="003954D9">
        <w:t xml:space="preserve">I den här gruppen befinner sig redan </w:t>
      </w:r>
      <w:r w:rsidR="008B74C6">
        <w:t xml:space="preserve">idag </w:t>
      </w:r>
      <w:r w:rsidRPr="003954D9">
        <w:t xml:space="preserve">19 procent av hushållen i riskzonen. </w:t>
      </w:r>
    </w:p>
    <w:p w14:paraId="18003A4D" w14:textId="34661C28" w:rsidR="00523689" w:rsidRPr="003954D9" w:rsidRDefault="00523689" w:rsidP="00930DC8">
      <w:r w:rsidRPr="003954D9">
        <w:t xml:space="preserve">Andra förhållandevis stora grupper är </w:t>
      </w:r>
      <w:r w:rsidRPr="003954D9">
        <w:rPr>
          <w:i/>
        </w:rPr>
        <w:t>övriga hushåll med barn</w:t>
      </w:r>
      <w:r w:rsidRPr="003954D9">
        <w:t xml:space="preserve"> </w:t>
      </w:r>
      <w:r w:rsidR="00047267" w:rsidRPr="003954D9">
        <w:t>(fler än två v</w:t>
      </w:r>
      <w:r w:rsidR="00A01674" w:rsidRPr="003954D9">
        <w:t xml:space="preserve">uxna – 2 677 hushåll) och </w:t>
      </w:r>
      <w:r w:rsidR="00A01674" w:rsidRPr="003954D9">
        <w:rPr>
          <w:i/>
        </w:rPr>
        <w:t>samboende</w:t>
      </w:r>
      <w:r w:rsidR="00047267" w:rsidRPr="003954D9">
        <w:rPr>
          <w:i/>
        </w:rPr>
        <w:t xml:space="preserve"> utan barn</w:t>
      </w:r>
      <w:r w:rsidR="00047267" w:rsidRPr="003954D9">
        <w:t xml:space="preserve"> </w:t>
      </w:r>
      <w:r w:rsidR="00365C66" w:rsidRPr="003954D9">
        <w:rPr>
          <w:i/>
        </w:rPr>
        <w:t>18–64</w:t>
      </w:r>
      <w:r w:rsidR="00047267" w:rsidRPr="003954D9">
        <w:rPr>
          <w:i/>
        </w:rPr>
        <w:t xml:space="preserve"> år</w:t>
      </w:r>
      <w:r w:rsidR="00047267" w:rsidRPr="003954D9">
        <w:t xml:space="preserve"> (2 286 hushåll). De kommer lättast undan. Vid en hyreshöjning på 50 procent hamnar </w:t>
      </w:r>
      <w:r w:rsidR="00D86E84" w:rsidRPr="003954D9">
        <w:t xml:space="preserve">knappt en femtedel </w:t>
      </w:r>
      <w:r w:rsidR="00047267" w:rsidRPr="003954D9">
        <w:t>av dessa hushåll i riskzonen</w:t>
      </w:r>
      <w:r w:rsidR="00365C66">
        <w:t xml:space="preserve"> </w:t>
      </w:r>
      <w:r w:rsidR="00D86E84" w:rsidRPr="003954D9">
        <w:t>(17 respektive 16 procent)</w:t>
      </w:r>
      <w:r w:rsidR="00834EDE" w:rsidRPr="003954D9">
        <w:t xml:space="preserve">, sammantaget cirka 800 hushåll. </w:t>
      </w:r>
    </w:p>
    <w:p w14:paraId="04ED537A" w14:textId="4D87B812" w:rsidR="008D711B" w:rsidRPr="003954D9" w:rsidRDefault="00D86E84" w:rsidP="00930DC8">
      <w:r w:rsidRPr="003954D9">
        <w:t xml:space="preserve">Eftersom ensamboende utan barn </w:t>
      </w:r>
      <w:r w:rsidR="00365C66" w:rsidRPr="003954D9">
        <w:t>18–64</w:t>
      </w:r>
      <w:r w:rsidRPr="003954D9">
        <w:t xml:space="preserve"> år </w:t>
      </w:r>
      <w:r w:rsidR="008B74C6" w:rsidRPr="003954D9">
        <w:t xml:space="preserve">är den största hushållsgruppen i undersökningen </w:t>
      </w:r>
      <w:r w:rsidRPr="003954D9">
        <w:t xml:space="preserve">– 7 495 personer </w:t>
      </w:r>
      <w:r w:rsidR="008B74C6">
        <w:t xml:space="preserve">– </w:t>
      </w:r>
      <w:r w:rsidRPr="003954D9">
        <w:t xml:space="preserve">är det också i denna grupp det största antalet drabbade hushåll återfinns. </w:t>
      </w:r>
      <w:r w:rsidRPr="003954D9">
        <w:lastRenderedPageBreak/>
        <w:t xml:space="preserve">Antalsmässigt </w:t>
      </w:r>
      <w:r w:rsidR="008D711B" w:rsidRPr="003954D9">
        <w:t xml:space="preserve">följer </w:t>
      </w:r>
      <w:r w:rsidRPr="003954D9">
        <w:t xml:space="preserve">sedan </w:t>
      </w:r>
      <w:r w:rsidR="008D711B" w:rsidRPr="003954D9">
        <w:t xml:space="preserve">ensamboende utan barn 65 år och äldre och ensamstående med barn </w:t>
      </w:r>
      <w:r w:rsidR="00365C66" w:rsidRPr="003954D9">
        <w:t>0–19</w:t>
      </w:r>
      <w:r w:rsidR="008D711B" w:rsidRPr="003954D9">
        <w:t xml:space="preserve"> år. </w:t>
      </w:r>
      <w:r w:rsidR="0065115E">
        <w:t>Se diagram 5:1 och 5:2.</w:t>
      </w:r>
    </w:p>
    <w:p w14:paraId="31B0861A" w14:textId="77777777" w:rsidR="005B78DB" w:rsidRDefault="00D87ACE" w:rsidP="00B12933">
      <w:pPr>
        <w:pStyle w:val="Rubrik5"/>
        <w:rPr>
          <w:lang w:eastAsia="en-US"/>
        </w:rPr>
      </w:pPr>
      <w:r w:rsidRPr="003954D9">
        <w:rPr>
          <w:lang w:eastAsia="en-US"/>
        </w:rPr>
        <w:t>Diagram 5</w:t>
      </w:r>
      <w:r w:rsidR="00306924" w:rsidRPr="003954D9">
        <w:rPr>
          <w:lang w:eastAsia="en-US"/>
        </w:rPr>
        <w:t>:1</w:t>
      </w:r>
      <w:r w:rsidR="00AC59C5" w:rsidRPr="003954D9">
        <w:rPr>
          <w:lang w:eastAsia="en-US"/>
        </w:rPr>
        <w:tab/>
      </w:r>
      <w:r w:rsidR="00AC59C5" w:rsidRPr="003954D9">
        <w:rPr>
          <w:lang w:eastAsia="en-US"/>
        </w:rPr>
        <w:tab/>
      </w:r>
      <w:r w:rsidR="00AC59C5" w:rsidRPr="003954D9">
        <w:rPr>
          <w:lang w:eastAsia="en-US"/>
        </w:rPr>
        <w:tab/>
      </w:r>
      <w:r w:rsidR="00AC59C5" w:rsidRPr="003954D9">
        <w:rPr>
          <w:lang w:eastAsia="en-US"/>
        </w:rPr>
        <w:tab/>
      </w:r>
    </w:p>
    <w:p w14:paraId="232FDCA1" w14:textId="65C0AD55" w:rsidR="005B78DB" w:rsidRDefault="00412299" w:rsidP="005B78DB">
      <w:pPr>
        <w:rPr>
          <w:lang w:eastAsia="en-US"/>
        </w:rPr>
      </w:pPr>
      <w:r w:rsidRPr="00412299">
        <w:rPr>
          <w:noProof/>
        </w:rPr>
        <w:drawing>
          <wp:inline distT="0" distB="0" distL="0" distR="0" wp14:anchorId="1A905FF8" wp14:editId="297E1A38">
            <wp:extent cx="4152900" cy="54292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52900" cy="5429250"/>
                    </a:xfrm>
                    <a:prstGeom prst="rect">
                      <a:avLst/>
                    </a:prstGeom>
                    <a:noFill/>
                    <a:ln>
                      <a:noFill/>
                    </a:ln>
                  </pic:spPr>
                </pic:pic>
              </a:graphicData>
            </a:graphic>
          </wp:inline>
        </w:drawing>
      </w:r>
    </w:p>
    <w:p w14:paraId="1BA9183D" w14:textId="5CDCF1AA" w:rsidR="00913613" w:rsidRPr="003954D9" w:rsidRDefault="00AC59C5" w:rsidP="00B12933">
      <w:pPr>
        <w:pStyle w:val="Rubrik5"/>
        <w:rPr>
          <w:b/>
          <w:lang w:eastAsia="en-US"/>
        </w:rPr>
      </w:pPr>
      <w:r w:rsidRPr="003954D9">
        <w:rPr>
          <w:lang w:eastAsia="en-US"/>
        </w:rPr>
        <w:lastRenderedPageBreak/>
        <w:t xml:space="preserve">Diagram </w:t>
      </w:r>
      <w:r w:rsidR="00306924" w:rsidRPr="003954D9">
        <w:rPr>
          <w:lang w:eastAsia="en-US"/>
        </w:rPr>
        <w:t>5:2</w:t>
      </w:r>
    </w:p>
    <w:p w14:paraId="5CF1BE81" w14:textId="6635A46C" w:rsidR="00CD1413" w:rsidRPr="003954D9" w:rsidRDefault="00412299" w:rsidP="00CE0196">
      <w:r w:rsidRPr="00412299">
        <w:rPr>
          <w:noProof/>
        </w:rPr>
        <w:drawing>
          <wp:inline distT="0" distB="0" distL="0" distR="0" wp14:anchorId="1769FD02" wp14:editId="784ABCB0">
            <wp:extent cx="4191000" cy="5438775"/>
            <wp:effectExtent l="0" t="0" r="0"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0" cy="5438775"/>
                    </a:xfrm>
                    <a:prstGeom prst="rect">
                      <a:avLst/>
                    </a:prstGeom>
                    <a:noFill/>
                    <a:ln>
                      <a:noFill/>
                    </a:ln>
                  </pic:spPr>
                </pic:pic>
              </a:graphicData>
            </a:graphic>
          </wp:inline>
        </w:drawing>
      </w:r>
    </w:p>
    <w:p w14:paraId="12BF1E5B" w14:textId="78FEF221" w:rsidR="00A01674" w:rsidRPr="003954D9" w:rsidRDefault="00A01674" w:rsidP="00A47BC7"/>
    <w:p w14:paraId="48FC4A79" w14:textId="40C9646F" w:rsidR="00A01674" w:rsidRPr="003954D9" w:rsidRDefault="00A01674" w:rsidP="00540A4D">
      <w:pPr>
        <w:pStyle w:val="Rubrik3"/>
      </w:pPr>
      <w:bookmarkStart w:id="120" w:name="_Toc463184409"/>
      <w:bookmarkStart w:id="121" w:name="_Toc464828414"/>
      <w:r w:rsidRPr="003954D9">
        <w:t>Hushållstyper och kön</w:t>
      </w:r>
      <w:bookmarkEnd w:id="120"/>
      <w:bookmarkEnd w:id="121"/>
      <w:r w:rsidR="001A593A" w:rsidRPr="003954D9">
        <w:t xml:space="preserve"> </w:t>
      </w:r>
    </w:p>
    <w:p w14:paraId="6FA9894F" w14:textId="6AAD6413" w:rsidR="00D91985" w:rsidRPr="003954D9" w:rsidRDefault="005B39D9" w:rsidP="00A47BC7">
      <w:pPr>
        <w:rPr>
          <w:lang w:eastAsia="en-US"/>
        </w:rPr>
      </w:pPr>
      <w:r w:rsidRPr="003954D9">
        <w:rPr>
          <w:lang w:eastAsia="en-US"/>
        </w:rPr>
        <w:t>K</w:t>
      </w:r>
      <w:r w:rsidR="00B05D25" w:rsidRPr="003954D9">
        <w:rPr>
          <w:lang w:eastAsia="en-US"/>
        </w:rPr>
        <w:t xml:space="preserve">vinnorna drabbas hårdare än männen av hyreshöjningar på 5 </w:t>
      </w:r>
      <w:r w:rsidR="00475673" w:rsidRPr="003954D9">
        <w:rPr>
          <w:lang w:eastAsia="en-US"/>
        </w:rPr>
        <w:t>procent</w:t>
      </w:r>
      <w:r w:rsidR="00B05D25" w:rsidRPr="003954D9">
        <w:rPr>
          <w:lang w:eastAsia="en-US"/>
        </w:rPr>
        <w:t xml:space="preserve">, 25 </w:t>
      </w:r>
      <w:r w:rsidR="00475673" w:rsidRPr="003954D9">
        <w:rPr>
          <w:lang w:eastAsia="en-US"/>
        </w:rPr>
        <w:t>procent</w:t>
      </w:r>
      <w:r w:rsidR="00B05D25" w:rsidRPr="003954D9">
        <w:rPr>
          <w:lang w:eastAsia="en-US"/>
        </w:rPr>
        <w:t xml:space="preserve"> och 50 procent. Det gäller särskilt för ensamstående </w:t>
      </w:r>
      <w:r w:rsidR="00DF572C" w:rsidRPr="003954D9">
        <w:rPr>
          <w:lang w:eastAsia="en-US"/>
        </w:rPr>
        <w:t xml:space="preserve">kvinnor </w:t>
      </w:r>
      <w:r w:rsidR="00B05D25" w:rsidRPr="003954D9">
        <w:rPr>
          <w:lang w:eastAsia="en-US"/>
        </w:rPr>
        <w:t xml:space="preserve">med barn och ensamboende </w:t>
      </w:r>
      <w:r w:rsidR="00DF572C" w:rsidRPr="003954D9">
        <w:rPr>
          <w:lang w:eastAsia="en-US"/>
        </w:rPr>
        <w:t xml:space="preserve">kvinnor </w:t>
      </w:r>
      <w:r w:rsidR="00B05D25" w:rsidRPr="003954D9">
        <w:rPr>
          <w:lang w:eastAsia="en-US"/>
        </w:rPr>
        <w:t>äldre än 65 år.  I den senare gruppen kommer 64 procent av hushållen att ligga i riskzonen vid en hyreshöjning på 50 procent</w:t>
      </w:r>
      <w:r w:rsidR="00D13868" w:rsidRPr="003954D9">
        <w:rPr>
          <w:lang w:eastAsia="en-US"/>
        </w:rPr>
        <w:t>,</w:t>
      </w:r>
      <w:r w:rsidR="00B05D25" w:rsidRPr="003954D9">
        <w:rPr>
          <w:lang w:eastAsia="en-US"/>
        </w:rPr>
        <w:t xml:space="preserve"> vilket är en ökning på 54 procentenheter jämfört med idag</w:t>
      </w:r>
      <w:r w:rsidR="00D91985" w:rsidRPr="003954D9">
        <w:rPr>
          <w:lang w:eastAsia="en-US"/>
        </w:rPr>
        <w:t xml:space="preserve"> och en betydligt större andel än för männen (40 procent)</w:t>
      </w:r>
      <w:r w:rsidR="00B05D25" w:rsidRPr="003954D9">
        <w:rPr>
          <w:lang w:eastAsia="en-US"/>
        </w:rPr>
        <w:t xml:space="preserve">. </w:t>
      </w:r>
      <w:r w:rsidR="00D91985" w:rsidRPr="003954D9">
        <w:rPr>
          <w:lang w:eastAsia="en-US"/>
        </w:rPr>
        <w:t xml:space="preserve">Det rör sig här sannolikt om änkor med låg pension. </w:t>
      </w:r>
    </w:p>
    <w:p w14:paraId="79B791CE" w14:textId="18E52F6E" w:rsidR="00D87ACE" w:rsidRPr="003954D9" w:rsidRDefault="00D91985" w:rsidP="00A47BC7">
      <w:pPr>
        <w:rPr>
          <w:lang w:eastAsia="en-US"/>
        </w:rPr>
      </w:pPr>
      <w:r w:rsidRPr="003954D9">
        <w:rPr>
          <w:lang w:eastAsia="en-US"/>
        </w:rPr>
        <w:t xml:space="preserve">Det omvända förhållandet gäller för ensamboende utan barn </w:t>
      </w:r>
      <w:r w:rsidR="00365C66" w:rsidRPr="003954D9">
        <w:rPr>
          <w:lang w:eastAsia="en-US"/>
        </w:rPr>
        <w:t>18–64</w:t>
      </w:r>
      <w:r w:rsidRPr="003954D9">
        <w:rPr>
          <w:lang w:eastAsia="en-US"/>
        </w:rPr>
        <w:t xml:space="preserve"> år. Där påverkas männen mer än kvinnorna, även om skillnaderna inte är stora. </w:t>
      </w:r>
    </w:p>
    <w:p w14:paraId="43E25E68" w14:textId="36EA89DB" w:rsidR="001A0F47" w:rsidRPr="003954D9" w:rsidRDefault="001A0F47" w:rsidP="001A0F47">
      <w:r w:rsidRPr="003954D9">
        <w:t xml:space="preserve">Om man ser till situationen idag är mönstret ungefär detsamma men skillnaderna </w:t>
      </w:r>
      <w:r w:rsidR="008B7400">
        <w:t xml:space="preserve">i andel hushåll i riskzonen </w:t>
      </w:r>
      <w:r w:rsidRPr="003954D9">
        <w:t xml:space="preserve">har inte samma storlek som framför allt efter hyreshöjningen på 50 </w:t>
      </w:r>
      <w:r w:rsidR="00475673" w:rsidRPr="003954D9">
        <w:t>procent</w:t>
      </w:r>
      <w:r w:rsidRPr="003954D9">
        <w:t xml:space="preserve">. </w:t>
      </w:r>
      <w:r w:rsidR="00913613" w:rsidRPr="003954D9">
        <w:t>Äve</w:t>
      </w:r>
      <w:r w:rsidR="00897810" w:rsidRPr="003954D9">
        <w:t xml:space="preserve">n det förstärker bilden av att ensamboende </w:t>
      </w:r>
      <w:r w:rsidR="00355317" w:rsidRPr="003954D9">
        <w:t xml:space="preserve">kvinnor </w:t>
      </w:r>
      <w:r w:rsidR="00897810" w:rsidRPr="003954D9">
        <w:t>har sämre ekonomi än ensamboende män.</w:t>
      </w:r>
      <w:r w:rsidR="008B7400">
        <w:t xml:space="preserve"> </w:t>
      </w:r>
    </w:p>
    <w:p w14:paraId="75AADE24" w14:textId="58DF4FDB" w:rsidR="00AF6886" w:rsidRPr="003954D9" w:rsidRDefault="00AF6886" w:rsidP="001A0F47"/>
    <w:p w14:paraId="0A076DC3" w14:textId="44D5400D" w:rsidR="00531529" w:rsidRPr="003954D9" w:rsidRDefault="00F95035" w:rsidP="001A0F47">
      <w:r w:rsidRPr="001405CF">
        <w:t xml:space="preserve">Bland </w:t>
      </w:r>
      <w:r w:rsidR="008B74C6" w:rsidRPr="001405CF">
        <w:t>hushåll</w:t>
      </w:r>
      <w:r w:rsidRPr="001405CF">
        <w:t xml:space="preserve">en </w:t>
      </w:r>
      <w:r w:rsidR="008B74C6" w:rsidRPr="001405CF">
        <w:t xml:space="preserve">med en vuxen </w:t>
      </w:r>
      <w:r w:rsidR="00796E0D" w:rsidRPr="001405CF">
        <w:t xml:space="preserve">är ensamboende män utan </w:t>
      </w:r>
      <w:r w:rsidR="00D86E84" w:rsidRPr="001405CF">
        <w:t xml:space="preserve">barn </w:t>
      </w:r>
      <w:r w:rsidR="00365C66" w:rsidRPr="001405CF">
        <w:t>18–64</w:t>
      </w:r>
      <w:r w:rsidR="00D86E84" w:rsidRPr="001405CF">
        <w:t xml:space="preserve"> år </w:t>
      </w:r>
      <w:r w:rsidR="008B74C6" w:rsidRPr="001405CF">
        <w:t xml:space="preserve">den största gruppen </w:t>
      </w:r>
      <w:r w:rsidR="00D86E84" w:rsidRPr="001405CF">
        <w:t xml:space="preserve">(4 200 </w:t>
      </w:r>
      <w:r w:rsidR="008B74C6" w:rsidRPr="001405CF">
        <w:t>personer</w:t>
      </w:r>
      <w:r w:rsidR="00D86E84" w:rsidRPr="001405CF">
        <w:t>) följd</w:t>
      </w:r>
      <w:r w:rsidR="00796E0D" w:rsidRPr="001405CF">
        <w:t xml:space="preserve"> av ensamboende kvinnor utan barn </w:t>
      </w:r>
      <w:r w:rsidR="00365C66" w:rsidRPr="001405CF">
        <w:t>18–64</w:t>
      </w:r>
      <w:r w:rsidR="00796E0D" w:rsidRPr="001405CF">
        <w:t xml:space="preserve"> år (3 300 </w:t>
      </w:r>
      <w:r w:rsidR="008B74C6" w:rsidRPr="001405CF">
        <w:t>personer</w:t>
      </w:r>
      <w:r w:rsidR="00796E0D" w:rsidRPr="001405CF">
        <w:t>) och ensamboende kvinn</w:t>
      </w:r>
      <w:r w:rsidR="008B74C6" w:rsidRPr="001405CF">
        <w:t>or</w:t>
      </w:r>
      <w:r w:rsidR="00796E0D" w:rsidRPr="001405CF">
        <w:t xml:space="preserve"> utan barn 65 år och äldre (2 000 </w:t>
      </w:r>
      <w:r w:rsidR="008B74C6" w:rsidRPr="001405CF">
        <w:t>personer</w:t>
      </w:r>
      <w:r w:rsidR="00796E0D" w:rsidRPr="001405CF">
        <w:t>). De</w:t>
      </w:r>
      <w:r w:rsidRPr="001405CF">
        <w:t xml:space="preserve">t är också de här </w:t>
      </w:r>
      <w:r w:rsidRPr="001405CF">
        <w:lastRenderedPageBreak/>
        <w:t>grupperna som påverkas mest</w:t>
      </w:r>
      <w:r w:rsidR="008B7400" w:rsidRPr="001405CF">
        <w:t xml:space="preserve"> </w:t>
      </w:r>
      <w:r w:rsidR="00796E0D" w:rsidRPr="001405CF">
        <w:t>vid hyreshöjningar</w:t>
      </w:r>
      <w:r w:rsidR="001405CF" w:rsidRPr="001405CF">
        <w:t xml:space="preserve"> antalsmässigt</w:t>
      </w:r>
      <w:r w:rsidR="00796E0D" w:rsidRPr="001405CF">
        <w:t xml:space="preserve">, med männen </w:t>
      </w:r>
      <w:r w:rsidR="00036E8C" w:rsidRPr="001405CF">
        <w:t>främst.</w:t>
      </w:r>
      <w:r w:rsidR="00DD227A" w:rsidRPr="001405CF">
        <w:t xml:space="preserve"> Se diagram 5:3 och 5:4.</w:t>
      </w:r>
    </w:p>
    <w:p w14:paraId="1261763D" w14:textId="77777777" w:rsidR="00D87ACE" w:rsidRPr="003954D9" w:rsidRDefault="00D87ACE" w:rsidP="00A47BC7">
      <w:pPr>
        <w:rPr>
          <w:lang w:eastAsia="en-US"/>
        </w:rPr>
      </w:pPr>
    </w:p>
    <w:p w14:paraId="5314ECF9" w14:textId="77777777" w:rsidR="007E748F" w:rsidRDefault="007E748F" w:rsidP="007E748F">
      <w:pPr>
        <w:pStyle w:val="Rubrik5"/>
        <w:spacing w:before="0"/>
        <w:rPr>
          <w:lang w:eastAsia="en-US"/>
        </w:rPr>
      </w:pPr>
      <w:r w:rsidRPr="003954D9">
        <w:rPr>
          <w:lang w:eastAsia="en-US"/>
        </w:rPr>
        <w:t>Diagram 5:3</w:t>
      </w:r>
      <w:r w:rsidRPr="003954D9">
        <w:rPr>
          <w:lang w:eastAsia="en-US"/>
        </w:rPr>
        <w:tab/>
      </w:r>
      <w:r w:rsidRPr="003954D9">
        <w:rPr>
          <w:lang w:eastAsia="en-US"/>
        </w:rPr>
        <w:tab/>
      </w:r>
      <w:r w:rsidRPr="003954D9">
        <w:rPr>
          <w:lang w:eastAsia="en-US"/>
        </w:rPr>
        <w:tab/>
        <w:t xml:space="preserve">                  </w:t>
      </w:r>
    </w:p>
    <w:p w14:paraId="64D3E5D8" w14:textId="77777777" w:rsidR="007E748F" w:rsidRDefault="007E748F" w:rsidP="007E748F">
      <w:pPr>
        <w:pStyle w:val="Rubrik5"/>
        <w:spacing w:before="0"/>
        <w:rPr>
          <w:lang w:eastAsia="en-US"/>
        </w:rPr>
      </w:pPr>
      <w:r w:rsidRPr="00F959D5">
        <w:rPr>
          <w:noProof/>
        </w:rPr>
        <w:drawing>
          <wp:inline distT="0" distB="0" distL="0" distR="0" wp14:anchorId="1AB6DA89" wp14:editId="73EA67EC">
            <wp:extent cx="4400550" cy="33718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00550" cy="3371850"/>
                    </a:xfrm>
                    <a:prstGeom prst="rect">
                      <a:avLst/>
                    </a:prstGeom>
                    <a:noFill/>
                    <a:ln>
                      <a:noFill/>
                    </a:ln>
                  </pic:spPr>
                </pic:pic>
              </a:graphicData>
            </a:graphic>
          </wp:inline>
        </w:drawing>
      </w:r>
    </w:p>
    <w:p w14:paraId="3025840F" w14:textId="77777777" w:rsidR="007E748F" w:rsidRDefault="007E748F" w:rsidP="007E748F">
      <w:pPr>
        <w:pStyle w:val="Rubrik5"/>
        <w:spacing w:before="0"/>
        <w:rPr>
          <w:lang w:eastAsia="en-US"/>
        </w:rPr>
      </w:pPr>
    </w:p>
    <w:p w14:paraId="2A47FF34" w14:textId="77777777" w:rsidR="007E748F" w:rsidRPr="003954D9" w:rsidRDefault="007E748F" w:rsidP="007E748F">
      <w:pPr>
        <w:pStyle w:val="Rubrik5"/>
        <w:spacing w:before="0"/>
        <w:rPr>
          <w:lang w:eastAsia="en-US"/>
        </w:rPr>
      </w:pPr>
      <w:r w:rsidRPr="003954D9">
        <w:rPr>
          <w:lang w:eastAsia="en-US"/>
        </w:rPr>
        <w:t>Diagram 5:4</w:t>
      </w:r>
    </w:p>
    <w:p w14:paraId="271639DF" w14:textId="77777777" w:rsidR="007E748F" w:rsidRPr="003954D9" w:rsidRDefault="007E748F" w:rsidP="007E748F">
      <w:pPr>
        <w:rPr>
          <w:lang w:eastAsia="en-US"/>
        </w:rPr>
      </w:pPr>
      <w:r w:rsidRPr="00F959D5">
        <w:rPr>
          <w:noProof/>
        </w:rPr>
        <w:drawing>
          <wp:inline distT="0" distB="0" distL="0" distR="0" wp14:anchorId="02A1C4BF" wp14:editId="1305782E">
            <wp:extent cx="4476750" cy="3381375"/>
            <wp:effectExtent l="0" t="0" r="0"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6750" cy="3381375"/>
                    </a:xfrm>
                    <a:prstGeom prst="rect">
                      <a:avLst/>
                    </a:prstGeom>
                    <a:noFill/>
                    <a:ln>
                      <a:noFill/>
                    </a:ln>
                  </pic:spPr>
                </pic:pic>
              </a:graphicData>
            </a:graphic>
          </wp:inline>
        </w:drawing>
      </w:r>
    </w:p>
    <w:p w14:paraId="5644DADF" w14:textId="0EB6CA92" w:rsidR="001A0F47" w:rsidRPr="003954D9" w:rsidRDefault="001A0F47" w:rsidP="001A0F47">
      <w:pPr>
        <w:rPr>
          <w:b/>
        </w:rPr>
      </w:pPr>
    </w:p>
    <w:p w14:paraId="66F46B37" w14:textId="6717E974" w:rsidR="00A47BC7" w:rsidRPr="003954D9" w:rsidRDefault="00240B37" w:rsidP="00540A4D">
      <w:pPr>
        <w:pStyle w:val="Rubrik3"/>
      </w:pPr>
      <w:bookmarkStart w:id="122" w:name="_Toc463184410"/>
      <w:bookmarkStart w:id="123" w:name="_Toc464828415"/>
      <w:r w:rsidRPr="003954D9">
        <w:t>Hushåll med h</w:t>
      </w:r>
      <w:r w:rsidR="00A01674" w:rsidRPr="003954D9">
        <w:t>emmavarande vuxna barn</w:t>
      </w:r>
      <w:r w:rsidR="00A41BD6" w:rsidRPr="003954D9">
        <w:t xml:space="preserve"> – 50 </w:t>
      </w:r>
      <w:r w:rsidR="00475673" w:rsidRPr="003954D9">
        <w:t>procent</w:t>
      </w:r>
      <w:bookmarkEnd w:id="122"/>
      <w:bookmarkEnd w:id="123"/>
    </w:p>
    <w:p w14:paraId="355823F2" w14:textId="59C3B8EB" w:rsidR="005F3286" w:rsidRPr="003954D9" w:rsidRDefault="005F3286" w:rsidP="00A01674">
      <w:r w:rsidRPr="003954D9">
        <w:t xml:space="preserve">Fem procent av hushållen i undersökningen har </w:t>
      </w:r>
      <w:r w:rsidR="00A47BC7" w:rsidRPr="003954D9">
        <w:t>hemmavarande vuxna barn</w:t>
      </w:r>
      <w:r w:rsidRPr="003954D9">
        <w:t xml:space="preserve"> (</w:t>
      </w:r>
      <w:r w:rsidR="00365C66" w:rsidRPr="003954D9">
        <w:t>20–29</w:t>
      </w:r>
      <w:r w:rsidRPr="003954D9">
        <w:t xml:space="preserve"> år). </w:t>
      </w:r>
      <w:r w:rsidR="002F06B1" w:rsidRPr="003954D9">
        <w:t>De återfinns i flera olika hushållstyper</w:t>
      </w:r>
      <w:r w:rsidR="00F95035">
        <w:t>,</w:t>
      </w:r>
      <w:r w:rsidR="002F06B1" w:rsidRPr="003954D9">
        <w:t xml:space="preserve"> men främst bland övriga hushåll med barn. </w:t>
      </w:r>
      <w:r w:rsidRPr="003954D9">
        <w:t xml:space="preserve">Eftersom hyresgäster generellt sett har lägre inkomster än andra hushåll kan man anta att </w:t>
      </w:r>
      <w:r w:rsidR="00897810" w:rsidRPr="003954D9">
        <w:t>situationen</w:t>
      </w:r>
      <w:r w:rsidRPr="003954D9">
        <w:t xml:space="preserve"> är </w:t>
      </w:r>
      <w:r w:rsidRPr="003954D9">
        <w:lastRenderedPageBreak/>
        <w:t>vanligare i undersökningsgruppen än bland andra hushåll i Göteborg.</w:t>
      </w:r>
      <w:r w:rsidRPr="003954D9">
        <w:rPr>
          <w:rStyle w:val="Fotnotsreferens"/>
        </w:rPr>
        <w:footnoteReference w:id="5"/>
      </w:r>
      <w:r w:rsidRPr="003954D9">
        <w:t xml:space="preserve"> </w:t>
      </w:r>
      <w:r w:rsidR="00DF572C" w:rsidRPr="003954D9">
        <w:t>I a</w:t>
      </w:r>
      <w:r w:rsidRPr="003954D9">
        <w:t xml:space="preserve">ndra upplåtelseformer </w:t>
      </w:r>
      <w:r w:rsidR="00DF572C" w:rsidRPr="003954D9">
        <w:t xml:space="preserve">har föräldrarna i allmänhet högre inkomster och </w:t>
      </w:r>
      <w:r w:rsidRPr="003954D9">
        <w:t xml:space="preserve">kan genom att belåna bostaden hjälpa sina barn till ett eget boende, en möjlighet som är stängd för boende i hyresrätt. Eftersom hyresrätten </w:t>
      </w:r>
      <w:r w:rsidR="00DF572C" w:rsidRPr="003954D9">
        <w:t>skattemässigt</w:t>
      </w:r>
      <w:r w:rsidRPr="003954D9">
        <w:t xml:space="preserve"> är ekonomiskt missgynnad </w:t>
      </w:r>
      <w:r w:rsidR="00DF572C" w:rsidRPr="003954D9">
        <w:t xml:space="preserve">är boendekostnaderna relativt sett högre och de skilda förutsättningarna har dessutom lett till att det </w:t>
      </w:r>
      <w:r w:rsidR="001371A7" w:rsidRPr="003954D9">
        <w:t>finns en stor brist just på hyresrätter</w:t>
      </w:r>
      <w:r w:rsidR="00DF572C" w:rsidRPr="003954D9">
        <w:t xml:space="preserve">. Hyreshushåll </w:t>
      </w:r>
      <w:r w:rsidR="00E66589" w:rsidRPr="003954D9">
        <w:t xml:space="preserve">med </w:t>
      </w:r>
      <w:r w:rsidR="00DF572C" w:rsidRPr="003954D9">
        <w:t>vuxna barn påverkas alltså på flera sätt av den ekonomiskt ogynnsamma situationen för hyresrätten.</w:t>
      </w:r>
      <w:r w:rsidR="00DF572C" w:rsidRPr="003954D9">
        <w:rPr>
          <w:rStyle w:val="Fotnotsreferens"/>
          <w:rFonts w:hint="eastAsia"/>
        </w:rPr>
        <w:footnoteReference w:id="6"/>
      </w:r>
      <w:r w:rsidR="00DF572C" w:rsidRPr="003954D9">
        <w:t xml:space="preserve"> </w:t>
      </w:r>
    </w:p>
    <w:p w14:paraId="64596B80" w14:textId="680F5737" w:rsidR="00A47BC7" w:rsidRPr="003954D9" w:rsidRDefault="001371A7" w:rsidP="001371A7">
      <w:r w:rsidRPr="003954D9">
        <w:t>Samtidigt kan man notera att hushållen med hemmavarande vuxna barn (</w:t>
      </w:r>
      <w:r w:rsidR="00365C66" w:rsidRPr="003954D9">
        <w:t>20–29</w:t>
      </w:r>
      <w:r w:rsidRPr="003954D9">
        <w:t xml:space="preserve"> år) </w:t>
      </w:r>
      <w:r w:rsidR="00A47BC7" w:rsidRPr="003954D9">
        <w:t>klarar sig bättre än många andra hushåll</w:t>
      </w:r>
      <w:r w:rsidRPr="003954D9">
        <w:t xml:space="preserve"> vid en hyreshöjning på 50 </w:t>
      </w:r>
      <w:r w:rsidR="00475673" w:rsidRPr="003954D9">
        <w:t>procent</w:t>
      </w:r>
      <w:r w:rsidR="00A47BC7" w:rsidRPr="003954D9">
        <w:t xml:space="preserve">, </w:t>
      </w:r>
      <w:r w:rsidR="00A01674" w:rsidRPr="003954D9">
        <w:t xml:space="preserve">sannolikt </w:t>
      </w:r>
      <w:r w:rsidRPr="003954D9">
        <w:t xml:space="preserve">en följd av att </w:t>
      </w:r>
      <w:r w:rsidR="00A47BC7" w:rsidRPr="003954D9">
        <w:t xml:space="preserve">det </w:t>
      </w:r>
      <w:r w:rsidR="00E66589" w:rsidRPr="003954D9">
        <w:t xml:space="preserve">ofta </w:t>
      </w:r>
      <w:r w:rsidR="00A47BC7" w:rsidRPr="003954D9">
        <w:t>finns flera inkomster i hushållet. Vart femte av dessa hushåll hamnar i riskzonen, vilken är en ökning med 9 procent</w:t>
      </w:r>
      <w:r w:rsidR="00731D16" w:rsidRPr="003954D9">
        <w:t xml:space="preserve"> jämfört med situationen idag</w:t>
      </w:r>
      <w:r w:rsidR="00A47BC7" w:rsidRPr="003954D9">
        <w:t>.</w:t>
      </w:r>
      <w:r w:rsidR="00DD227A">
        <w:t xml:space="preserve"> Se diagram 5:5 och 5:6.</w:t>
      </w:r>
    </w:p>
    <w:p w14:paraId="1511E69D" w14:textId="77777777" w:rsidR="00DD227A" w:rsidRDefault="00306924" w:rsidP="00306924">
      <w:pPr>
        <w:pStyle w:val="Rubrik5"/>
      </w:pPr>
      <w:r w:rsidRPr="003954D9">
        <w:t>Diagram 5:5</w:t>
      </w:r>
      <w:r w:rsidRPr="003954D9">
        <w:tab/>
      </w:r>
      <w:r w:rsidRPr="003954D9">
        <w:tab/>
      </w:r>
      <w:r w:rsidRPr="003954D9">
        <w:tab/>
        <w:t xml:space="preserve">                   </w:t>
      </w:r>
    </w:p>
    <w:p w14:paraId="75D49570" w14:textId="77777777" w:rsidR="00523800" w:rsidRDefault="00DD227A" w:rsidP="00523800">
      <w:r w:rsidRPr="00DD227A">
        <w:rPr>
          <w:noProof/>
        </w:rPr>
        <w:drawing>
          <wp:inline distT="0" distB="0" distL="0" distR="0" wp14:anchorId="7482AA78" wp14:editId="2C92F646">
            <wp:extent cx="3953482" cy="2200275"/>
            <wp:effectExtent l="0" t="0" r="9525" b="0"/>
            <wp:docPr id="122" name="Bildobjekt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61808" cy="2204909"/>
                    </a:xfrm>
                    <a:prstGeom prst="rect">
                      <a:avLst/>
                    </a:prstGeom>
                    <a:noFill/>
                    <a:ln>
                      <a:noFill/>
                    </a:ln>
                  </pic:spPr>
                </pic:pic>
              </a:graphicData>
            </a:graphic>
          </wp:inline>
        </w:drawing>
      </w:r>
    </w:p>
    <w:p w14:paraId="4AFDD11E" w14:textId="6AA923F0" w:rsidR="00306924" w:rsidRPr="003954D9" w:rsidRDefault="005B413F" w:rsidP="00523800">
      <w:r w:rsidRPr="003954D9">
        <w:t>Diagram 5:6</w:t>
      </w:r>
    </w:p>
    <w:p w14:paraId="557DE9BC" w14:textId="00DDADF1" w:rsidR="00A47BC7" w:rsidRPr="003954D9" w:rsidRDefault="00DD227A" w:rsidP="00A47BC7">
      <w:pPr>
        <w:tabs>
          <w:tab w:val="left" w:pos="3085"/>
          <w:tab w:val="left" w:pos="3970"/>
          <w:tab w:val="left" w:pos="4486"/>
          <w:tab w:val="left" w:pos="5495"/>
          <w:tab w:val="left" w:pos="6487"/>
          <w:tab w:val="left" w:pos="7196"/>
        </w:tabs>
        <w:autoSpaceDE w:val="0"/>
        <w:autoSpaceDN w:val="0"/>
        <w:adjustRightInd w:val="0"/>
        <w:ind w:left="78"/>
        <w:rPr>
          <w:rFonts w:ascii="Calibri" w:eastAsiaTheme="minorHAnsi" w:hAnsi="Calibri" w:cs="Calibri"/>
          <w:color w:val="000000"/>
          <w:sz w:val="22"/>
          <w:szCs w:val="22"/>
          <w:lang w:eastAsia="en-US"/>
        </w:rPr>
      </w:pPr>
      <w:r w:rsidRPr="00DD227A">
        <w:rPr>
          <w:noProof/>
        </w:rPr>
        <w:drawing>
          <wp:inline distT="0" distB="0" distL="0" distR="0" wp14:anchorId="2A15F848" wp14:editId="39C7D355">
            <wp:extent cx="3924300" cy="2167541"/>
            <wp:effectExtent l="0" t="0" r="0" b="4445"/>
            <wp:docPr id="123" name="Bildobjekt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28052" cy="2169613"/>
                    </a:xfrm>
                    <a:prstGeom prst="rect">
                      <a:avLst/>
                    </a:prstGeom>
                    <a:noFill/>
                    <a:ln>
                      <a:noFill/>
                    </a:ln>
                  </pic:spPr>
                </pic:pic>
              </a:graphicData>
            </a:graphic>
          </wp:inline>
        </w:drawing>
      </w:r>
    </w:p>
    <w:p w14:paraId="49BECB21" w14:textId="03C4BE3D" w:rsidR="00D57DB5" w:rsidRPr="003954D9" w:rsidRDefault="002375E3" w:rsidP="00540A4D">
      <w:pPr>
        <w:pStyle w:val="Rubrik2"/>
      </w:pPr>
      <w:bookmarkStart w:id="124" w:name="_Toc463184411"/>
      <w:bookmarkStart w:id="125" w:name="_Toc464828416"/>
      <w:r w:rsidRPr="003954D9">
        <w:t>Hu</w:t>
      </w:r>
      <w:r w:rsidR="00496554" w:rsidRPr="003954D9">
        <w:t>shållstyper i stadsdelarna - e</w:t>
      </w:r>
      <w:r w:rsidR="00D57DB5" w:rsidRPr="003954D9">
        <w:t xml:space="preserve">ffekterna av en hyreshöjning på 50 </w:t>
      </w:r>
      <w:r w:rsidR="00475673" w:rsidRPr="003954D9">
        <w:t>procent</w:t>
      </w:r>
      <w:bookmarkEnd w:id="124"/>
      <w:bookmarkEnd w:id="125"/>
      <w:r w:rsidR="00D57DB5" w:rsidRPr="003954D9">
        <w:t xml:space="preserve"> </w:t>
      </w:r>
    </w:p>
    <w:p w14:paraId="2F2DD7C5" w14:textId="570CA2F5" w:rsidR="00D87ACE" w:rsidRPr="003954D9" w:rsidRDefault="00D87ACE" w:rsidP="00523800">
      <w:pPr>
        <w:pStyle w:val="Rubrik3"/>
        <w:spacing w:before="120"/>
      </w:pPr>
      <w:bookmarkStart w:id="126" w:name="_Toc463184412"/>
      <w:bookmarkStart w:id="127" w:name="_Toc464828417"/>
      <w:r w:rsidRPr="003954D9">
        <w:t xml:space="preserve">Angered </w:t>
      </w:r>
      <w:r w:rsidR="00D57DB5" w:rsidRPr="003954D9">
        <w:t>mot</w:t>
      </w:r>
      <w:r w:rsidRPr="003954D9">
        <w:t xml:space="preserve"> Ö</w:t>
      </w:r>
      <w:r w:rsidR="002243D3" w:rsidRPr="003954D9">
        <w:t>rgryte-</w:t>
      </w:r>
      <w:r w:rsidRPr="003954D9">
        <w:t>Härlanda</w:t>
      </w:r>
      <w:bookmarkEnd w:id="126"/>
      <w:bookmarkEnd w:id="127"/>
    </w:p>
    <w:p w14:paraId="7DD5120A" w14:textId="77125551" w:rsidR="00954F3A" w:rsidRPr="003954D9" w:rsidRDefault="00731D16" w:rsidP="00CC1A5C">
      <w:r w:rsidRPr="003954D9">
        <w:t xml:space="preserve">Hur speciell situationen är i Angered </w:t>
      </w:r>
      <w:r w:rsidR="0061724A" w:rsidRPr="003954D9">
        <w:t xml:space="preserve">och Östra Göteborg </w:t>
      </w:r>
      <w:r w:rsidRPr="003954D9">
        <w:t>framgår än tydligare när statistiken blir</w:t>
      </w:r>
      <w:r w:rsidR="003F3F96" w:rsidRPr="003954D9">
        <w:t xml:space="preserve"> </w:t>
      </w:r>
      <w:r w:rsidRPr="003954D9">
        <w:t xml:space="preserve">mer finfördelad. </w:t>
      </w:r>
      <w:r w:rsidR="0061724A" w:rsidRPr="003954D9">
        <w:t xml:space="preserve">Av de tio olika hushållstyperna </w:t>
      </w:r>
      <w:r w:rsidR="00420515" w:rsidRPr="003954D9">
        <w:t>i undersökningen har Angered det</w:t>
      </w:r>
      <w:r w:rsidR="0061724A" w:rsidRPr="003954D9">
        <w:t xml:space="preserve"> största </w:t>
      </w:r>
      <w:r w:rsidR="00420515" w:rsidRPr="003954D9">
        <w:t>antalet</w:t>
      </w:r>
      <w:r w:rsidR="0061724A" w:rsidRPr="003954D9">
        <w:t xml:space="preserve"> hushåll</w:t>
      </w:r>
      <w:r w:rsidR="00420515" w:rsidRPr="003954D9">
        <w:t>typer</w:t>
      </w:r>
      <w:r w:rsidR="0061724A" w:rsidRPr="003954D9">
        <w:t xml:space="preserve"> i riskzonen </w:t>
      </w:r>
      <w:r w:rsidR="00DF572C" w:rsidRPr="003954D9">
        <w:t>efter</w:t>
      </w:r>
      <w:r w:rsidR="0061724A" w:rsidRPr="003954D9">
        <w:t xml:space="preserve"> en hyreshöjning på 50 </w:t>
      </w:r>
      <w:r w:rsidR="00475673" w:rsidRPr="003954D9">
        <w:t>procent</w:t>
      </w:r>
      <w:r w:rsidR="00420515" w:rsidRPr="003954D9">
        <w:t xml:space="preserve"> med</w:t>
      </w:r>
      <w:r w:rsidR="0061724A" w:rsidRPr="003954D9">
        <w:t xml:space="preserve"> sex </w:t>
      </w:r>
      <w:r w:rsidR="00DF572C" w:rsidRPr="003954D9">
        <w:t xml:space="preserve">hushållstyper </w:t>
      </w:r>
      <w:r w:rsidR="00995FE1">
        <w:lastRenderedPageBreak/>
        <w:t>följt av</w:t>
      </w:r>
      <w:r w:rsidR="0061724A" w:rsidRPr="003954D9">
        <w:t xml:space="preserve"> Östra Göteborg </w:t>
      </w:r>
      <w:r w:rsidR="00420515" w:rsidRPr="003954D9">
        <w:t xml:space="preserve">med </w:t>
      </w:r>
      <w:r w:rsidR="0061724A" w:rsidRPr="003954D9">
        <w:t xml:space="preserve">fyra. </w:t>
      </w:r>
      <w:r w:rsidR="00995FE1">
        <w:t>Högst andel i riskzonen</w:t>
      </w:r>
      <w:r w:rsidR="00CC1A5C" w:rsidRPr="003954D9">
        <w:t xml:space="preserve"> får </w:t>
      </w:r>
      <w:r w:rsidR="0061724A" w:rsidRPr="003954D9">
        <w:t xml:space="preserve">ensamboende </w:t>
      </w:r>
      <w:r w:rsidR="00CC1A5C" w:rsidRPr="003954D9">
        <w:t xml:space="preserve">utan barn </w:t>
      </w:r>
      <w:r w:rsidR="00365C66" w:rsidRPr="003954D9">
        <w:t>65-år</w:t>
      </w:r>
      <w:r w:rsidR="0061724A" w:rsidRPr="003954D9">
        <w:t xml:space="preserve"> i Angered </w:t>
      </w:r>
      <w:r w:rsidR="003F3F96" w:rsidRPr="003954D9">
        <w:t>(</w:t>
      </w:r>
      <w:r w:rsidR="00CC1A5C" w:rsidRPr="003954D9">
        <w:t>71 procent</w:t>
      </w:r>
      <w:r w:rsidR="003F3F96" w:rsidRPr="003954D9">
        <w:t>)</w:t>
      </w:r>
      <w:r w:rsidR="0061724A" w:rsidRPr="003954D9">
        <w:t xml:space="preserve"> följda av ensamstående med barn </w:t>
      </w:r>
      <w:r w:rsidR="00365C66" w:rsidRPr="003954D9">
        <w:t>0–19</w:t>
      </w:r>
      <w:r w:rsidR="0061724A" w:rsidRPr="003954D9">
        <w:t xml:space="preserve"> år </w:t>
      </w:r>
      <w:r w:rsidR="003F3F96" w:rsidRPr="003954D9">
        <w:t>i Angered (</w:t>
      </w:r>
      <w:r w:rsidR="0061724A" w:rsidRPr="003954D9">
        <w:t>6</w:t>
      </w:r>
      <w:r w:rsidR="00450855" w:rsidRPr="003954D9">
        <w:t>3</w:t>
      </w:r>
      <w:r w:rsidR="0061724A" w:rsidRPr="003954D9">
        <w:t xml:space="preserve"> procent</w:t>
      </w:r>
      <w:r w:rsidR="003F3F96" w:rsidRPr="003954D9">
        <w:t>)</w:t>
      </w:r>
      <w:r w:rsidR="0061724A" w:rsidRPr="003954D9">
        <w:t xml:space="preserve"> samt samboende med 3 </w:t>
      </w:r>
      <w:r w:rsidR="00450855" w:rsidRPr="003954D9">
        <w:t xml:space="preserve">och fler </w:t>
      </w:r>
      <w:r w:rsidR="00917A16" w:rsidRPr="003954D9">
        <w:t xml:space="preserve">barn i </w:t>
      </w:r>
      <w:r w:rsidR="003F3F96" w:rsidRPr="003954D9">
        <w:t>Östra Göteborg (5</w:t>
      </w:r>
      <w:r w:rsidR="00450855" w:rsidRPr="003954D9">
        <w:t>5 procent</w:t>
      </w:r>
      <w:r w:rsidR="003F3F96" w:rsidRPr="003954D9">
        <w:t>)</w:t>
      </w:r>
      <w:r w:rsidR="00CC1A5C" w:rsidRPr="003954D9">
        <w:t>.</w:t>
      </w:r>
      <w:r w:rsidR="003F3F96" w:rsidRPr="003954D9">
        <w:t xml:space="preserve"> </w:t>
      </w:r>
    </w:p>
    <w:p w14:paraId="175FC51C" w14:textId="77777777" w:rsidR="00205B1C" w:rsidRPr="003954D9" w:rsidRDefault="00205B1C" w:rsidP="00CC1A5C"/>
    <w:p w14:paraId="3905816E" w14:textId="64001D3C" w:rsidR="003F3F96" w:rsidRPr="003954D9" w:rsidRDefault="00450855" w:rsidP="00CC1A5C">
      <w:r w:rsidRPr="003954D9">
        <w:t xml:space="preserve">Hushållen som klarar sig bäst </w:t>
      </w:r>
      <w:r w:rsidR="00176AF5" w:rsidRPr="003954D9">
        <w:t xml:space="preserve">återfinns samtliga i stadsdelarna Örgryte-Härlanda, </w:t>
      </w:r>
      <w:r w:rsidRPr="003954D9">
        <w:t>Majorna-Linnéstaden</w:t>
      </w:r>
      <w:r w:rsidR="00176AF5" w:rsidRPr="003954D9">
        <w:t xml:space="preserve"> och Centrum</w:t>
      </w:r>
      <w:r w:rsidR="00D87ACE" w:rsidRPr="003954D9">
        <w:t xml:space="preserve">. </w:t>
      </w:r>
      <w:r w:rsidR="00176AF5" w:rsidRPr="003954D9">
        <w:t>Här handlar det om hushåll med och utan barn med två eller fler vuxna i hushållet.</w:t>
      </w:r>
      <w:r w:rsidR="00C33DCC" w:rsidRPr="003954D9">
        <w:t xml:space="preserve"> Se tabell 5:1</w:t>
      </w:r>
      <w:r w:rsidR="00DD227A">
        <w:t>.</w:t>
      </w:r>
    </w:p>
    <w:p w14:paraId="23BBDFEB" w14:textId="5F369044" w:rsidR="00CC1A5C" w:rsidRPr="003954D9" w:rsidRDefault="00D87ACE" w:rsidP="00CC1A5C">
      <w:pPr>
        <w:pStyle w:val="Rubrik5"/>
      </w:pPr>
      <w:r w:rsidRPr="003954D9">
        <w:t xml:space="preserve">Tabell </w:t>
      </w:r>
      <w:r w:rsidR="005B413F" w:rsidRPr="003954D9">
        <w:t>5:1</w:t>
      </w:r>
      <w:r w:rsidR="00CC1A5C" w:rsidRPr="003954D9">
        <w:t>: Andel och antal i riskzonen efter hyreshöjning på 50 procent, hushållstyp och stadsdel</w:t>
      </w:r>
      <w:r w:rsidR="00261572" w:rsidRPr="003954D9">
        <w:rPr>
          <w:rStyle w:val="Fotnotsreferens"/>
        </w:rPr>
        <w:footnoteReference w:id="7"/>
      </w:r>
    </w:p>
    <w:tbl>
      <w:tblPr>
        <w:tblW w:w="997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844"/>
        <w:gridCol w:w="863"/>
        <w:gridCol w:w="824"/>
        <w:gridCol w:w="711"/>
        <w:gridCol w:w="853"/>
        <w:gridCol w:w="852"/>
        <w:gridCol w:w="853"/>
        <w:gridCol w:w="852"/>
        <w:gridCol w:w="853"/>
        <w:gridCol w:w="852"/>
      </w:tblGrid>
      <w:tr w:rsidR="00CC1A5C" w:rsidRPr="003954D9" w14:paraId="4CEBACF5" w14:textId="77777777" w:rsidTr="00817A50">
        <w:trPr>
          <w:trHeight w:val="773"/>
        </w:trPr>
        <w:tc>
          <w:tcPr>
            <w:tcW w:w="1618" w:type="dxa"/>
          </w:tcPr>
          <w:p w14:paraId="798A04B2" w14:textId="77777777" w:rsidR="00CC1A5C" w:rsidRPr="003954D9" w:rsidRDefault="00CC1A5C" w:rsidP="00CC1A5C">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Hushållstyp</w:t>
            </w:r>
          </w:p>
        </w:tc>
        <w:tc>
          <w:tcPr>
            <w:tcW w:w="844" w:type="dxa"/>
          </w:tcPr>
          <w:p w14:paraId="3EE3280F" w14:textId="77777777" w:rsidR="00CC1A5C" w:rsidRPr="003954D9" w:rsidRDefault="00CC1A5C" w:rsidP="00CC1A5C">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63" w:type="dxa"/>
          </w:tcPr>
          <w:p w14:paraId="2B84A9FB" w14:textId="2E00E640" w:rsidR="00CC1A5C" w:rsidRPr="003954D9" w:rsidRDefault="00731D16" w:rsidP="00731D16">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w:t>
            </w:r>
            <w:r w:rsidR="00CC1A5C" w:rsidRPr="003954D9">
              <w:rPr>
                <w:rFonts w:ascii="Calibri" w:eastAsiaTheme="minorHAnsi" w:hAnsi="Calibri" w:cs="Calibri"/>
                <w:b/>
                <w:bCs/>
                <w:color w:val="000000"/>
                <w:sz w:val="16"/>
                <w:szCs w:val="16"/>
                <w:lang w:eastAsia="en-US"/>
              </w:rPr>
              <w:t>Frölunda</w:t>
            </w:r>
            <w:r w:rsidRPr="003954D9">
              <w:rPr>
                <w:rFonts w:ascii="Calibri" w:eastAsiaTheme="minorHAnsi" w:hAnsi="Calibri" w:cs="Calibri"/>
                <w:b/>
                <w:bCs/>
                <w:color w:val="000000"/>
                <w:sz w:val="16"/>
                <w:szCs w:val="16"/>
                <w:lang w:eastAsia="en-US"/>
              </w:rPr>
              <w:t>-</w:t>
            </w:r>
            <w:r w:rsidR="00CC1A5C" w:rsidRPr="003954D9">
              <w:rPr>
                <w:rFonts w:ascii="Calibri" w:eastAsiaTheme="minorHAnsi" w:hAnsi="Calibri" w:cs="Calibri"/>
                <w:b/>
                <w:bCs/>
                <w:color w:val="000000"/>
                <w:sz w:val="16"/>
                <w:szCs w:val="16"/>
                <w:lang w:eastAsia="en-US"/>
              </w:rPr>
              <w:t xml:space="preserve"> Högsbo</w:t>
            </w:r>
          </w:p>
        </w:tc>
        <w:tc>
          <w:tcPr>
            <w:tcW w:w="824" w:type="dxa"/>
          </w:tcPr>
          <w:p w14:paraId="1B79D68E" w14:textId="77777777" w:rsidR="00CC1A5C" w:rsidRPr="003954D9" w:rsidRDefault="00CC1A5C" w:rsidP="00CC1A5C">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11" w:type="dxa"/>
          </w:tcPr>
          <w:p w14:paraId="2C28CD4B" w14:textId="77777777" w:rsidR="00CC1A5C" w:rsidRPr="003954D9" w:rsidRDefault="00CC1A5C" w:rsidP="00CC1A5C">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53" w:type="dxa"/>
          </w:tcPr>
          <w:p w14:paraId="34588991" w14:textId="2D9665ED" w:rsidR="00CC1A5C" w:rsidRPr="003954D9" w:rsidRDefault="00731D16" w:rsidP="00731D16">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 Linné</w:t>
            </w:r>
          </w:p>
        </w:tc>
        <w:tc>
          <w:tcPr>
            <w:tcW w:w="852" w:type="dxa"/>
          </w:tcPr>
          <w:p w14:paraId="43A258EA" w14:textId="77777777" w:rsidR="00CC1A5C" w:rsidRPr="003954D9" w:rsidRDefault="00CC1A5C" w:rsidP="00CC1A5C">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853" w:type="dxa"/>
          </w:tcPr>
          <w:p w14:paraId="4639EFA9" w14:textId="77777777" w:rsidR="00CC1A5C" w:rsidRPr="003954D9" w:rsidRDefault="00CC1A5C" w:rsidP="00CC1A5C">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852" w:type="dxa"/>
          </w:tcPr>
          <w:p w14:paraId="37ABFA64" w14:textId="5FEF2BC6" w:rsidR="00CC1A5C" w:rsidRPr="003954D9" w:rsidRDefault="00CC1A5C" w:rsidP="00731D16">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w:t>
            </w:r>
            <w:r w:rsidR="00731D16" w:rsidRPr="003954D9">
              <w:rPr>
                <w:rFonts w:ascii="Calibri" w:eastAsiaTheme="minorHAnsi" w:hAnsi="Calibri" w:cs="Calibri"/>
                <w:b/>
                <w:bCs/>
                <w:color w:val="000000"/>
                <w:sz w:val="16"/>
                <w:szCs w:val="16"/>
                <w:lang w:eastAsia="en-US"/>
              </w:rPr>
              <w:t>-</w:t>
            </w:r>
            <w:r w:rsidRPr="003954D9">
              <w:rPr>
                <w:rFonts w:ascii="Calibri" w:eastAsiaTheme="minorHAnsi" w:hAnsi="Calibri" w:cs="Calibri"/>
                <w:b/>
                <w:bCs/>
                <w:color w:val="000000"/>
                <w:sz w:val="16"/>
                <w:szCs w:val="16"/>
                <w:lang w:eastAsia="en-US"/>
              </w:rPr>
              <w:t xml:space="preserve"> Härland</w:t>
            </w:r>
            <w:r w:rsidR="00731D16" w:rsidRPr="003954D9">
              <w:rPr>
                <w:rFonts w:ascii="Calibri" w:eastAsiaTheme="minorHAnsi" w:hAnsi="Calibri" w:cs="Calibri"/>
                <w:b/>
                <w:bCs/>
                <w:color w:val="000000"/>
                <w:sz w:val="16"/>
                <w:szCs w:val="16"/>
                <w:lang w:eastAsia="en-US"/>
              </w:rPr>
              <w:t>a</w:t>
            </w:r>
          </w:p>
        </w:tc>
        <w:tc>
          <w:tcPr>
            <w:tcW w:w="853" w:type="dxa"/>
          </w:tcPr>
          <w:p w14:paraId="5BB1998E" w14:textId="77777777" w:rsidR="00CC1A5C" w:rsidRPr="003954D9" w:rsidRDefault="00CC1A5C" w:rsidP="00CC1A5C">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852" w:type="dxa"/>
          </w:tcPr>
          <w:p w14:paraId="475CC483" w14:textId="77777777" w:rsidR="00CC1A5C" w:rsidRPr="003954D9" w:rsidRDefault="00CC1A5C" w:rsidP="00CC1A5C">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CC1A5C" w:rsidRPr="003954D9" w14:paraId="43A80AF0" w14:textId="77777777" w:rsidTr="00176DF0">
        <w:trPr>
          <w:trHeight w:val="227"/>
        </w:trPr>
        <w:tc>
          <w:tcPr>
            <w:tcW w:w="1618" w:type="dxa"/>
          </w:tcPr>
          <w:p w14:paraId="085704E7" w14:textId="399BF145" w:rsidR="00CC1A5C" w:rsidRPr="00DD3DF3" w:rsidRDefault="00CC1A5C" w:rsidP="0061724A">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 xml:space="preserve">Ensambo u. barn </w:t>
            </w:r>
            <w:r w:rsidR="00365C66" w:rsidRPr="00DD3DF3">
              <w:rPr>
                <w:rFonts w:ascii="Calibri" w:eastAsiaTheme="minorHAnsi" w:hAnsi="Calibri" w:cs="Calibri"/>
                <w:b/>
                <w:color w:val="000000"/>
                <w:sz w:val="16"/>
                <w:szCs w:val="16"/>
                <w:lang w:eastAsia="en-US"/>
              </w:rPr>
              <w:t>18–64</w:t>
            </w:r>
            <w:r w:rsidRPr="00DD3DF3">
              <w:rPr>
                <w:rFonts w:ascii="Calibri" w:eastAsiaTheme="minorHAnsi" w:hAnsi="Calibri" w:cs="Calibri"/>
                <w:b/>
                <w:color w:val="000000"/>
                <w:sz w:val="16"/>
                <w:szCs w:val="16"/>
                <w:lang w:eastAsia="en-US"/>
              </w:rPr>
              <w:t xml:space="preserve"> år</w:t>
            </w:r>
          </w:p>
        </w:tc>
        <w:tc>
          <w:tcPr>
            <w:tcW w:w="844" w:type="dxa"/>
          </w:tcPr>
          <w:p w14:paraId="0D63D9DA" w14:textId="77777777" w:rsidR="00CC1A5C" w:rsidRPr="003954D9" w:rsidRDefault="00CC1A5C" w:rsidP="00CC1A5C">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50,4</w:t>
            </w:r>
          </w:p>
        </w:tc>
        <w:tc>
          <w:tcPr>
            <w:tcW w:w="863" w:type="dxa"/>
          </w:tcPr>
          <w:p w14:paraId="4AA9420F"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37,8</w:t>
            </w:r>
          </w:p>
        </w:tc>
        <w:tc>
          <w:tcPr>
            <w:tcW w:w="824" w:type="dxa"/>
          </w:tcPr>
          <w:p w14:paraId="5A580653"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30,5</w:t>
            </w:r>
          </w:p>
        </w:tc>
        <w:tc>
          <w:tcPr>
            <w:tcW w:w="711" w:type="dxa"/>
          </w:tcPr>
          <w:p w14:paraId="7DF785E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27,6</w:t>
            </w:r>
          </w:p>
        </w:tc>
        <w:tc>
          <w:tcPr>
            <w:tcW w:w="853" w:type="dxa"/>
          </w:tcPr>
          <w:p w14:paraId="1BD9C4E5"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29,4</w:t>
            </w:r>
          </w:p>
        </w:tc>
        <w:tc>
          <w:tcPr>
            <w:tcW w:w="852" w:type="dxa"/>
          </w:tcPr>
          <w:p w14:paraId="0C6338F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34,6</w:t>
            </w:r>
          </w:p>
        </w:tc>
        <w:tc>
          <w:tcPr>
            <w:tcW w:w="853" w:type="dxa"/>
          </w:tcPr>
          <w:p w14:paraId="558D4946"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48,3</w:t>
            </w:r>
          </w:p>
        </w:tc>
        <w:tc>
          <w:tcPr>
            <w:tcW w:w="852" w:type="dxa"/>
          </w:tcPr>
          <w:p w14:paraId="2840F1B3"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27,1</w:t>
            </w:r>
          </w:p>
        </w:tc>
        <w:tc>
          <w:tcPr>
            <w:tcW w:w="853" w:type="dxa"/>
          </w:tcPr>
          <w:p w14:paraId="5E852FC0"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18,6</w:t>
            </w:r>
          </w:p>
        </w:tc>
        <w:tc>
          <w:tcPr>
            <w:tcW w:w="852" w:type="dxa"/>
          </w:tcPr>
          <w:p w14:paraId="3685BCC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43,8</w:t>
            </w:r>
          </w:p>
        </w:tc>
      </w:tr>
      <w:tr w:rsidR="00CC1A5C" w:rsidRPr="003954D9" w14:paraId="6B7332EE" w14:textId="77777777" w:rsidTr="00176DF0">
        <w:trPr>
          <w:trHeight w:val="227"/>
        </w:trPr>
        <w:tc>
          <w:tcPr>
            <w:tcW w:w="1618" w:type="dxa"/>
          </w:tcPr>
          <w:p w14:paraId="20B88191" w14:textId="7D4B165E" w:rsidR="00CC1A5C" w:rsidRPr="00DD3DF3" w:rsidRDefault="00CC1A5C" w:rsidP="0061724A">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 xml:space="preserve">Ensambo u. barn </w:t>
            </w:r>
            <w:r w:rsidR="00365C66" w:rsidRPr="00DD3DF3">
              <w:rPr>
                <w:rFonts w:ascii="Calibri" w:eastAsiaTheme="minorHAnsi" w:hAnsi="Calibri" w:cs="Calibri"/>
                <w:b/>
                <w:color w:val="000000"/>
                <w:sz w:val="16"/>
                <w:szCs w:val="16"/>
                <w:lang w:eastAsia="en-US"/>
              </w:rPr>
              <w:t>65-år</w:t>
            </w:r>
          </w:p>
        </w:tc>
        <w:tc>
          <w:tcPr>
            <w:tcW w:w="844" w:type="dxa"/>
          </w:tcPr>
          <w:p w14:paraId="614F4C20" w14:textId="77777777" w:rsidR="00CC1A5C" w:rsidRPr="003954D9" w:rsidRDefault="00CC1A5C" w:rsidP="00CC1A5C">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71,0</w:t>
            </w:r>
          </w:p>
        </w:tc>
        <w:tc>
          <w:tcPr>
            <w:tcW w:w="863" w:type="dxa"/>
          </w:tcPr>
          <w:p w14:paraId="3A284729" w14:textId="77777777" w:rsidR="00CC1A5C" w:rsidRPr="003954D9" w:rsidRDefault="00CC1A5C" w:rsidP="00CC1A5C">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67,5</w:t>
            </w:r>
          </w:p>
        </w:tc>
        <w:tc>
          <w:tcPr>
            <w:tcW w:w="824" w:type="dxa"/>
          </w:tcPr>
          <w:p w14:paraId="363EBA13"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51,9</w:t>
            </w:r>
          </w:p>
        </w:tc>
        <w:tc>
          <w:tcPr>
            <w:tcW w:w="711" w:type="dxa"/>
          </w:tcPr>
          <w:p w14:paraId="1F753E00"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37,5</w:t>
            </w:r>
          </w:p>
        </w:tc>
        <w:tc>
          <w:tcPr>
            <w:tcW w:w="853" w:type="dxa"/>
          </w:tcPr>
          <w:p w14:paraId="6FD84A55"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48,2</w:t>
            </w:r>
          </w:p>
        </w:tc>
        <w:tc>
          <w:tcPr>
            <w:tcW w:w="852" w:type="dxa"/>
          </w:tcPr>
          <w:p w14:paraId="57A891E5"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55,2</w:t>
            </w:r>
          </w:p>
        </w:tc>
        <w:tc>
          <w:tcPr>
            <w:tcW w:w="853" w:type="dxa"/>
          </w:tcPr>
          <w:p w14:paraId="78F1D122"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55,8</w:t>
            </w:r>
          </w:p>
        </w:tc>
        <w:tc>
          <w:tcPr>
            <w:tcW w:w="852" w:type="dxa"/>
          </w:tcPr>
          <w:p w14:paraId="6FF10879"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45,2</w:t>
            </w:r>
          </w:p>
        </w:tc>
        <w:tc>
          <w:tcPr>
            <w:tcW w:w="853" w:type="dxa"/>
          </w:tcPr>
          <w:p w14:paraId="0CDF055E"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63,6</w:t>
            </w:r>
          </w:p>
        </w:tc>
        <w:tc>
          <w:tcPr>
            <w:tcW w:w="852" w:type="dxa"/>
          </w:tcPr>
          <w:p w14:paraId="62DDA0E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58,4</w:t>
            </w:r>
          </w:p>
        </w:tc>
      </w:tr>
      <w:tr w:rsidR="00CC1A5C" w:rsidRPr="003954D9" w14:paraId="001FFF6C" w14:textId="77777777" w:rsidTr="00176DF0">
        <w:trPr>
          <w:trHeight w:val="227"/>
        </w:trPr>
        <w:tc>
          <w:tcPr>
            <w:tcW w:w="1618" w:type="dxa"/>
          </w:tcPr>
          <w:p w14:paraId="3D75D351" w14:textId="49709835" w:rsidR="00CC1A5C" w:rsidRPr="00DD3DF3" w:rsidRDefault="00CC1A5C" w:rsidP="0061724A">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 xml:space="preserve">Ensamst. m. barn </w:t>
            </w:r>
            <w:r w:rsidR="00365C66" w:rsidRPr="00DD3DF3">
              <w:rPr>
                <w:rFonts w:ascii="Calibri" w:eastAsiaTheme="minorHAnsi" w:hAnsi="Calibri" w:cs="Calibri"/>
                <w:b/>
                <w:color w:val="000000"/>
                <w:sz w:val="16"/>
                <w:szCs w:val="16"/>
                <w:lang w:eastAsia="en-US"/>
              </w:rPr>
              <w:t>0–19</w:t>
            </w:r>
            <w:r w:rsidRPr="00DD3DF3">
              <w:rPr>
                <w:rFonts w:ascii="Calibri" w:eastAsiaTheme="minorHAnsi" w:hAnsi="Calibri" w:cs="Calibri"/>
                <w:b/>
                <w:color w:val="000000"/>
                <w:sz w:val="16"/>
                <w:szCs w:val="16"/>
                <w:lang w:eastAsia="en-US"/>
              </w:rPr>
              <w:t xml:space="preserve"> år</w:t>
            </w:r>
          </w:p>
        </w:tc>
        <w:tc>
          <w:tcPr>
            <w:tcW w:w="844" w:type="dxa"/>
          </w:tcPr>
          <w:p w14:paraId="6C3891D4" w14:textId="77777777" w:rsidR="00CC1A5C" w:rsidRPr="003954D9" w:rsidRDefault="00CC1A5C" w:rsidP="00CC1A5C">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62,7</w:t>
            </w:r>
          </w:p>
        </w:tc>
        <w:tc>
          <w:tcPr>
            <w:tcW w:w="863" w:type="dxa"/>
          </w:tcPr>
          <w:p w14:paraId="513F763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51,3</w:t>
            </w:r>
          </w:p>
        </w:tc>
        <w:tc>
          <w:tcPr>
            <w:tcW w:w="824" w:type="dxa"/>
          </w:tcPr>
          <w:p w14:paraId="0AA5F92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34,7</w:t>
            </w:r>
          </w:p>
        </w:tc>
        <w:tc>
          <w:tcPr>
            <w:tcW w:w="711" w:type="dxa"/>
          </w:tcPr>
          <w:p w14:paraId="1C547F0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47,5</w:t>
            </w:r>
          </w:p>
        </w:tc>
        <w:tc>
          <w:tcPr>
            <w:tcW w:w="853" w:type="dxa"/>
          </w:tcPr>
          <w:p w14:paraId="709AD17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36,9</w:t>
            </w:r>
          </w:p>
        </w:tc>
        <w:tc>
          <w:tcPr>
            <w:tcW w:w="852" w:type="dxa"/>
          </w:tcPr>
          <w:p w14:paraId="7E61ACF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43,0</w:t>
            </w:r>
          </w:p>
        </w:tc>
        <w:tc>
          <w:tcPr>
            <w:tcW w:w="853" w:type="dxa"/>
          </w:tcPr>
          <w:p w14:paraId="0435ACE5"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55,6</w:t>
            </w:r>
          </w:p>
        </w:tc>
        <w:tc>
          <w:tcPr>
            <w:tcW w:w="852" w:type="dxa"/>
          </w:tcPr>
          <w:p w14:paraId="1A3677FA"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32,7</w:t>
            </w:r>
          </w:p>
        </w:tc>
        <w:tc>
          <w:tcPr>
            <w:tcW w:w="853" w:type="dxa"/>
          </w:tcPr>
          <w:p w14:paraId="36A580CC"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35,7</w:t>
            </w:r>
          </w:p>
        </w:tc>
        <w:tc>
          <w:tcPr>
            <w:tcW w:w="852" w:type="dxa"/>
          </w:tcPr>
          <w:p w14:paraId="064AD6D3" w14:textId="77777777" w:rsidR="00CC1A5C" w:rsidRPr="003954D9" w:rsidRDefault="00CC1A5C" w:rsidP="00CC1A5C">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62,2</w:t>
            </w:r>
          </w:p>
        </w:tc>
      </w:tr>
      <w:tr w:rsidR="00CC1A5C" w:rsidRPr="003954D9" w14:paraId="27B6B35E" w14:textId="77777777" w:rsidTr="00176DF0">
        <w:trPr>
          <w:trHeight w:val="227"/>
        </w:trPr>
        <w:tc>
          <w:tcPr>
            <w:tcW w:w="1618" w:type="dxa"/>
          </w:tcPr>
          <w:p w14:paraId="6696907F" w14:textId="6A8F6395" w:rsidR="00CC1A5C" w:rsidRPr="00DD3DF3" w:rsidRDefault="00CC1A5C" w:rsidP="0061724A">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 xml:space="preserve">Sambo u. barn </w:t>
            </w:r>
            <w:r w:rsidR="00365C66" w:rsidRPr="00DD3DF3">
              <w:rPr>
                <w:rFonts w:ascii="Calibri" w:eastAsiaTheme="minorHAnsi" w:hAnsi="Calibri" w:cs="Calibri"/>
                <w:b/>
                <w:color w:val="000000"/>
                <w:sz w:val="16"/>
                <w:szCs w:val="16"/>
                <w:lang w:eastAsia="en-US"/>
              </w:rPr>
              <w:t>18–64</w:t>
            </w:r>
            <w:r w:rsidRPr="00DD3DF3">
              <w:rPr>
                <w:rFonts w:ascii="Calibri" w:eastAsiaTheme="minorHAnsi" w:hAnsi="Calibri" w:cs="Calibri"/>
                <w:b/>
                <w:color w:val="000000"/>
                <w:sz w:val="16"/>
                <w:szCs w:val="16"/>
                <w:lang w:eastAsia="en-US"/>
              </w:rPr>
              <w:t xml:space="preserve"> år</w:t>
            </w:r>
          </w:p>
        </w:tc>
        <w:tc>
          <w:tcPr>
            <w:tcW w:w="844" w:type="dxa"/>
          </w:tcPr>
          <w:p w14:paraId="3932562B" w14:textId="77777777" w:rsidR="00CC1A5C" w:rsidRPr="003954D9" w:rsidRDefault="00CC1A5C" w:rsidP="00CC1A5C">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26,1</w:t>
            </w:r>
          </w:p>
        </w:tc>
        <w:tc>
          <w:tcPr>
            <w:tcW w:w="863" w:type="dxa"/>
          </w:tcPr>
          <w:p w14:paraId="5B20856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13,4</w:t>
            </w:r>
          </w:p>
        </w:tc>
        <w:tc>
          <w:tcPr>
            <w:tcW w:w="824" w:type="dxa"/>
          </w:tcPr>
          <w:p w14:paraId="09AB0C87"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6,4</w:t>
            </w:r>
          </w:p>
        </w:tc>
        <w:tc>
          <w:tcPr>
            <w:tcW w:w="711" w:type="dxa"/>
          </w:tcPr>
          <w:p w14:paraId="020C426E"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11,9</w:t>
            </w:r>
          </w:p>
        </w:tc>
        <w:tc>
          <w:tcPr>
            <w:tcW w:w="853" w:type="dxa"/>
          </w:tcPr>
          <w:p w14:paraId="2B5D2FF5"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7,7</w:t>
            </w:r>
          </w:p>
        </w:tc>
        <w:tc>
          <w:tcPr>
            <w:tcW w:w="852" w:type="dxa"/>
          </w:tcPr>
          <w:p w14:paraId="3105941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15,8</w:t>
            </w:r>
          </w:p>
        </w:tc>
        <w:tc>
          <w:tcPr>
            <w:tcW w:w="853" w:type="dxa"/>
          </w:tcPr>
          <w:p w14:paraId="3E0FD94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19,3</w:t>
            </w:r>
          </w:p>
        </w:tc>
        <w:tc>
          <w:tcPr>
            <w:tcW w:w="852" w:type="dxa"/>
          </w:tcPr>
          <w:p w14:paraId="011044B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8,9</w:t>
            </w:r>
          </w:p>
        </w:tc>
        <w:tc>
          <w:tcPr>
            <w:tcW w:w="853" w:type="dxa"/>
          </w:tcPr>
          <w:p w14:paraId="682960AB" w14:textId="77777777" w:rsidR="00CC1A5C" w:rsidRPr="003954D9" w:rsidRDefault="00CC1A5C" w:rsidP="00CC1A5C">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166E7CCE" w14:textId="77777777" w:rsidR="00CC1A5C" w:rsidRPr="003954D9" w:rsidRDefault="00CC1A5C" w:rsidP="00CC1A5C">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23,3</w:t>
            </w:r>
          </w:p>
        </w:tc>
      </w:tr>
      <w:tr w:rsidR="00CC1A5C" w:rsidRPr="003954D9" w14:paraId="5420F2E3" w14:textId="77777777" w:rsidTr="00176DF0">
        <w:trPr>
          <w:trHeight w:val="227"/>
        </w:trPr>
        <w:tc>
          <w:tcPr>
            <w:tcW w:w="1618" w:type="dxa"/>
          </w:tcPr>
          <w:p w14:paraId="270BF065" w14:textId="5F1328EB" w:rsidR="00CC1A5C" w:rsidRPr="00DD3DF3" w:rsidRDefault="00CC1A5C" w:rsidP="0061724A">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 xml:space="preserve">Sambo u. barn </w:t>
            </w:r>
            <w:r w:rsidR="00365C66" w:rsidRPr="00DD3DF3">
              <w:rPr>
                <w:rFonts w:ascii="Calibri" w:eastAsiaTheme="minorHAnsi" w:hAnsi="Calibri" w:cs="Calibri"/>
                <w:b/>
                <w:color w:val="000000"/>
                <w:sz w:val="16"/>
                <w:szCs w:val="16"/>
                <w:lang w:eastAsia="en-US"/>
              </w:rPr>
              <w:t>65-år</w:t>
            </w:r>
          </w:p>
        </w:tc>
        <w:tc>
          <w:tcPr>
            <w:tcW w:w="844" w:type="dxa"/>
          </w:tcPr>
          <w:p w14:paraId="101224F7" w14:textId="77777777" w:rsidR="00CC1A5C" w:rsidRPr="003954D9" w:rsidRDefault="00CC1A5C" w:rsidP="00CC1A5C">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42,5</w:t>
            </w:r>
          </w:p>
        </w:tc>
        <w:tc>
          <w:tcPr>
            <w:tcW w:w="863" w:type="dxa"/>
          </w:tcPr>
          <w:p w14:paraId="2320DC2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14,6</w:t>
            </w:r>
          </w:p>
        </w:tc>
        <w:tc>
          <w:tcPr>
            <w:tcW w:w="824" w:type="dxa"/>
          </w:tcPr>
          <w:p w14:paraId="3EAA24B3"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9,4</w:t>
            </w:r>
          </w:p>
        </w:tc>
        <w:tc>
          <w:tcPr>
            <w:tcW w:w="711" w:type="dxa"/>
          </w:tcPr>
          <w:p w14:paraId="204EB5C7" w14:textId="77777777" w:rsidR="00CC1A5C" w:rsidRPr="003954D9" w:rsidRDefault="00CC1A5C" w:rsidP="00CC1A5C">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3" w:type="dxa"/>
          </w:tcPr>
          <w:p w14:paraId="06A06977"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4,1</w:t>
            </w:r>
          </w:p>
        </w:tc>
        <w:tc>
          <w:tcPr>
            <w:tcW w:w="852" w:type="dxa"/>
          </w:tcPr>
          <w:p w14:paraId="52FAA95C"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21,6</w:t>
            </w:r>
          </w:p>
        </w:tc>
        <w:tc>
          <w:tcPr>
            <w:tcW w:w="853" w:type="dxa"/>
          </w:tcPr>
          <w:p w14:paraId="754011EC"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25,6</w:t>
            </w:r>
          </w:p>
        </w:tc>
        <w:tc>
          <w:tcPr>
            <w:tcW w:w="852" w:type="dxa"/>
          </w:tcPr>
          <w:p w14:paraId="35FC935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6,4</w:t>
            </w:r>
          </w:p>
        </w:tc>
        <w:tc>
          <w:tcPr>
            <w:tcW w:w="853" w:type="dxa"/>
          </w:tcPr>
          <w:p w14:paraId="35ACDC73" w14:textId="77777777" w:rsidR="00CC1A5C" w:rsidRPr="003954D9" w:rsidRDefault="00CC1A5C" w:rsidP="00CC1A5C">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439206F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16,7</w:t>
            </w:r>
          </w:p>
        </w:tc>
      </w:tr>
      <w:tr w:rsidR="00CC1A5C" w:rsidRPr="003954D9" w14:paraId="5BE79430" w14:textId="77777777" w:rsidTr="00176DF0">
        <w:trPr>
          <w:trHeight w:val="227"/>
        </w:trPr>
        <w:tc>
          <w:tcPr>
            <w:tcW w:w="1618" w:type="dxa"/>
          </w:tcPr>
          <w:p w14:paraId="0F12D62B" w14:textId="4B59341F" w:rsidR="00CC1A5C" w:rsidRPr="00DD3DF3" w:rsidRDefault="00CC1A5C" w:rsidP="0061724A">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 xml:space="preserve">Sambo m. 1 barn </w:t>
            </w:r>
            <w:r w:rsidR="00365C66" w:rsidRPr="00DD3DF3">
              <w:rPr>
                <w:rFonts w:ascii="Calibri" w:eastAsiaTheme="minorHAnsi" w:hAnsi="Calibri" w:cs="Calibri"/>
                <w:b/>
                <w:color w:val="000000"/>
                <w:sz w:val="16"/>
                <w:szCs w:val="16"/>
                <w:lang w:eastAsia="en-US"/>
              </w:rPr>
              <w:t>0–19</w:t>
            </w:r>
            <w:r w:rsidRPr="00DD3DF3">
              <w:rPr>
                <w:rFonts w:ascii="Calibri" w:eastAsiaTheme="minorHAnsi" w:hAnsi="Calibri" w:cs="Calibri"/>
                <w:b/>
                <w:color w:val="000000"/>
                <w:sz w:val="16"/>
                <w:szCs w:val="16"/>
                <w:lang w:eastAsia="en-US"/>
              </w:rPr>
              <w:t xml:space="preserve"> år</w:t>
            </w:r>
          </w:p>
        </w:tc>
        <w:tc>
          <w:tcPr>
            <w:tcW w:w="844" w:type="dxa"/>
          </w:tcPr>
          <w:p w14:paraId="60AEF215"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26,4</w:t>
            </w:r>
          </w:p>
        </w:tc>
        <w:tc>
          <w:tcPr>
            <w:tcW w:w="863" w:type="dxa"/>
          </w:tcPr>
          <w:p w14:paraId="3289EDE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20,5</w:t>
            </w:r>
          </w:p>
        </w:tc>
        <w:tc>
          <w:tcPr>
            <w:tcW w:w="824" w:type="dxa"/>
          </w:tcPr>
          <w:p w14:paraId="70780AA2"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5,3</w:t>
            </w:r>
          </w:p>
        </w:tc>
        <w:tc>
          <w:tcPr>
            <w:tcW w:w="711" w:type="dxa"/>
          </w:tcPr>
          <w:p w14:paraId="483CDBA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17,9</w:t>
            </w:r>
          </w:p>
        </w:tc>
        <w:tc>
          <w:tcPr>
            <w:tcW w:w="853" w:type="dxa"/>
          </w:tcPr>
          <w:p w14:paraId="61C306E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9,6</w:t>
            </w:r>
          </w:p>
        </w:tc>
        <w:tc>
          <w:tcPr>
            <w:tcW w:w="852" w:type="dxa"/>
          </w:tcPr>
          <w:p w14:paraId="11ECD471"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20,9</w:t>
            </w:r>
          </w:p>
        </w:tc>
        <w:tc>
          <w:tcPr>
            <w:tcW w:w="853" w:type="dxa"/>
          </w:tcPr>
          <w:p w14:paraId="459EA49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27,2</w:t>
            </w:r>
          </w:p>
        </w:tc>
        <w:tc>
          <w:tcPr>
            <w:tcW w:w="852" w:type="dxa"/>
          </w:tcPr>
          <w:p w14:paraId="721C9E13"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9,2</w:t>
            </w:r>
          </w:p>
        </w:tc>
        <w:tc>
          <w:tcPr>
            <w:tcW w:w="853" w:type="dxa"/>
          </w:tcPr>
          <w:p w14:paraId="4EE936B6" w14:textId="77777777" w:rsidR="00CC1A5C" w:rsidRPr="003954D9" w:rsidRDefault="00CC1A5C" w:rsidP="00CC1A5C">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63E4CF0A"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29,7</w:t>
            </w:r>
          </w:p>
        </w:tc>
      </w:tr>
      <w:tr w:rsidR="00CC1A5C" w:rsidRPr="003954D9" w14:paraId="47F3B1FF" w14:textId="77777777" w:rsidTr="00176DF0">
        <w:trPr>
          <w:trHeight w:val="227"/>
        </w:trPr>
        <w:tc>
          <w:tcPr>
            <w:tcW w:w="1618" w:type="dxa"/>
          </w:tcPr>
          <w:p w14:paraId="5E2CE24F" w14:textId="260044CE" w:rsidR="00CC1A5C" w:rsidRPr="00DD3DF3" w:rsidRDefault="00CC1A5C" w:rsidP="0061724A">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 xml:space="preserve">Sambo m. 2 barn </w:t>
            </w:r>
            <w:r w:rsidR="00365C66" w:rsidRPr="00DD3DF3">
              <w:rPr>
                <w:rFonts w:ascii="Calibri" w:eastAsiaTheme="minorHAnsi" w:hAnsi="Calibri" w:cs="Calibri"/>
                <w:b/>
                <w:color w:val="000000"/>
                <w:sz w:val="16"/>
                <w:szCs w:val="16"/>
                <w:lang w:eastAsia="en-US"/>
              </w:rPr>
              <w:t>0–19</w:t>
            </w:r>
            <w:r w:rsidRPr="00DD3DF3">
              <w:rPr>
                <w:rFonts w:ascii="Calibri" w:eastAsiaTheme="minorHAnsi" w:hAnsi="Calibri" w:cs="Calibri"/>
                <w:b/>
                <w:color w:val="000000"/>
                <w:sz w:val="16"/>
                <w:szCs w:val="16"/>
                <w:lang w:eastAsia="en-US"/>
              </w:rPr>
              <w:t xml:space="preserve"> år</w:t>
            </w:r>
          </w:p>
        </w:tc>
        <w:tc>
          <w:tcPr>
            <w:tcW w:w="844" w:type="dxa"/>
          </w:tcPr>
          <w:p w14:paraId="7AF2C79D"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36,5</w:t>
            </w:r>
          </w:p>
        </w:tc>
        <w:tc>
          <w:tcPr>
            <w:tcW w:w="863" w:type="dxa"/>
          </w:tcPr>
          <w:p w14:paraId="4EE0C6D9"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23,7</w:t>
            </w:r>
          </w:p>
        </w:tc>
        <w:tc>
          <w:tcPr>
            <w:tcW w:w="824" w:type="dxa"/>
          </w:tcPr>
          <w:p w14:paraId="20395391"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11,4</w:t>
            </w:r>
          </w:p>
        </w:tc>
        <w:tc>
          <w:tcPr>
            <w:tcW w:w="711" w:type="dxa"/>
          </w:tcPr>
          <w:p w14:paraId="5247A842"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53" w:type="dxa"/>
          </w:tcPr>
          <w:p w14:paraId="220EC9DD"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6,9</w:t>
            </w:r>
          </w:p>
        </w:tc>
        <w:tc>
          <w:tcPr>
            <w:tcW w:w="852" w:type="dxa"/>
          </w:tcPr>
          <w:p w14:paraId="2C62ED9E"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c>
          <w:tcPr>
            <w:tcW w:w="853" w:type="dxa"/>
          </w:tcPr>
          <w:p w14:paraId="6A428111"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27,6</w:t>
            </w:r>
          </w:p>
        </w:tc>
        <w:tc>
          <w:tcPr>
            <w:tcW w:w="852" w:type="dxa"/>
          </w:tcPr>
          <w:p w14:paraId="145E4BA2"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7,0</w:t>
            </w:r>
          </w:p>
        </w:tc>
        <w:tc>
          <w:tcPr>
            <w:tcW w:w="853" w:type="dxa"/>
          </w:tcPr>
          <w:p w14:paraId="00885342" w14:textId="77777777" w:rsidR="00CC1A5C" w:rsidRPr="003954D9" w:rsidRDefault="00CC1A5C" w:rsidP="00CC1A5C">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08EEB072" w14:textId="77777777" w:rsidR="00CC1A5C" w:rsidRPr="003954D9" w:rsidRDefault="00CC1A5C" w:rsidP="00CC1A5C">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34,8</w:t>
            </w:r>
          </w:p>
        </w:tc>
      </w:tr>
      <w:tr w:rsidR="00CC1A5C" w:rsidRPr="003954D9" w14:paraId="0E8B9D36" w14:textId="77777777" w:rsidTr="00176DF0">
        <w:trPr>
          <w:trHeight w:val="227"/>
        </w:trPr>
        <w:tc>
          <w:tcPr>
            <w:tcW w:w="1618" w:type="dxa"/>
          </w:tcPr>
          <w:p w14:paraId="6B006BE6" w14:textId="302ECE37" w:rsidR="00CC1A5C" w:rsidRPr="00DD3DF3" w:rsidRDefault="00CC1A5C" w:rsidP="0061724A">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 xml:space="preserve">Sambo m. 3- barn </w:t>
            </w:r>
            <w:r w:rsidR="00365C66" w:rsidRPr="00DD3DF3">
              <w:rPr>
                <w:rFonts w:ascii="Calibri" w:eastAsiaTheme="minorHAnsi" w:hAnsi="Calibri" w:cs="Calibri"/>
                <w:b/>
                <w:color w:val="000000"/>
                <w:sz w:val="16"/>
                <w:szCs w:val="16"/>
                <w:lang w:eastAsia="en-US"/>
              </w:rPr>
              <w:t>0–19</w:t>
            </w:r>
            <w:r w:rsidRPr="00DD3DF3">
              <w:rPr>
                <w:rFonts w:ascii="Calibri" w:eastAsiaTheme="minorHAnsi" w:hAnsi="Calibri" w:cs="Calibri"/>
                <w:b/>
                <w:color w:val="000000"/>
                <w:sz w:val="16"/>
                <w:szCs w:val="16"/>
                <w:lang w:eastAsia="en-US"/>
              </w:rPr>
              <w:t xml:space="preserve"> år</w:t>
            </w:r>
          </w:p>
        </w:tc>
        <w:tc>
          <w:tcPr>
            <w:tcW w:w="844" w:type="dxa"/>
          </w:tcPr>
          <w:p w14:paraId="0A383A10" w14:textId="77777777" w:rsidR="00CC1A5C" w:rsidRPr="003954D9" w:rsidRDefault="00CC1A5C" w:rsidP="00CC1A5C">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46,8</w:t>
            </w:r>
          </w:p>
        </w:tc>
        <w:tc>
          <w:tcPr>
            <w:tcW w:w="863" w:type="dxa"/>
          </w:tcPr>
          <w:p w14:paraId="2A1833AF"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42,6</w:t>
            </w:r>
          </w:p>
        </w:tc>
        <w:tc>
          <w:tcPr>
            <w:tcW w:w="824" w:type="dxa"/>
          </w:tcPr>
          <w:p w14:paraId="7D837911" w14:textId="77777777" w:rsidR="00CC1A5C" w:rsidRPr="003954D9" w:rsidRDefault="00CC1A5C" w:rsidP="00CC1A5C">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11" w:type="dxa"/>
          </w:tcPr>
          <w:p w14:paraId="37C87FB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36,4</w:t>
            </w:r>
          </w:p>
        </w:tc>
        <w:tc>
          <w:tcPr>
            <w:tcW w:w="853" w:type="dxa"/>
          </w:tcPr>
          <w:p w14:paraId="21D8FAD5" w14:textId="77777777" w:rsidR="00CC1A5C" w:rsidRPr="003954D9" w:rsidRDefault="00CC1A5C" w:rsidP="00CC1A5C">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1C1B855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26,3</w:t>
            </w:r>
          </w:p>
        </w:tc>
        <w:tc>
          <w:tcPr>
            <w:tcW w:w="853" w:type="dxa"/>
          </w:tcPr>
          <w:p w14:paraId="66D60FEC"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41,7</w:t>
            </w:r>
          </w:p>
        </w:tc>
        <w:tc>
          <w:tcPr>
            <w:tcW w:w="852" w:type="dxa"/>
          </w:tcPr>
          <w:p w14:paraId="3D2DC3F9"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25,0</w:t>
            </w:r>
          </w:p>
        </w:tc>
        <w:tc>
          <w:tcPr>
            <w:tcW w:w="853" w:type="dxa"/>
          </w:tcPr>
          <w:p w14:paraId="1FC40F3C" w14:textId="77777777" w:rsidR="00CC1A5C" w:rsidRPr="003954D9" w:rsidRDefault="00CC1A5C" w:rsidP="00CC1A5C">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3F893A3A"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55,5</w:t>
            </w:r>
          </w:p>
        </w:tc>
      </w:tr>
      <w:tr w:rsidR="00CC1A5C" w:rsidRPr="003954D9" w14:paraId="5F703883" w14:textId="77777777" w:rsidTr="00176DF0">
        <w:trPr>
          <w:trHeight w:val="227"/>
        </w:trPr>
        <w:tc>
          <w:tcPr>
            <w:tcW w:w="1618" w:type="dxa"/>
          </w:tcPr>
          <w:p w14:paraId="1D1AE7CD" w14:textId="14F0F949" w:rsidR="00CC1A5C" w:rsidRPr="00DD3DF3" w:rsidRDefault="00DD3DF3" w:rsidP="0061724A">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Övr.</w:t>
            </w:r>
            <w:r w:rsidR="00CC1A5C" w:rsidRPr="00DD3DF3">
              <w:rPr>
                <w:rFonts w:ascii="Calibri" w:eastAsiaTheme="minorHAnsi" w:hAnsi="Calibri" w:cs="Calibri"/>
                <w:b/>
                <w:color w:val="000000"/>
                <w:sz w:val="16"/>
                <w:szCs w:val="16"/>
                <w:lang w:eastAsia="en-US"/>
              </w:rPr>
              <w:t xml:space="preserve"> hushåll u. barn </w:t>
            </w:r>
          </w:p>
        </w:tc>
        <w:tc>
          <w:tcPr>
            <w:tcW w:w="844" w:type="dxa"/>
          </w:tcPr>
          <w:p w14:paraId="2C3B6C61"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19,4</w:t>
            </w:r>
          </w:p>
        </w:tc>
        <w:tc>
          <w:tcPr>
            <w:tcW w:w="863" w:type="dxa"/>
          </w:tcPr>
          <w:p w14:paraId="7EB994F5" w14:textId="77777777" w:rsidR="00CC1A5C" w:rsidRPr="003954D9" w:rsidRDefault="00CC1A5C" w:rsidP="00CC1A5C">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20,8</w:t>
            </w:r>
          </w:p>
        </w:tc>
        <w:tc>
          <w:tcPr>
            <w:tcW w:w="824" w:type="dxa"/>
          </w:tcPr>
          <w:p w14:paraId="30948566"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14,1</w:t>
            </w:r>
          </w:p>
        </w:tc>
        <w:tc>
          <w:tcPr>
            <w:tcW w:w="711" w:type="dxa"/>
          </w:tcPr>
          <w:p w14:paraId="4CCE6069"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18,9</w:t>
            </w:r>
          </w:p>
        </w:tc>
        <w:tc>
          <w:tcPr>
            <w:tcW w:w="853" w:type="dxa"/>
          </w:tcPr>
          <w:p w14:paraId="24558B7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8,5</w:t>
            </w:r>
          </w:p>
        </w:tc>
        <w:tc>
          <w:tcPr>
            <w:tcW w:w="852" w:type="dxa"/>
          </w:tcPr>
          <w:p w14:paraId="00D5111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15,5</w:t>
            </w:r>
          </w:p>
        </w:tc>
        <w:tc>
          <w:tcPr>
            <w:tcW w:w="853" w:type="dxa"/>
          </w:tcPr>
          <w:p w14:paraId="08FDF25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18,5</w:t>
            </w:r>
          </w:p>
        </w:tc>
        <w:tc>
          <w:tcPr>
            <w:tcW w:w="852" w:type="dxa"/>
          </w:tcPr>
          <w:p w14:paraId="114753B8"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8,2</w:t>
            </w:r>
          </w:p>
        </w:tc>
        <w:tc>
          <w:tcPr>
            <w:tcW w:w="853" w:type="dxa"/>
          </w:tcPr>
          <w:p w14:paraId="786383D5" w14:textId="77777777" w:rsidR="00CC1A5C" w:rsidRPr="003954D9" w:rsidRDefault="00CC1A5C" w:rsidP="00CC1A5C">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1CC57D9A" w14:textId="77777777" w:rsidR="00CC1A5C" w:rsidRPr="003954D9" w:rsidRDefault="00CC1A5C" w:rsidP="00CC1A5C">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21,3</w:t>
            </w:r>
          </w:p>
        </w:tc>
      </w:tr>
      <w:tr w:rsidR="00CC1A5C" w:rsidRPr="003954D9" w14:paraId="5B5961C5" w14:textId="77777777" w:rsidTr="00176DF0">
        <w:trPr>
          <w:trHeight w:val="227"/>
        </w:trPr>
        <w:tc>
          <w:tcPr>
            <w:tcW w:w="1618" w:type="dxa"/>
          </w:tcPr>
          <w:p w14:paraId="6F34E2F0" w14:textId="58D908F6" w:rsidR="00CC1A5C" w:rsidRPr="00DD3DF3" w:rsidRDefault="00DD3DF3" w:rsidP="0061724A">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Övr.</w:t>
            </w:r>
            <w:r w:rsidR="00CC1A5C" w:rsidRPr="00DD3DF3">
              <w:rPr>
                <w:rFonts w:ascii="Calibri" w:eastAsiaTheme="minorHAnsi" w:hAnsi="Calibri" w:cs="Calibri"/>
                <w:b/>
                <w:color w:val="000000"/>
                <w:sz w:val="16"/>
                <w:szCs w:val="16"/>
                <w:lang w:eastAsia="en-US"/>
              </w:rPr>
              <w:t xml:space="preserve"> hushåll m. barn</w:t>
            </w:r>
          </w:p>
        </w:tc>
        <w:tc>
          <w:tcPr>
            <w:tcW w:w="844" w:type="dxa"/>
          </w:tcPr>
          <w:p w14:paraId="5AF2F9DC"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22,6</w:t>
            </w:r>
          </w:p>
        </w:tc>
        <w:tc>
          <w:tcPr>
            <w:tcW w:w="863" w:type="dxa"/>
          </w:tcPr>
          <w:p w14:paraId="366863AF"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17,2</w:t>
            </w:r>
          </w:p>
        </w:tc>
        <w:tc>
          <w:tcPr>
            <w:tcW w:w="824" w:type="dxa"/>
          </w:tcPr>
          <w:p w14:paraId="5DC50697"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10,2</w:t>
            </w:r>
          </w:p>
        </w:tc>
        <w:tc>
          <w:tcPr>
            <w:tcW w:w="711" w:type="dxa"/>
          </w:tcPr>
          <w:p w14:paraId="6A9ABCC6" w14:textId="77777777" w:rsidR="00CC1A5C" w:rsidRPr="003954D9" w:rsidRDefault="00CC1A5C" w:rsidP="00CC1A5C">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23,0</w:t>
            </w:r>
          </w:p>
        </w:tc>
        <w:tc>
          <w:tcPr>
            <w:tcW w:w="853" w:type="dxa"/>
          </w:tcPr>
          <w:p w14:paraId="4D48E3A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12,9</w:t>
            </w:r>
          </w:p>
        </w:tc>
        <w:tc>
          <w:tcPr>
            <w:tcW w:w="852" w:type="dxa"/>
          </w:tcPr>
          <w:p w14:paraId="00534555"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17,1</w:t>
            </w:r>
          </w:p>
        </w:tc>
        <w:tc>
          <w:tcPr>
            <w:tcW w:w="853" w:type="dxa"/>
          </w:tcPr>
          <w:p w14:paraId="15978D6C"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20,1</w:t>
            </w:r>
          </w:p>
        </w:tc>
        <w:tc>
          <w:tcPr>
            <w:tcW w:w="852" w:type="dxa"/>
          </w:tcPr>
          <w:p w14:paraId="72191CE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12,1</w:t>
            </w:r>
          </w:p>
        </w:tc>
        <w:tc>
          <w:tcPr>
            <w:tcW w:w="853" w:type="dxa"/>
          </w:tcPr>
          <w:p w14:paraId="4876F316" w14:textId="77777777" w:rsidR="00CC1A5C" w:rsidRPr="003954D9" w:rsidRDefault="00CC1A5C" w:rsidP="00CC1A5C">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16587A52" w14:textId="77777777" w:rsidR="00CC1A5C" w:rsidRPr="003954D9" w:rsidRDefault="00CC1A5C" w:rsidP="00CC1A5C">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26,4</w:t>
            </w:r>
          </w:p>
        </w:tc>
      </w:tr>
      <w:tr w:rsidR="00CC1A5C" w:rsidRPr="003954D9" w14:paraId="7696B227" w14:textId="77777777" w:rsidTr="00176DF0">
        <w:trPr>
          <w:trHeight w:val="227"/>
        </w:trPr>
        <w:tc>
          <w:tcPr>
            <w:tcW w:w="1618" w:type="dxa"/>
          </w:tcPr>
          <w:p w14:paraId="0F08B56F" w14:textId="77777777" w:rsidR="00CC1A5C" w:rsidRPr="00DD3DF3" w:rsidRDefault="00CC1A5C" w:rsidP="00CC1A5C">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Samtliga</w:t>
            </w:r>
          </w:p>
        </w:tc>
        <w:tc>
          <w:tcPr>
            <w:tcW w:w="844" w:type="dxa"/>
          </w:tcPr>
          <w:p w14:paraId="5C252842"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40,6</w:t>
            </w:r>
          </w:p>
        </w:tc>
        <w:tc>
          <w:tcPr>
            <w:tcW w:w="863" w:type="dxa"/>
          </w:tcPr>
          <w:p w14:paraId="18864A0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34,0</w:t>
            </w:r>
          </w:p>
        </w:tc>
        <w:tc>
          <w:tcPr>
            <w:tcW w:w="824" w:type="dxa"/>
          </w:tcPr>
          <w:p w14:paraId="72D22D5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26,8</w:t>
            </w:r>
          </w:p>
        </w:tc>
        <w:tc>
          <w:tcPr>
            <w:tcW w:w="711" w:type="dxa"/>
          </w:tcPr>
          <w:p w14:paraId="0422D4D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26,2</w:t>
            </w:r>
          </w:p>
        </w:tc>
        <w:tc>
          <w:tcPr>
            <w:tcW w:w="853" w:type="dxa"/>
          </w:tcPr>
          <w:p w14:paraId="474C6C1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52" w:type="dxa"/>
          </w:tcPr>
          <w:p w14:paraId="59DC61DC"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30,7</w:t>
            </w:r>
          </w:p>
        </w:tc>
        <w:tc>
          <w:tcPr>
            <w:tcW w:w="853" w:type="dxa"/>
          </w:tcPr>
          <w:p w14:paraId="76A3202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37,1</w:t>
            </w:r>
          </w:p>
        </w:tc>
        <w:tc>
          <w:tcPr>
            <w:tcW w:w="852" w:type="dxa"/>
          </w:tcPr>
          <w:p w14:paraId="6B150281" w14:textId="77777777" w:rsidR="00CC1A5C" w:rsidRPr="003954D9" w:rsidRDefault="00CC1A5C" w:rsidP="00CC1A5C">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23,1</w:t>
            </w:r>
          </w:p>
        </w:tc>
        <w:tc>
          <w:tcPr>
            <w:tcW w:w="853" w:type="dxa"/>
          </w:tcPr>
          <w:p w14:paraId="200E11C4" w14:textId="77777777" w:rsidR="00CC1A5C" w:rsidRPr="003954D9" w:rsidRDefault="00CC1A5C" w:rsidP="00CC1A5C">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23,0</w:t>
            </w:r>
          </w:p>
        </w:tc>
        <w:tc>
          <w:tcPr>
            <w:tcW w:w="852" w:type="dxa"/>
          </w:tcPr>
          <w:p w14:paraId="56CC4C44" w14:textId="77777777" w:rsidR="00CC1A5C" w:rsidRPr="003954D9" w:rsidRDefault="00CC1A5C" w:rsidP="00CC1A5C">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39,7</w:t>
            </w:r>
          </w:p>
        </w:tc>
      </w:tr>
      <w:tr w:rsidR="00CC1A5C" w:rsidRPr="003954D9" w14:paraId="0C301993" w14:textId="77777777" w:rsidTr="00176DF0">
        <w:trPr>
          <w:trHeight w:val="227"/>
        </w:trPr>
        <w:tc>
          <w:tcPr>
            <w:tcW w:w="1618" w:type="dxa"/>
          </w:tcPr>
          <w:p w14:paraId="0E3D8020" w14:textId="77777777" w:rsidR="00CC1A5C" w:rsidRPr="00DD3DF3" w:rsidRDefault="00CC1A5C" w:rsidP="00CC1A5C">
            <w:pPr>
              <w:autoSpaceDE w:val="0"/>
              <w:autoSpaceDN w:val="0"/>
              <w:adjustRightInd w:val="0"/>
              <w:rPr>
                <w:rFonts w:ascii="Calibri" w:eastAsiaTheme="minorHAnsi" w:hAnsi="Calibri" w:cs="Calibri"/>
                <w:b/>
                <w:color w:val="000000"/>
                <w:sz w:val="16"/>
                <w:szCs w:val="16"/>
                <w:lang w:eastAsia="en-US"/>
              </w:rPr>
            </w:pPr>
            <w:r w:rsidRPr="00DD3DF3">
              <w:rPr>
                <w:rFonts w:ascii="Calibri" w:eastAsiaTheme="minorHAnsi" w:hAnsi="Calibri" w:cs="Calibri"/>
                <w:b/>
                <w:color w:val="000000"/>
                <w:sz w:val="16"/>
                <w:szCs w:val="16"/>
                <w:lang w:eastAsia="en-US"/>
              </w:rPr>
              <w:t xml:space="preserve">Antal </w:t>
            </w:r>
          </w:p>
        </w:tc>
        <w:tc>
          <w:tcPr>
            <w:tcW w:w="844" w:type="dxa"/>
          </w:tcPr>
          <w:p w14:paraId="68690C23"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1 821</w:t>
            </w:r>
          </w:p>
        </w:tc>
        <w:tc>
          <w:tcPr>
            <w:tcW w:w="863" w:type="dxa"/>
          </w:tcPr>
          <w:p w14:paraId="2103839E"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813</w:t>
            </w:r>
          </w:p>
        </w:tc>
        <w:tc>
          <w:tcPr>
            <w:tcW w:w="824" w:type="dxa"/>
          </w:tcPr>
          <w:p w14:paraId="1EDD034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553</w:t>
            </w:r>
          </w:p>
        </w:tc>
        <w:tc>
          <w:tcPr>
            <w:tcW w:w="711" w:type="dxa"/>
          </w:tcPr>
          <w:p w14:paraId="1FD30A6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238</w:t>
            </w:r>
          </w:p>
        </w:tc>
        <w:tc>
          <w:tcPr>
            <w:tcW w:w="853" w:type="dxa"/>
          </w:tcPr>
          <w:p w14:paraId="7E426B2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662</w:t>
            </w:r>
          </w:p>
        </w:tc>
        <w:tc>
          <w:tcPr>
            <w:tcW w:w="852" w:type="dxa"/>
          </w:tcPr>
          <w:p w14:paraId="5514B1C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425</w:t>
            </w:r>
          </w:p>
        </w:tc>
        <w:tc>
          <w:tcPr>
            <w:tcW w:w="853" w:type="dxa"/>
          </w:tcPr>
          <w:p w14:paraId="15F5ACA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1 035</w:t>
            </w:r>
          </w:p>
        </w:tc>
        <w:tc>
          <w:tcPr>
            <w:tcW w:w="852" w:type="dxa"/>
          </w:tcPr>
          <w:p w14:paraId="0CEDA929"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597</w:t>
            </w:r>
          </w:p>
        </w:tc>
        <w:tc>
          <w:tcPr>
            <w:tcW w:w="853" w:type="dxa"/>
          </w:tcPr>
          <w:p w14:paraId="147F549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73</w:t>
            </w:r>
          </w:p>
        </w:tc>
        <w:tc>
          <w:tcPr>
            <w:tcW w:w="852" w:type="dxa"/>
          </w:tcPr>
          <w:p w14:paraId="73DD4F17"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1 384</w:t>
            </w:r>
          </w:p>
        </w:tc>
      </w:tr>
    </w:tbl>
    <w:p w14:paraId="2C51C564" w14:textId="77777777" w:rsidR="00CC1A5C" w:rsidRPr="003954D9" w:rsidRDefault="00CC1A5C" w:rsidP="00CC1A5C">
      <w:pPr>
        <w:rPr>
          <w:sz w:val="16"/>
          <w:szCs w:val="16"/>
        </w:rPr>
      </w:pPr>
      <w:r w:rsidRPr="00DD227A">
        <w:rPr>
          <w:b/>
          <w:color w:val="FF0000"/>
          <w:sz w:val="16"/>
          <w:szCs w:val="16"/>
        </w:rPr>
        <w:t>Röd färg högsta</w:t>
      </w:r>
      <w:r w:rsidRPr="00DD227A">
        <w:rPr>
          <w:color w:val="FF0000"/>
          <w:sz w:val="16"/>
          <w:szCs w:val="16"/>
        </w:rPr>
        <w:t xml:space="preserve"> </w:t>
      </w:r>
      <w:r w:rsidRPr="003954D9">
        <w:rPr>
          <w:sz w:val="16"/>
          <w:szCs w:val="16"/>
        </w:rPr>
        <w:t xml:space="preserve">och </w:t>
      </w:r>
      <w:r w:rsidRPr="00DD227A">
        <w:rPr>
          <w:b/>
          <w:color w:val="0070C0"/>
          <w:sz w:val="16"/>
          <w:szCs w:val="16"/>
        </w:rPr>
        <w:t>blå färg lägsta</w:t>
      </w:r>
      <w:r w:rsidRPr="00DD227A">
        <w:rPr>
          <w:color w:val="0070C0"/>
          <w:sz w:val="16"/>
          <w:szCs w:val="16"/>
        </w:rPr>
        <w:t xml:space="preserve"> </w:t>
      </w:r>
      <w:r w:rsidRPr="003954D9">
        <w:rPr>
          <w:sz w:val="16"/>
          <w:szCs w:val="16"/>
        </w:rPr>
        <w:t>värde i grupp.</w:t>
      </w:r>
    </w:p>
    <w:p w14:paraId="3142983B" w14:textId="6AA4F51A" w:rsidR="0061724A" w:rsidRPr="003954D9" w:rsidRDefault="003F3F96" w:rsidP="00540A4D">
      <w:pPr>
        <w:pStyle w:val="Rubrik3"/>
      </w:pPr>
      <w:bookmarkStart w:id="128" w:name="_Toc463184413"/>
      <w:bookmarkStart w:id="129" w:name="_Toc464828418"/>
      <w:r w:rsidRPr="003954D9">
        <w:t xml:space="preserve">Flest största ökningar </w:t>
      </w:r>
      <w:r w:rsidR="00496554" w:rsidRPr="003954D9">
        <w:t>jämfört m</w:t>
      </w:r>
      <w:r w:rsidR="00B336DA" w:rsidRPr="003954D9">
        <w:t>e</w:t>
      </w:r>
      <w:r w:rsidR="00496554" w:rsidRPr="003954D9">
        <w:t xml:space="preserve">d idag </w:t>
      </w:r>
      <w:r w:rsidRPr="003954D9">
        <w:t>i Östra Göteborg</w:t>
      </w:r>
      <w:bookmarkEnd w:id="128"/>
      <w:bookmarkEnd w:id="129"/>
      <w:r w:rsidRPr="003954D9">
        <w:t xml:space="preserve"> </w:t>
      </w:r>
    </w:p>
    <w:p w14:paraId="0170FE7F" w14:textId="7CB600F8" w:rsidR="003F3F96" w:rsidRPr="003954D9" w:rsidRDefault="00CC1A5C" w:rsidP="00CC1A5C">
      <w:r w:rsidRPr="003954D9">
        <w:t>De största ökningarna av andel</w:t>
      </w:r>
      <w:r w:rsidR="003F3F96" w:rsidRPr="003954D9">
        <w:t xml:space="preserve">en hushåll </w:t>
      </w:r>
      <w:r w:rsidRPr="003954D9">
        <w:t xml:space="preserve">i riskzonen </w:t>
      </w:r>
      <w:r w:rsidR="003F3F96" w:rsidRPr="003954D9">
        <w:t xml:space="preserve">vid en hyreshöjning på 50 procent </w:t>
      </w:r>
      <w:r w:rsidR="00995FE1" w:rsidRPr="003954D9">
        <w:t xml:space="preserve">i </w:t>
      </w:r>
      <w:r w:rsidR="00995FE1">
        <w:t xml:space="preserve">jämförelse med situationen </w:t>
      </w:r>
      <w:r w:rsidR="00995FE1" w:rsidRPr="003954D9">
        <w:t xml:space="preserve">idag </w:t>
      </w:r>
      <w:r w:rsidRPr="003954D9">
        <w:t>har Västra Hisingen, Angered</w:t>
      </w:r>
      <w:r w:rsidR="00DF572C" w:rsidRPr="003954D9">
        <w:t>,</w:t>
      </w:r>
      <w:r w:rsidRPr="003954D9">
        <w:t xml:space="preserve"> Östra Göteborg </w:t>
      </w:r>
      <w:r w:rsidR="00DF572C" w:rsidRPr="003954D9">
        <w:t xml:space="preserve">och Askim-Frölunda-Högsbo </w:t>
      </w:r>
      <w:r w:rsidRPr="003954D9">
        <w:t xml:space="preserve">med </w:t>
      </w:r>
      <w:r w:rsidR="00DF572C" w:rsidRPr="003954D9">
        <w:t>ca</w:t>
      </w:r>
      <w:r w:rsidRPr="003954D9">
        <w:t xml:space="preserve"> 21 procent. </w:t>
      </w:r>
    </w:p>
    <w:p w14:paraId="580E4E84" w14:textId="57E8FECF" w:rsidR="00CC1A5C" w:rsidRPr="003954D9" w:rsidRDefault="00CC1A5C" w:rsidP="00CC1A5C">
      <w:r w:rsidRPr="003954D9">
        <w:t xml:space="preserve">Östra Göteborg </w:t>
      </w:r>
      <w:r w:rsidR="003F3F96" w:rsidRPr="003954D9">
        <w:t xml:space="preserve">uppvisar de största ökningarna i fem av de tio hushållstyperna och Angered i fyra. Samtidigt uppvisar Östra Göteborg den lägsta ökningen för samboende </w:t>
      </w:r>
      <w:r w:rsidRPr="003954D9">
        <w:t>utan barn 65 år</w:t>
      </w:r>
      <w:r w:rsidR="003F3F96" w:rsidRPr="003954D9">
        <w:t xml:space="preserve"> och äldre</w:t>
      </w:r>
      <w:r w:rsidRPr="003954D9">
        <w:t xml:space="preserve">. </w:t>
      </w:r>
      <w:r w:rsidR="003F3F96" w:rsidRPr="003954D9">
        <w:t>De lä</w:t>
      </w:r>
      <w:r w:rsidR="00261572" w:rsidRPr="003954D9">
        <w:t>g</w:t>
      </w:r>
      <w:r w:rsidR="003F3F96" w:rsidRPr="003954D9">
        <w:t xml:space="preserve">sta </w:t>
      </w:r>
      <w:r w:rsidR="00261572" w:rsidRPr="003954D9">
        <w:t xml:space="preserve">ökningarna finns </w:t>
      </w:r>
      <w:r w:rsidR="00DF572C" w:rsidRPr="003954D9">
        <w:t xml:space="preserve">annars </w:t>
      </w:r>
      <w:r w:rsidR="00261572" w:rsidRPr="003954D9">
        <w:t xml:space="preserve">bland </w:t>
      </w:r>
      <w:r w:rsidR="00176AF5" w:rsidRPr="003954D9">
        <w:t xml:space="preserve">boende i stadsdelarna Örgryte-Härlanda, Centrum, Lundby och Västra Göteborg.   </w:t>
      </w:r>
      <w:r w:rsidR="00DD227A">
        <w:t>Se tabell 5:2.</w:t>
      </w:r>
    </w:p>
    <w:p w14:paraId="6B864877" w14:textId="77777777" w:rsidR="00523800" w:rsidRDefault="00523800" w:rsidP="00CC1A5C">
      <w:pPr>
        <w:pStyle w:val="Rubrik5"/>
      </w:pPr>
      <w:r>
        <w:br w:type="page"/>
      </w:r>
    </w:p>
    <w:p w14:paraId="37E6F8D8" w14:textId="6AA8DF2A" w:rsidR="00CC1A5C" w:rsidRPr="003954D9" w:rsidRDefault="00D57DB5" w:rsidP="00CC1A5C">
      <w:pPr>
        <w:pStyle w:val="Rubrik5"/>
      </w:pPr>
      <w:r w:rsidRPr="003954D9">
        <w:lastRenderedPageBreak/>
        <w:t xml:space="preserve">Tabell </w:t>
      </w:r>
      <w:r w:rsidR="005B413F" w:rsidRPr="003954D9">
        <w:t>5:2</w:t>
      </w:r>
      <w:r w:rsidR="00CC1A5C" w:rsidRPr="003954D9">
        <w:t xml:space="preserve">: Ökning av andel </w:t>
      </w:r>
      <w:r w:rsidR="00240B37" w:rsidRPr="003954D9">
        <w:t xml:space="preserve">hushåll </w:t>
      </w:r>
      <w:r w:rsidR="00CC1A5C" w:rsidRPr="003954D9">
        <w:t>i riskzonen efter hyreshöjning på 50 procent, hushållstyp och stadsdel.</w:t>
      </w:r>
      <w:r w:rsidR="00261572" w:rsidRPr="003954D9">
        <w:rPr>
          <w:i/>
          <w:vertAlign w:val="superscript"/>
        </w:rPr>
        <w:t>5</w:t>
      </w:r>
    </w:p>
    <w:tbl>
      <w:tblPr>
        <w:tblW w:w="996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834"/>
        <w:gridCol w:w="850"/>
        <w:gridCol w:w="11"/>
        <w:gridCol w:w="824"/>
        <w:gridCol w:w="14"/>
        <w:gridCol w:w="697"/>
        <w:gridCol w:w="12"/>
        <w:gridCol w:w="841"/>
        <w:gridCol w:w="10"/>
        <w:gridCol w:w="842"/>
        <w:gridCol w:w="8"/>
        <w:gridCol w:w="845"/>
        <w:gridCol w:w="6"/>
        <w:gridCol w:w="850"/>
        <w:gridCol w:w="853"/>
        <w:gridCol w:w="852"/>
      </w:tblGrid>
      <w:tr w:rsidR="00602FA3" w:rsidRPr="003954D9" w14:paraId="254DEC3F" w14:textId="77777777" w:rsidTr="00176DF0">
        <w:trPr>
          <w:trHeight w:val="227"/>
        </w:trPr>
        <w:tc>
          <w:tcPr>
            <w:tcW w:w="1618" w:type="dxa"/>
          </w:tcPr>
          <w:p w14:paraId="22074E31" w14:textId="77777777" w:rsidR="00602FA3"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Hushållstyp</w:t>
            </w:r>
          </w:p>
        </w:tc>
        <w:tc>
          <w:tcPr>
            <w:tcW w:w="834" w:type="dxa"/>
          </w:tcPr>
          <w:p w14:paraId="0D4F7D27" w14:textId="77777777" w:rsidR="00602FA3"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61" w:type="dxa"/>
            <w:gridSpan w:val="2"/>
          </w:tcPr>
          <w:p w14:paraId="3D81025B" w14:textId="77777777" w:rsidR="00602FA3"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Askim-Frölunda- Högsbo</w:t>
            </w:r>
          </w:p>
        </w:tc>
        <w:tc>
          <w:tcPr>
            <w:tcW w:w="824" w:type="dxa"/>
          </w:tcPr>
          <w:p w14:paraId="194437F3" w14:textId="77777777" w:rsidR="00602FA3"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11" w:type="dxa"/>
            <w:gridSpan w:val="2"/>
          </w:tcPr>
          <w:p w14:paraId="6923256A" w14:textId="77777777" w:rsidR="00602FA3"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53" w:type="dxa"/>
            <w:gridSpan w:val="2"/>
          </w:tcPr>
          <w:p w14:paraId="045F3FEF" w14:textId="77777777" w:rsidR="00602FA3"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 Linné</w:t>
            </w:r>
          </w:p>
        </w:tc>
        <w:tc>
          <w:tcPr>
            <w:tcW w:w="852" w:type="dxa"/>
            <w:gridSpan w:val="2"/>
          </w:tcPr>
          <w:p w14:paraId="552460EE" w14:textId="77777777" w:rsidR="00602FA3"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853" w:type="dxa"/>
            <w:gridSpan w:val="2"/>
          </w:tcPr>
          <w:p w14:paraId="6FA771A2" w14:textId="77777777" w:rsidR="00602FA3"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856" w:type="dxa"/>
            <w:gridSpan w:val="2"/>
          </w:tcPr>
          <w:p w14:paraId="05BF58A1" w14:textId="77777777" w:rsidR="00602FA3"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 Härlanda</w:t>
            </w:r>
          </w:p>
        </w:tc>
        <w:tc>
          <w:tcPr>
            <w:tcW w:w="853" w:type="dxa"/>
          </w:tcPr>
          <w:p w14:paraId="18B7C6DF" w14:textId="77777777" w:rsidR="00602FA3"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852" w:type="dxa"/>
          </w:tcPr>
          <w:p w14:paraId="5D551D32" w14:textId="77777777" w:rsidR="00602FA3"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CC1A5C" w:rsidRPr="003954D9" w14:paraId="33096B30" w14:textId="77777777" w:rsidTr="00176DF0">
        <w:trPr>
          <w:trHeight w:val="227"/>
        </w:trPr>
        <w:tc>
          <w:tcPr>
            <w:tcW w:w="1618" w:type="dxa"/>
          </w:tcPr>
          <w:p w14:paraId="2457CB87" w14:textId="12A542EF" w:rsidR="00CC1A5C" w:rsidRPr="003954D9" w:rsidRDefault="00CC1A5C" w:rsidP="00CC1A5C">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Ensambo u. barn </w:t>
            </w:r>
            <w:r w:rsidR="00365C66" w:rsidRPr="003954D9">
              <w:rPr>
                <w:rFonts w:ascii="Calibri" w:eastAsiaTheme="minorHAnsi" w:hAnsi="Calibri" w:cs="Calibri"/>
                <w:b/>
                <w:color w:val="000000"/>
                <w:sz w:val="16"/>
                <w:szCs w:val="16"/>
                <w:lang w:eastAsia="en-US"/>
              </w:rPr>
              <w:t>18–64</w:t>
            </w:r>
            <w:r w:rsidRPr="003954D9">
              <w:rPr>
                <w:rFonts w:ascii="Calibri" w:eastAsiaTheme="minorHAnsi" w:hAnsi="Calibri" w:cs="Calibri"/>
                <w:b/>
                <w:color w:val="000000"/>
                <w:sz w:val="16"/>
                <w:szCs w:val="16"/>
                <w:lang w:eastAsia="en-US"/>
              </w:rPr>
              <w:t xml:space="preserve"> år</w:t>
            </w:r>
          </w:p>
        </w:tc>
        <w:tc>
          <w:tcPr>
            <w:tcW w:w="834" w:type="dxa"/>
          </w:tcPr>
          <w:p w14:paraId="5727C10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24,5</w:t>
            </w:r>
          </w:p>
        </w:tc>
        <w:tc>
          <w:tcPr>
            <w:tcW w:w="850" w:type="dxa"/>
          </w:tcPr>
          <w:p w14:paraId="2B23F75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18,8</w:t>
            </w:r>
          </w:p>
        </w:tc>
        <w:tc>
          <w:tcPr>
            <w:tcW w:w="849" w:type="dxa"/>
            <w:gridSpan w:val="3"/>
          </w:tcPr>
          <w:p w14:paraId="1DD586E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12,9</w:t>
            </w:r>
          </w:p>
        </w:tc>
        <w:tc>
          <w:tcPr>
            <w:tcW w:w="709" w:type="dxa"/>
            <w:gridSpan w:val="2"/>
          </w:tcPr>
          <w:p w14:paraId="23A3FBE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11,4</w:t>
            </w:r>
          </w:p>
        </w:tc>
        <w:tc>
          <w:tcPr>
            <w:tcW w:w="851" w:type="dxa"/>
            <w:gridSpan w:val="2"/>
          </w:tcPr>
          <w:p w14:paraId="65043737"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13,9</w:t>
            </w:r>
          </w:p>
        </w:tc>
        <w:tc>
          <w:tcPr>
            <w:tcW w:w="850" w:type="dxa"/>
            <w:gridSpan w:val="2"/>
          </w:tcPr>
          <w:p w14:paraId="6DC738CE"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16,1</w:t>
            </w:r>
          </w:p>
        </w:tc>
        <w:tc>
          <w:tcPr>
            <w:tcW w:w="851" w:type="dxa"/>
            <w:gridSpan w:val="2"/>
          </w:tcPr>
          <w:p w14:paraId="0EDB3265"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29,0</w:t>
            </w:r>
          </w:p>
        </w:tc>
        <w:tc>
          <w:tcPr>
            <w:tcW w:w="850" w:type="dxa"/>
          </w:tcPr>
          <w:p w14:paraId="0A291467"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13,1</w:t>
            </w:r>
          </w:p>
        </w:tc>
        <w:tc>
          <w:tcPr>
            <w:tcW w:w="853" w:type="dxa"/>
          </w:tcPr>
          <w:p w14:paraId="6500605F"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9,8</w:t>
            </w:r>
          </w:p>
        </w:tc>
        <w:tc>
          <w:tcPr>
            <w:tcW w:w="852" w:type="dxa"/>
          </w:tcPr>
          <w:p w14:paraId="5A7E1C1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21,7</w:t>
            </w:r>
          </w:p>
        </w:tc>
      </w:tr>
      <w:tr w:rsidR="00CC1A5C" w:rsidRPr="003954D9" w14:paraId="1DD52C46" w14:textId="77777777" w:rsidTr="00176DF0">
        <w:trPr>
          <w:trHeight w:val="227"/>
        </w:trPr>
        <w:tc>
          <w:tcPr>
            <w:tcW w:w="1618" w:type="dxa"/>
          </w:tcPr>
          <w:p w14:paraId="0B61E470" w14:textId="6A9E88F4" w:rsidR="00CC1A5C" w:rsidRPr="003954D9" w:rsidRDefault="00CC1A5C" w:rsidP="00CC1A5C">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Ensambo u. barn </w:t>
            </w:r>
            <w:r w:rsidR="00365C66" w:rsidRPr="003954D9">
              <w:rPr>
                <w:rFonts w:ascii="Calibri" w:eastAsiaTheme="minorHAnsi" w:hAnsi="Calibri" w:cs="Calibri"/>
                <w:b/>
                <w:color w:val="000000"/>
                <w:sz w:val="16"/>
                <w:szCs w:val="16"/>
                <w:lang w:eastAsia="en-US"/>
              </w:rPr>
              <w:t>65-år</w:t>
            </w:r>
          </w:p>
        </w:tc>
        <w:tc>
          <w:tcPr>
            <w:tcW w:w="834" w:type="dxa"/>
          </w:tcPr>
          <w:p w14:paraId="4585418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59,8</w:t>
            </w:r>
          </w:p>
        </w:tc>
        <w:tc>
          <w:tcPr>
            <w:tcW w:w="850" w:type="dxa"/>
          </w:tcPr>
          <w:p w14:paraId="2430A626"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60,2</w:t>
            </w:r>
          </w:p>
        </w:tc>
        <w:tc>
          <w:tcPr>
            <w:tcW w:w="849" w:type="dxa"/>
            <w:gridSpan w:val="3"/>
          </w:tcPr>
          <w:p w14:paraId="7962D72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43,7</w:t>
            </w:r>
          </w:p>
        </w:tc>
        <w:tc>
          <w:tcPr>
            <w:tcW w:w="709" w:type="dxa"/>
            <w:gridSpan w:val="2"/>
          </w:tcPr>
          <w:p w14:paraId="5FE584E1"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33,7</w:t>
            </w:r>
          </w:p>
        </w:tc>
        <w:tc>
          <w:tcPr>
            <w:tcW w:w="851" w:type="dxa"/>
            <w:gridSpan w:val="2"/>
          </w:tcPr>
          <w:p w14:paraId="03279A1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35,6</w:t>
            </w:r>
          </w:p>
        </w:tc>
        <w:tc>
          <w:tcPr>
            <w:tcW w:w="850" w:type="dxa"/>
            <w:gridSpan w:val="2"/>
          </w:tcPr>
          <w:p w14:paraId="214FED01"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47,5</w:t>
            </w:r>
          </w:p>
        </w:tc>
        <w:tc>
          <w:tcPr>
            <w:tcW w:w="851" w:type="dxa"/>
            <w:gridSpan w:val="2"/>
          </w:tcPr>
          <w:p w14:paraId="1244082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47,6</w:t>
            </w:r>
          </w:p>
        </w:tc>
        <w:tc>
          <w:tcPr>
            <w:tcW w:w="850" w:type="dxa"/>
          </w:tcPr>
          <w:p w14:paraId="56F8660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36,0</w:t>
            </w:r>
          </w:p>
        </w:tc>
        <w:tc>
          <w:tcPr>
            <w:tcW w:w="853" w:type="dxa"/>
          </w:tcPr>
          <w:p w14:paraId="126FE3EE" w14:textId="1901DE7F"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6987E7D1"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50,2</w:t>
            </w:r>
          </w:p>
        </w:tc>
      </w:tr>
      <w:tr w:rsidR="00CC1A5C" w:rsidRPr="003954D9" w14:paraId="422D3C01" w14:textId="77777777" w:rsidTr="00176DF0">
        <w:trPr>
          <w:trHeight w:val="227"/>
        </w:trPr>
        <w:tc>
          <w:tcPr>
            <w:tcW w:w="1618" w:type="dxa"/>
          </w:tcPr>
          <w:p w14:paraId="161029C3" w14:textId="6BD88266" w:rsidR="00CC1A5C" w:rsidRPr="003954D9" w:rsidRDefault="00CC1A5C" w:rsidP="00CC1A5C">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Ensamst. m.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834" w:type="dxa"/>
          </w:tcPr>
          <w:p w14:paraId="051ED764"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34,3</w:t>
            </w:r>
          </w:p>
        </w:tc>
        <w:tc>
          <w:tcPr>
            <w:tcW w:w="850" w:type="dxa"/>
          </w:tcPr>
          <w:p w14:paraId="0B39B7A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31,2</w:t>
            </w:r>
          </w:p>
        </w:tc>
        <w:tc>
          <w:tcPr>
            <w:tcW w:w="849" w:type="dxa"/>
            <w:gridSpan w:val="3"/>
          </w:tcPr>
          <w:p w14:paraId="4046339E"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22,6</w:t>
            </w:r>
          </w:p>
        </w:tc>
        <w:tc>
          <w:tcPr>
            <w:tcW w:w="709" w:type="dxa"/>
            <w:gridSpan w:val="2"/>
          </w:tcPr>
          <w:p w14:paraId="6036FA9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51" w:type="dxa"/>
            <w:gridSpan w:val="2"/>
          </w:tcPr>
          <w:p w14:paraId="3838EDB7"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21,3</w:t>
            </w:r>
          </w:p>
        </w:tc>
        <w:tc>
          <w:tcPr>
            <w:tcW w:w="850" w:type="dxa"/>
            <w:gridSpan w:val="2"/>
          </w:tcPr>
          <w:p w14:paraId="7B046469"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20,7</w:t>
            </w:r>
          </w:p>
        </w:tc>
        <w:tc>
          <w:tcPr>
            <w:tcW w:w="851" w:type="dxa"/>
            <w:gridSpan w:val="2"/>
          </w:tcPr>
          <w:p w14:paraId="728D15A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27,6</w:t>
            </w:r>
          </w:p>
        </w:tc>
        <w:tc>
          <w:tcPr>
            <w:tcW w:w="850" w:type="dxa"/>
          </w:tcPr>
          <w:p w14:paraId="29850EF9"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18,0</w:t>
            </w:r>
          </w:p>
        </w:tc>
        <w:tc>
          <w:tcPr>
            <w:tcW w:w="853" w:type="dxa"/>
          </w:tcPr>
          <w:p w14:paraId="709C35CE"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17,8</w:t>
            </w:r>
          </w:p>
        </w:tc>
        <w:tc>
          <w:tcPr>
            <w:tcW w:w="852" w:type="dxa"/>
          </w:tcPr>
          <w:p w14:paraId="33C90763"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31,5</w:t>
            </w:r>
          </w:p>
        </w:tc>
      </w:tr>
      <w:tr w:rsidR="00CC1A5C" w:rsidRPr="003954D9" w14:paraId="4591D40E" w14:textId="77777777" w:rsidTr="00176DF0">
        <w:trPr>
          <w:trHeight w:val="227"/>
        </w:trPr>
        <w:tc>
          <w:tcPr>
            <w:tcW w:w="1618" w:type="dxa"/>
          </w:tcPr>
          <w:p w14:paraId="5C63C070" w14:textId="6D62CBCC" w:rsidR="00CC1A5C" w:rsidRPr="003954D9" w:rsidRDefault="00CC1A5C" w:rsidP="00CC1A5C">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u. barn </w:t>
            </w:r>
            <w:r w:rsidR="00365C66" w:rsidRPr="003954D9">
              <w:rPr>
                <w:rFonts w:ascii="Calibri" w:eastAsiaTheme="minorHAnsi" w:hAnsi="Calibri" w:cs="Calibri"/>
                <w:b/>
                <w:color w:val="000000"/>
                <w:sz w:val="16"/>
                <w:szCs w:val="16"/>
                <w:lang w:eastAsia="en-US"/>
              </w:rPr>
              <w:t>18–64</w:t>
            </w:r>
            <w:r w:rsidRPr="003954D9">
              <w:rPr>
                <w:rFonts w:ascii="Calibri" w:eastAsiaTheme="minorHAnsi" w:hAnsi="Calibri" w:cs="Calibri"/>
                <w:b/>
                <w:color w:val="000000"/>
                <w:sz w:val="16"/>
                <w:szCs w:val="16"/>
                <w:lang w:eastAsia="en-US"/>
              </w:rPr>
              <w:t xml:space="preserve"> år</w:t>
            </w:r>
          </w:p>
        </w:tc>
        <w:tc>
          <w:tcPr>
            <w:tcW w:w="834" w:type="dxa"/>
          </w:tcPr>
          <w:p w14:paraId="79DA6CDD"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9,9</w:t>
            </w:r>
          </w:p>
        </w:tc>
        <w:tc>
          <w:tcPr>
            <w:tcW w:w="850" w:type="dxa"/>
          </w:tcPr>
          <w:p w14:paraId="4B8F54DE"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6,0</w:t>
            </w:r>
          </w:p>
        </w:tc>
        <w:tc>
          <w:tcPr>
            <w:tcW w:w="849" w:type="dxa"/>
            <w:gridSpan w:val="3"/>
          </w:tcPr>
          <w:p w14:paraId="54B7A8C8"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2,0</w:t>
            </w:r>
          </w:p>
        </w:tc>
        <w:tc>
          <w:tcPr>
            <w:tcW w:w="709" w:type="dxa"/>
            <w:gridSpan w:val="2"/>
          </w:tcPr>
          <w:p w14:paraId="24D2DC3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w:t>
            </w:r>
          </w:p>
        </w:tc>
        <w:tc>
          <w:tcPr>
            <w:tcW w:w="851" w:type="dxa"/>
            <w:gridSpan w:val="2"/>
          </w:tcPr>
          <w:p w14:paraId="485728D5"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w:t>
            </w:r>
          </w:p>
        </w:tc>
        <w:tc>
          <w:tcPr>
            <w:tcW w:w="850" w:type="dxa"/>
            <w:gridSpan w:val="2"/>
          </w:tcPr>
          <w:p w14:paraId="52C66113"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5,3</w:t>
            </w:r>
          </w:p>
        </w:tc>
        <w:tc>
          <w:tcPr>
            <w:tcW w:w="851" w:type="dxa"/>
            <w:gridSpan w:val="2"/>
          </w:tcPr>
          <w:p w14:paraId="1F86ECBF"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9,4</w:t>
            </w:r>
          </w:p>
        </w:tc>
        <w:tc>
          <w:tcPr>
            <w:tcW w:w="850" w:type="dxa"/>
          </w:tcPr>
          <w:p w14:paraId="163522DF"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2,0</w:t>
            </w:r>
          </w:p>
        </w:tc>
        <w:tc>
          <w:tcPr>
            <w:tcW w:w="853" w:type="dxa"/>
          </w:tcPr>
          <w:p w14:paraId="0F87836E" w14:textId="77C17132"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5CC9D233"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9,7</w:t>
            </w:r>
          </w:p>
        </w:tc>
      </w:tr>
      <w:tr w:rsidR="00CC1A5C" w:rsidRPr="003954D9" w14:paraId="69159C6A" w14:textId="77777777" w:rsidTr="00176DF0">
        <w:trPr>
          <w:trHeight w:val="227"/>
        </w:trPr>
        <w:tc>
          <w:tcPr>
            <w:tcW w:w="1618" w:type="dxa"/>
          </w:tcPr>
          <w:p w14:paraId="0680FBA6" w14:textId="57CD4058" w:rsidR="00CC1A5C" w:rsidRPr="003954D9" w:rsidRDefault="00CC1A5C" w:rsidP="00CC1A5C">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u. barn </w:t>
            </w:r>
            <w:r w:rsidR="00365C66" w:rsidRPr="003954D9">
              <w:rPr>
                <w:rFonts w:ascii="Calibri" w:eastAsiaTheme="minorHAnsi" w:hAnsi="Calibri" w:cs="Calibri"/>
                <w:b/>
                <w:color w:val="000000"/>
                <w:sz w:val="16"/>
                <w:szCs w:val="16"/>
                <w:lang w:eastAsia="en-US"/>
              </w:rPr>
              <w:t>65-år</w:t>
            </w:r>
          </w:p>
        </w:tc>
        <w:tc>
          <w:tcPr>
            <w:tcW w:w="834" w:type="dxa"/>
          </w:tcPr>
          <w:p w14:paraId="1D42CBA0"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19,7</w:t>
            </w:r>
          </w:p>
        </w:tc>
        <w:tc>
          <w:tcPr>
            <w:tcW w:w="850" w:type="dxa"/>
          </w:tcPr>
          <w:p w14:paraId="268A7512" w14:textId="4F6B535A"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49" w:type="dxa"/>
            <w:gridSpan w:val="3"/>
          </w:tcPr>
          <w:p w14:paraId="28B9F301" w14:textId="2822DAB1"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09" w:type="dxa"/>
            <w:gridSpan w:val="2"/>
          </w:tcPr>
          <w:p w14:paraId="00AC4170" w14:textId="634D50D5"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1" w:type="dxa"/>
            <w:gridSpan w:val="2"/>
          </w:tcPr>
          <w:p w14:paraId="6B571185" w14:textId="5AF5A81A"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0" w:type="dxa"/>
            <w:gridSpan w:val="2"/>
          </w:tcPr>
          <w:p w14:paraId="0647FF20" w14:textId="5DB3EF71"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1" w:type="dxa"/>
            <w:gridSpan w:val="2"/>
          </w:tcPr>
          <w:p w14:paraId="13132B8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15,8</w:t>
            </w:r>
          </w:p>
        </w:tc>
        <w:tc>
          <w:tcPr>
            <w:tcW w:w="850" w:type="dxa"/>
          </w:tcPr>
          <w:p w14:paraId="617A40D2"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p>
        </w:tc>
        <w:tc>
          <w:tcPr>
            <w:tcW w:w="853" w:type="dxa"/>
          </w:tcPr>
          <w:p w14:paraId="2A15A383" w14:textId="53207ACE"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1B2EAFA9"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8,4</w:t>
            </w:r>
          </w:p>
        </w:tc>
      </w:tr>
      <w:tr w:rsidR="00CC1A5C" w:rsidRPr="003954D9" w14:paraId="0B47CA52" w14:textId="77777777" w:rsidTr="00176DF0">
        <w:trPr>
          <w:trHeight w:val="227"/>
        </w:trPr>
        <w:tc>
          <w:tcPr>
            <w:tcW w:w="1618" w:type="dxa"/>
          </w:tcPr>
          <w:p w14:paraId="7D1E8D48" w14:textId="2C3021D1" w:rsidR="00CC1A5C" w:rsidRPr="003954D9" w:rsidRDefault="00CC1A5C" w:rsidP="00CC1A5C">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m. 1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834" w:type="dxa"/>
          </w:tcPr>
          <w:p w14:paraId="181F104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c>
          <w:tcPr>
            <w:tcW w:w="850" w:type="dxa"/>
          </w:tcPr>
          <w:p w14:paraId="7ABF1BEC"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13,4</w:t>
            </w:r>
          </w:p>
        </w:tc>
        <w:tc>
          <w:tcPr>
            <w:tcW w:w="849" w:type="dxa"/>
            <w:gridSpan w:val="3"/>
          </w:tcPr>
          <w:p w14:paraId="109F212D" w14:textId="5C2C6D93"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09" w:type="dxa"/>
            <w:gridSpan w:val="2"/>
          </w:tcPr>
          <w:p w14:paraId="43C8795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3,6</w:t>
            </w:r>
          </w:p>
        </w:tc>
        <w:tc>
          <w:tcPr>
            <w:tcW w:w="851" w:type="dxa"/>
            <w:gridSpan w:val="2"/>
          </w:tcPr>
          <w:p w14:paraId="7CE2D437"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4,8</w:t>
            </w:r>
          </w:p>
        </w:tc>
        <w:tc>
          <w:tcPr>
            <w:tcW w:w="850" w:type="dxa"/>
            <w:gridSpan w:val="2"/>
          </w:tcPr>
          <w:p w14:paraId="24F4403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7,5</w:t>
            </w:r>
          </w:p>
        </w:tc>
        <w:tc>
          <w:tcPr>
            <w:tcW w:w="851" w:type="dxa"/>
            <w:gridSpan w:val="2"/>
          </w:tcPr>
          <w:p w14:paraId="49511A2F"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8,7</w:t>
            </w:r>
          </w:p>
        </w:tc>
        <w:tc>
          <w:tcPr>
            <w:tcW w:w="850" w:type="dxa"/>
          </w:tcPr>
          <w:p w14:paraId="4766557D" w14:textId="77777777" w:rsidR="00CC1A5C" w:rsidRPr="003954D9" w:rsidRDefault="00CC1A5C" w:rsidP="00CC1A5C">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2,5</w:t>
            </w:r>
          </w:p>
        </w:tc>
        <w:tc>
          <w:tcPr>
            <w:tcW w:w="853" w:type="dxa"/>
          </w:tcPr>
          <w:p w14:paraId="3BEA8323" w14:textId="2014238E"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2EB5B0AE"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14,3</w:t>
            </w:r>
          </w:p>
        </w:tc>
      </w:tr>
      <w:tr w:rsidR="00CC1A5C" w:rsidRPr="003954D9" w14:paraId="6E4C3564" w14:textId="77777777" w:rsidTr="00176DF0">
        <w:trPr>
          <w:trHeight w:val="227"/>
        </w:trPr>
        <w:tc>
          <w:tcPr>
            <w:tcW w:w="1618" w:type="dxa"/>
          </w:tcPr>
          <w:p w14:paraId="5C296DB9" w14:textId="1628D50A" w:rsidR="00CC1A5C" w:rsidRPr="003954D9" w:rsidRDefault="00CC1A5C" w:rsidP="00CC1A5C">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m. 2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834" w:type="dxa"/>
          </w:tcPr>
          <w:p w14:paraId="3C634C6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16,0</w:t>
            </w:r>
          </w:p>
        </w:tc>
        <w:tc>
          <w:tcPr>
            <w:tcW w:w="850" w:type="dxa"/>
          </w:tcPr>
          <w:p w14:paraId="4877622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12,2</w:t>
            </w:r>
          </w:p>
        </w:tc>
        <w:tc>
          <w:tcPr>
            <w:tcW w:w="849" w:type="dxa"/>
            <w:gridSpan w:val="3"/>
          </w:tcPr>
          <w:p w14:paraId="26FDAF10" w14:textId="2F747FDD"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09" w:type="dxa"/>
            <w:gridSpan w:val="2"/>
          </w:tcPr>
          <w:p w14:paraId="6D31CF6D" w14:textId="3B7A70FC"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1" w:type="dxa"/>
            <w:gridSpan w:val="2"/>
          </w:tcPr>
          <w:p w14:paraId="2AEF87E7" w14:textId="1D3ED66C"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0" w:type="dxa"/>
            <w:gridSpan w:val="2"/>
          </w:tcPr>
          <w:p w14:paraId="423D73C6"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851" w:type="dxa"/>
            <w:gridSpan w:val="2"/>
          </w:tcPr>
          <w:p w14:paraId="4A8F3803"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14,1</w:t>
            </w:r>
          </w:p>
        </w:tc>
        <w:tc>
          <w:tcPr>
            <w:tcW w:w="850" w:type="dxa"/>
          </w:tcPr>
          <w:p w14:paraId="7364B70F" w14:textId="77777777" w:rsidR="00CC1A5C" w:rsidRPr="003954D9" w:rsidRDefault="00CC1A5C" w:rsidP="00CC1A5C">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1,8</w:t>
            </w:r>
          </w:p>
        </w:tc>
        <w:tc>
          <w:tcPr>
            <w:tcW w:w="853" w:type="dxa"/>
          </w:tcPr>
          <w:p w14:paraId="79CFB0D5" w14:textId="3FA4B595" w:rsidR="00CC1A5C" w:rsidRPr="003954D9" w:rsidRDefault="00261572" w:rsidP="00CC1A5C">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2FBFDB48"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18,8</w:t>
            </w:r>
          </w:p>
        </w:tc>
      </w:tr>
      <w:tr w:rsidR="00CC1A5C" w:rsidRPr="003954D9" w14:paraId="058D78CC" w14:textId="77777777" w:rsidTr="00176DF0">
        <w:trPr>
          <w:trHeight w:val="227"/>
        </w:trPr>
        <w:tc>
          <w:tcPr>
            <w:tcW w:w="1618" w:type="dxa"/>
          </w:tcPr>
          <w:p w14:paraId="7CA92E2B" w14:textId="7CFA93B5" w:rsidR="00CC1A5C" w:rsidRPr="003954D9" w:rsidRDefault="00CC1A5C" w:rsidP="00CC1A5C">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m. 3-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834" w:type="dxa"/>
          </w:tcPr>
          <w:p w14:paraId="015D16BE"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22,7</w:t>
            </w:r>
          </w:p>
        </w:tc>
        <w:tc>
          <w:tcPr>
            <w:tcW w:w="850" w:type="dxa"/>
          </w:tcPr>
          <w:p w14:paraId="6B3E38E2"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49" w:type="dxa"/>
            <w:gridSpan w:val="3"/>
          </w:tcPr>
          <w:p w14:paraId="4D192958" w14:textId="235A047F"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09" w:type="dxa"/>
            <w:gridSpan w:val="2"/>
          </w:tcPr>
          <w:p w14:paraId="5953E1EB" w14:textId="4546781B"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1" w:type="dxa"/>
            <w:gridSpan w:val="2"/>
          </w:tcPr>
          <w:p w14:paraId="020EE31F" w14:textId="0EB4B312"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0" w:type="dxa"/>
            <w:gridSpan w:val="2"/>
          </w:tcPr>
          <w:p w14:paraId="102BBB36" w14:textId="77777777" w:rsidR="00CC1A5C" w:rsidRPr="003954D9" w:rsidRDefault="00CC1A5C" w:rsidP="00CC1A5C">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5,2</w:t>
            </w:r>
          </w:p>
        </w:tc>
        <w:tc>
          <w:tcPr>
            <w:tcW w:w="851" w:type="dxa"/>
            <w:gridSpan w:val="2"/>
          </w:tcPr>
          <w:p w14:paraId="78B9BAC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50" w:type="dxa"/>
          </w:tcPr>
          <w:p w14:paraId="083EF23C"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9,1</w:t>
            </w:r>
          </w:p>
        </w:tc>
        <w:tc>
          <w:tcPr>
            <w:tcW w:w="853" w:type="dxa"/>
          </w:tcPr>
          <w:p w14:paraId="71DF932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p>
        </w:tc>
        <w:tc>
          <w:tcPr>
            <w:tcW w:w="852" w:type="dxa"/>
          </w:tcPr>
          <w:p w14:paraId="291E2C12"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31,4</w:t>
            </w:r>
          </w:p>
        </w:tc>
      </w:tr>
      <w:tr w:rsidR="00CC1A5C" w:rsidRPr="003954D9" w14:paraId="5D3F52B4" w14:textId="77777777" w:rsidTr="00176DF0">
        <w:trPr>
          <w:trHeight w:val="227"/>
        </w:trPr>
        <w:tc>
          <w:tcPr>
            <w:tcW w:w="1618" w:type="dxa"/>
          </w:tcPr>
          <w:p w14:paraId="1F5FDDD0" w14:textId="24EF4A36" w:rsidR="00CC1A5C" w:rsidRPr="003954D9" w:rsidRDefault="00DD3DF3" w:rsidP="00CC1A5C">
            <w:pPr>
              <w:autoSpaceDE w:val="0"/>
              <w:autoSpaceDN w:val="0"/>
              <w:adjustRightInd w:val="0"/>
              <w:rPr>
                <w:rFonts w:ascii="Calibri" w:eastAsiaTheme="minorHAnsi" w:hAnsi="Calibri" w:cs="Calibri"/>
                <w:b/>
                <w:color w:val="000000"/>
                <w:sz w:val="16"/>
                <w:szCs w:val="16"/>
                <w:lang w:eastAsia="en-US"/>
              </w:rPr>
            </w:pPr>
            <w:r>
              <w:rPr>
                <w:rFonts w:ascii="Calibri" w:eastAsiaTheme="minorHAnsi" w:hAnsi="Calibri" w:cs="Calibri"/>
                <w:b/>
                <w:color w:val="000000"/>
                <w:sz w:val="16"/>
                <w:szCs w:val="16"/>
                <w:lang w:eastAsia="en-US"/>
              </w:rPr>
              <w:t>Övr.</w:t>
            </w:r>
            <w:r w:rsidR="00CC1A5C" w:rsidRPr="003954D9">
              <w:rPr>
                <w:rFonts w:ascii="Calibri" w:eastAsiaTheme="minorHAnsi" w:hAnsi="Calibri" w:cs="Calibri"/>
                <w:b/>
                <w:color w:val="000000"/>
                <w:sz w:val="16"/>
                <w:szCs w:val="16"/>
                <w:lang w:eastAsia="en-US"/>
              </w:rPr>
              <w:t xml:space="preserve"> hushåll u. barn </w:t>
            </w:r>
          </w:p>
        </w:tc>
        <w:tc>
          <w:tcPr>
            <w:tcW w:w="834" w:type="dxa"/>
          </w:tcPr>
          <w:p w14:paraId="3BCD34C7"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7,0</w:t>
            </w:r>
          </w:p>
        </w:tc>
        <w:tc>
          <w:tcPr>
            <w:tcW w:w="850" w:type="dxa"/>
          </w:tcPr>
          <w:p w14:paraId="4A6E8352"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6,2</w:t>
            </w:r>
          </w:p>
        </w:tc>
        <w:tc>
          <w:tcPr>
            <w:tcW w:w="849" w:type="dxa"/>
            <w:gridSpan w:val="3"/>
          </w:tcPr>
          <w:p w14:paraId="0CB0B02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w:t>
            </w:r>
          </w:p>
        </w:tc>
        <w:tc>
          <w:tcPr>
            <w:tcW w:w="709" w:type="dxa"/>
            <w:gridSpan w:val="2"/>
          </w:tcPr>
          <w:p w14:paraId="71621643" w14:textId="77777777" w:rsidR="00CC1A5C" w:rsidRPr="003954D9" w:rsidRDefault="00CC1A5C" w:rsidP="00CC1A5C">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3,3</w:t>
            </w:r>
          </w:p>
        </w:tc>
        <w:tc>
          <w:tcPr>
            <w:tcW w:w="851" w:type="dxa"/>
            <w:gridSpan w:val="2"/>
          </w:tcPr>
          <w:p w14:paraId="5AFD0997"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w:t>
            </w:r>
          </w:p>
        </w:tc>
        <w:tc>
          <w:tcPr>
            <w:tcW w:w="850" w:type="dxa"/>
            <w:gridSpan w:val="2"/>
          </w:tcPr>
          <w:p w14:paraId="3865CC6F"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5,8</w:t>
            </w:r>
          </w:p>
        </w:tc>
        <w:tc>
          <w:tcPr>
            <w:tcW w:w="851" w:type="dxa"/>
            <w:gridSpan w:val="2"/>
          </w:tcPr>
          <w:p w14:paraId="34608B5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5,3</w:t>
            </w:r>
          </w:p>
        </w:tc>
        <w:tc>
          <w:tcPr>
            <w:tcW w:w="850" w:type="dxa"/>
          </w:tcPr>
          <w:p w14:paraId="76CECB0B" w14:textId="77777777" w:rsidR="00CC1A5C" w:rsidRPr="003954D9" w:rsidRDefault="00CC1A5C" w:rsidP="00CC1A5C">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3,3</w:t>
            </w:r>
          </w:p>
        </w:tc>
        <w:tc>
          <w:tcPr>
            <w:tcW w:w="853" w:type="dxa"/>
          </w:tcPr>
          <w:p w14:paraId="76504C8B" w14:textId="2CD6FB68"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019571E7"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7,2</w:t>
            </w:r>
          </w:p>
        </w:tc>
      </w:tr>
      <w:tr w:rsidR="00CC1A5C" w:rsidRPr="003954D9" w14:paraId="1D31901C" w14:textId="77777777" w:rsidTr="00176DF0">
        <w:trPr>
          <w:trHeight w:val="227"/>
        </w:trPr>
        <w:tc>
          <w:tcPr>
            <w:tcW w:w="1618" w:type="dxa"/>
          </w:tcPr>
          <w:p w14:paraId="6154AE8A" w14:textId="308D0E62" w:rsidR="00CC1A5C" w:rsidRPr="003954D9" w:rsidRDefault="00DD3DF3" w:rsidP="00CC1A5C">
            <w:pPr>
              <w:autoSpaceDE w:val="0"/>
              <w:autoSpaceDN w:val="0"/>
              <w:adjustRightInd w:val="0"/>
              <w:rPr>
                <w:rFonts w:ascii="Calibri" w:eastAsiaTheme="minorHAnsi" w:hAnsi="Calibri" w:cs="Calibri"/>
                <w:b/>
                <w:color w:val="000000"/>
                <w:sz w:val="16"/>
                <w:szCs w:val="16"/>
                <w:lang w:eastAsia="en-US"/>
              </w:rPr>
            </w:pPr>
            <w:r>
              <w:rPr>
                <w:rFonts w:ascii="Calibri" w:eastAsiaTheme="minorHAnsi" w:hAnsi="Calibri" w:cs="Calibri"/>
                <w:b/>
                <w:color w:val="000000"/>
                <w:sz w:val="16"/>
                <w:szCs w:val="16"/>
                <w:lang w:eastAsia="en-US"/>
              </w:rPr>
              <w:t>Övr.</w:t>
            </w:r>
            <w:r w:rsidR="00CC1A5C" w:rsidRPr="003954D9">
              <w:rPr>
                <w:rFonts w:ascii="Calibri" w:eastAsiaTheme="minorHAnsi" w:hAnsi="Calibri" w:cs="Calibri"/>
                <w:b/>
                <w:color w:val="000000"/>
                <w:sz w:val="16"/>
                <w:szCs w:val="16"/>
                <w:lang w:eastAsia="en-US"/>
              </w:rPr>
              <w:t xml:space="preserve"> hushåll m. barn</w:t>
            </w:r>
          </w:p>
        </w:tc>
        <w:tc>
          <w:tcPr>
            <w:tcW w:w="834" w:type="dxa"/>
          </w:tcPr>
          <w:p w14:paraId="08B8BFB3"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7,6</w:t>
            </w:r>
          </w:p>
        </w:tc>
        <w:tc>
          <w:tcPr>
            <w:tcW w:w="850" w:type="dxa"/>
          </w:tcPr>
          <w:p w14:paraId="329EE82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7,8</w:t>
            </w:r>
          </w:p>
        </w:tc>
        <w:tc>
          <w:tcPr>
            <w:tcW w:w="849" w:type="dxa"/>
            <w:gridSpan w:val="3"/>
          </w:tcPr>
          <w:p w14:paraId="153D0DDE" w14:textId="77777777" w:rsidR="00CC1A5C" w:rsidRPr="003954D9" w:rsidRDefault="00CC1A5C" w:rsidP="00CC1A5C">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4,3</w:t>
            </w:r>
          </w:p>
        </w:tc>
        <w:tc>
          <w:tcPr>
            <w:tcW w:w="709" w:type="dxa"/>
            <w:gridSpan w:val="2"/>
          </w:tcPr>
          <w:p w14:paraId="6249AE20"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9,9</w:t>
            </w:r>
          </w:p>
        </w:tc>
        <w:tc>
          <w:tcPr>
            <w:tcW w:w="851" w:type="dxa"/>
            <w:gridSpan w:val="2"/>
          </w:tcPr>
          <w:p w14:paraId="3FA9EF7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4,8</w:t>
            </w:r>
          </w:p>
        </w:tc>
        <w:tc>
          <w:tcPr>
            <w:tcW w:w="850" w:type="dxa"/>
            <w:gridSpan w:val="2"/>
          </w:tcPr>
          <w:p w14:paraId="7554B35F"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6,1</w:t>
            </w:r>
          </w:p>
        </w:tc>
        <w:tc>
          <w:tcPr>
            <w:tcW w:w="851" w:type="dxa"/>
            <w:gridSpan w:val="2"/>
          </w:tcPr>
          <w:p w14:paraId="4D72291D"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7,6</w:t>
            </w:r>
          </w:p>
        </w:tc>
        <w:tc>
          <w:tcPr>
            <w:tcW w:w="850" w:type="dxa"/>
          </w:tcPr>
          <w:p w14:paraId="2FA02310"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5,1</w:t>
            </w:r>
          </w:p>
        </w:tc>
        <w:tc>
          <w:tcPr>
            <w:tcW w:w="853" w:type="dxa"/>
          </w:tcPr>
          <w:p w14:paraId="2D6DFB60" w14:textId="4E779C4C" w:rsidR="00CC1A5C" w:rsidRPr="003954D9" w:rsidRDefault="00261572"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6F514E31"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9,9</w:t>
            </w:r>
          </w:p>
        </w:tc>
      </w:tr>
      <w:tr w:rsidR="00CC1A5C" w:rsidRPr="003954D9" w14:paraId="52991969" w14:textId="77777777" w:rsidTr="00176DF0">
        <w:trPr>
          <w:trHeight w:val="227"/>
        </w:trPr>
        <w:tc>
          <w:tcPr>
            <w:tcW w:w="1618" w:type="dxa"/>
          </w:tcPr>
          <w:p w14:paraId="117241A4" w14:textId="77777777" w:rsidR="00CC1A5C" w:rsidRPr="003954D9" w:rsidRDefault="00CC1A5C" w:rsidP="00CC1A5C">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Samtliga</w:t>
            </w:r>
          </w:p>
        </w:tc>
        <w:tc>
          <w:tcPr>
            <w:tcW w:w="834" w:type="dxa"/>
          </w:tcPr>
          <w:p w14:paraId="674CDE48"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21,4</w:t>
            </w:r>
          </w:p>
        </w:tc>
        <w:tc>
          <w:tcPr>
            <w:tcW w:w="850" w:type="dxa"/>
          </w:tcPr>
          <w:p w14:paraId="0AF868B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20,5</w:t>
            </w:r>
          </w:p>
        </w:tc>
        <w:tc>
          <w:tcPr>
            <w:tcW w:w="849" w:type="dxa"/>
            <w:gridSpan w:val="3"/>
          </w:tcPr>
          <w:p w14:paraId="76D6184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15,2</w:t>
            </w:r>
          </w:p>
        </w:tc>
        <w:tc>
          <w:tcPr>
            <w:tcW w:w="709" w:type="dxa"/>
            <w:gridSpan w:val="2"/>
          </w:tcPr>
          <w:p w14:paraId="0E6E8044" w14:textId="77777777" w:rsidR="00CC1A5C" w:rsidRPr="003954D9" w:rsidRDefault="00CC1A5C" w:rsidP="00CC1A5C">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12,4</w:t>
            </w:r>
          </w:p>
        </w:tc>
        <w:tc>
          <w:tcPr>
            <w:tcW w:w="851" w:type="dxa"/>
            <w:gridSpan w:val="2"/>
          </w:tcPr>
          <w:p w14:paraId="403B58C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14,1</w:t>
            </w:r>
          </w:p>
        </w:tc>
        <w:tc>
          <w:tcPr>
            <w:tcW w:w="850" w:type="dxa"/>
            <w:gridSpan w:val="2"/>
          </w:tcPr>
          <w:p w14:paraId="3FCA1E0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16,8</w:t>
            </w:r>
          </w:p>
        </w:tc>
        <w:tc>
          <w:tcPr>
            <w:tcW w:w="851" w:type="dxa"/>
            <w:gridSpan w:val="2"/>
          </w:tcPr>
          <w:p w14:paraId="47EF4B9C"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21,5</w:t>
            </w:r>
          </w:p>
        </w:tc>
        <w:tc>
          <w:tcPr>
            <w:tcW w:w="850" w:type="dxa"/>
          </w:tcPr>
          <w:p w14:paraId="423481AE"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13,3</w:t>
            </w:r>
          </w:p>
        </w:tc>
        <w:tc>
          <w:tcPr>
            <w:tcW w:w="853" w:type="dxa"/>
          </w:tcPr>
          <w:p w14:paraId="735FBA2A"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14,8</w:t>
            </w:r>
          </w:p>
        </w:tc>
        <w:tc>
          <w:tcPr>
            <w:tcW w:w="852" w:type="dxa"/>
          </w:tcPr>
          <w:p w14:paraId="3A75C1D0" w14:textId="77777777" w:rsidR="00CC1A5C" w:rsidRPr="003954D9" w:rsidRDefault="00CC1A5C" w:rsidP="00CC1A5C">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21,4</w:t>
            </w:r>
          </w:p>
        </w:tc>
      </w:tr>
      <w:tr w:rsidR="00CC1A5C" w:rsidRPr="003954D9" w14:paraId="4AA8A730" w14:textId="77777777" w:rsidTr="00176DF0">
        <w:trPr>
          <w:trHeight w:val="227"/>
        </w:trPr>
        <w:tc>
          <w:tcPr>
            <w:tcW w:w="1618" w:type="dxa"/>
          </w:tcPr>
          <w:p w14:paraId="5670AA9C" w14:textId="77777777" w:rsidR="00CC1A5C" w:rsidRPr="003954D9" w:rsidRDefault="00CC1A5C" w:rsidP="00CC1A5C">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Ökning i antal </w:t>
            </w:r>
          </w:p>
        </w:tc>
        <w:tc>
          <w:tcPr>
            <w:tcW w:w="834" w:type="dxa"/>
          </w:tcPr>
          <w:p w14:paraId="3B4DF7DE"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959</w:t>
            </w:r>
          </w:p>
        </w:tc>
        <w:tc>
          <w:tcPr>
            <w:tcW w:w="850" w:type="dxa"/>
          </w:tcPr>
          <w:p w14:paraId="392AC74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491</w:t>
            </w:r>
          </w:p>
        </w:tc>
        <w:tc>
          <w:tcPr>
            <w:tcW w:w="849" w:type="dxa"/>
            <w:gridSpan w:val="3"/>
          </w:tcPr>
          <w:p w14:paraId="392BE182"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314</w:t>
            </w:r>
          </w:p>
        </w:tc>
        <w:tc>
          <w:tcPr>
            <w:tcW w:w="709" w:type="dxa"/>
            <w:gridSpan w:val="2"/>
          </w:tcPr>
          <w:p w14:paraId="63771596"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113</w:t>
            </w:r>
          </w:p>
        </w:tc>
        <w:tc>
          <w:tcPr>
            <w:tcW w:w="851" w:type="dxa"/>
            <w:gridSpan w:val="2"/>
          </w:tcPr>
          <w:p w14:paraId="6A8401C4"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373</w:t>
            </w:r>
          </w:p>
        </w:tc>
        <w:tc>
          <w:tcPr>
            <w:tcW w:w="850" w:type="dxa"/>
            <w:gridSpan w:val="2"/>
          </w:tcPr>
          <w:p w14:paraId="6544BA15"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232</w:t>
            </w:r>
          </w:p>
        </w:tc>
        <w:tc>
          <w:tcPr>
            <w:tcW w:w="851" w:type="dxa"/>
            <w:gridSpan w:val="2"/>
          </w:tcPr>
          <w:p w14:paraId="18A39777"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601</w:t>
            </w:r>
          </w:p>
        </w:tc>
        <w:tc>
          <w:tcPr>
            <w:tcW w:w="850" w:type="dxa"/>
          </w:tcPr>
          <w:p w14:paraId="56F66FE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342</w:t>
            </w:r>
          </w:p>
        </w:tc>
        <w:tc>
          <w:tcPr>
            <w:tcW w:w="853" w:type="dxa"/>
          </w:tcPr>
          <w:p w14:paraId="47307358"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w:t>
            </w:r>
          </w:p>
        </w:tc>
        <w:tc>
          <w:tcPr>
            <w:tcW w:w="852" w:type="dxa"/>
          </w:tcPr>
          <w:p w14:paraId="28C5E32B" w14:textId="77777777" w:rsidR="00CC1A5C" w:rsidRPr="003954D9" w:rsidRDefault="00CC1A5C" w:rsidP="00CC1A5C">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748</w:t>
            </w:r>
          </w:p>
        </w:tc>
      </w:tr>
    </w:tbl>
    <w:p w14:paraId="1F728700" w14:textId="77777777" w:rsidR="003F3F96" w:rsidRPr="003954D9" w:rsidRDefault="003F3F96" w:rsidP="003F3F96">
      <w:pPr>
        <w:rPr>
          <w:sz w:val="16"/>
          <w:szCs w:val="16"/>
        </w:rPr>
      </w:pPr>
      <w:r w:rsidRPr="00DD227A">
        <w:rPr>
          <w:b/>
          <w:color w:val="FF0000"/>
          <w:sz w:val="16"/>
          <w:szCs w:val="16"/>
        </w:rPr>
        <w:t>Röd färg högsta</w:t>
      </w:r>
      <w:r w:rsidRPr="00DD227A">
        <w:rPr>
          <w:color w:val="FF0000"/>
          <w:sz w:val="16"/>
          <w:szCs w:val="16"/>
        </w:rPr>
        <w:t xml:space="preserve"> </w:t>
      </w:r>
      <w:r w:rsidRPr="003954D9">
        <w:rPr>
          <w:sz w:val="16"/>
          <w:szCs w:val="16"/>
        </w:rPr>
        <w:t xml:space="preserve">och </w:t>
      </w:r>
      <w:r w:rsidRPr="00DD227A">
        <w:rPr>
          <w:b/>
          <w:color w:val="548DD4" w:themeColor="text2" w:themeTint="99"/>
          <w:sz w:val="16"/>
          <w:szCs w:val="16"/>
        </w:rPr>
        <w:t>blå färg lägsta</w:t>
      </w:r>
      <w:r w:rsidRPr="003954D9">
        <w:rPr>
          <w:sz w:val="16"/>
          <w:szCs w:val="16"/>
        </w:rPr>
        <w:t xml:space="preserve"> värde i grupp.</w:t>
      </w:r>
    </w:p>
    <w:p w14:paraId="4322A99D" w14:textId="3082A7F7" w:rsidR="00CC1A5C" w:rsidRPr="003954D9" w:rsidRDefault="00CC1A5C" w:rsidP="00CC1A5C">
      <w:pPr>
        <w:rPr>
          <w:sz w:val="16"/>
          <w:szCs w:val="16"/>
        </w:rPr>
      </w:pPr>
    </w:p>
    <w:p w14:paraId="23D1C953" w14:textId="529567D2" w:rsidR="00CC1A5C" w:rsidRPr="003954D9" w:rsidRDefault="00496554" w:rsidP="00540A4D">
      <w:pPr>
        <w:pStyle w:val="Rubrik3"/>
      </w:pPr>
      <w:bookmarkStart w:id="130" w:name="_Toc463184414"/>
      <w:bookmarkStart w:id="131" w:name="_Toc464828419"/>
      <w:r w:rsidRPr="003954D9">
        <w:t>Hushållstyper - h</w:t>
      </w:r>
      <w:r w:rsidR="00EB5DD2" w:rsidRPr="003954D9">
        <w:t>ur mycket har man kvar</w:t>
      </w:r>
      <w:r w:rsidR="00A41BD6" w:rsidRPr="003954D9">
        <w:t xml:space="preserve"> efter en hyreshöjning på 50 </w:t>
      </w:r>
      <w:r w:rsidR="00475673" w:rsidRPr="003954D9">
        <w:t>procent</w:t>
      </w:r>
      <w:r w:rsidR="00EB5DD2" w:rsidRPr="003954D9">
        <w:t>?</w:t>
      </w:r>
      <w:bookmarkEnd w:id="130"/>
      <w:bookmarkEnd w:id="131"/>
    </w:p>
    <w:p w14:paraId="4D726E0B" w14:textId="6619CF8E" w:rsidR="00A41BD6" w:rsidRPr="003954D9" w:rsidRDefault="00CC1A5C" w:rsidP="00EB5DD2">
      <w:r w:rsidRPr="003954D9">
        <w:t xml:space="preserve">Ett sätt att beskriva </w:t>
      </w:r>
      <w:r w:rsidR="00A41BD6" w:rsidRPr="003954D9">
        <w:t xml:space="preserve">följderna av en hyreshöjning på 50 </w:t>
      </w:r>
      <w:r w:rsidR="00475673" w:rsidRPr="003954D9">
        <w:t>procent</w:t>
      </w:r>
      <w:r w:rsidRPr="003954D9">
        <w:t xml:space="preserve"> är att se hur mycket </w:t>
      </w:r>
      <w:r w:rsidR="00EB5DD2" w:rsidRPr="003954D9">
        <w:t xml:space="preserve">olika hushållstyper i de olika stadsdelarna </w:t>
      </w:r>
      <w:r w:rsidRPr="003954D9">
        <w:t>har kvar utöver</w:t>
      </w:r>
      <w:r w:rsidRPr="003954D9">
        <w:rPr>
          <w:i/>
        </w:rPr>
        <w:t xml:space="preserve"> </w:t>
      </w:r>
      <w:r w:rsidRPr="003954D9">
        <w:t>vad som krävs för skälig levnadsnivå när hyran är betald</w:t>
      </w:r>
      <w:r w:rsidR="00A41BD6" w:rsidRPr="003954D9">
        <w:t xml:space="preserve">. </w:t>
      </w:r>
      <w:r w:rsidR="00EB5DD2" w:rsidRPr="003954D9">
        <w:t xml:space="preserve">Som framgår är </w:t>
      </w:r>
      <w:r w:rsidRPr="003954D9">
        <w:t>skillnader</w:t>
      </w:r>
      <w:r w:rsidR="00EB5DD2" w:rsidRPr="003954D9">
        <w:t xml:space="preserve">na stora </w:t>
      </w:r>
      <w:r w:rsidRPr="003954D9">
        <w:t xml:space="preserve">både </w:t>
      </w:r>
      <w:r w:rsidR="00EB5DD2" w:rsidRPr="003954D9">
        <w:t xml:space="preserve">mellan </w:t>
      </w:r>
      <w:r w:rsidRPr="003954D9">
        <w:t>olika hushållstyper och mellan stadsdelar</w:t>
      </w:r>
      <w:r w:rsidR="00EB5DD2" w:rsidRPr="003954D9">
        <w:t>na</w:t>
      </w:r>
      <w:r w:rsidRPr="003954D9">
        <w:t xml:space="preserve">. </w:t>
      </w:r>
    </w:p>
    <w:p w14:paraId="52F0F6E9" w14:textId="073C5E2B" w:rsidR="00A41BD6" w:rsidRPr="003954D9" w:rsidRDefault="00CC1A5C" w:rsidP="002A6DBE">
      <w:r w:rsidRPr="003954D9">
        <w:t xml:space="preserve">De hushåll som har mest att spendera är genomgående samboende utan barn </w:t>
      </w:r>
      <w:r w:rsidR="00365C66" w:rsidRPr="003954D9">
        <w:t>18–64</w:t>
      </w:r>
      <w:r w:rsidRPr="003954D9">
        <w:t xml:space="preserve"> år (med undantag </w:t>
      </w:r>
      <w:r w:rsidR="00EB5DD2" w:rsidRPr="003954D9">
        <w:t xml:space="preserve">för </w:t>
      </w:r>
      <w:r w:rsidRPr="003954D9">
        <w:t>Angered)</w:t>
      </w:r>
      <w:r w:rsidR="00EB5DD2" w:rsidRPr="003954D9">
        <w:t xml:space="preserve"> och a</w:t>
      </w:r>
      <w:r w:rsidRPr="003954D9">
        <w:t xml:space="preserve">llra mest </w:t>
      </w:r>
      <w:r w:rsidR="00EB5DD2" w:rsidRPr="003954D9">
        <w:t xml:space="preserve">i Majorna-Linnéstaden </w:t>
      </w:r>
      <w:r w:rsidRPr="003954D9">
        <w:t xml:space="preserve">med 9 500 kronor per person och månad. </w:t>
      </w:r>
      <w:r w:rsidR="00EB5DD2" w:rsidRPr="003954D9">
        <w:t xml:space="preserve">Minst kvar har </w:t>
      </w:r>
      <w:r w:rsidRPr="003954D9">
        <w:t>ensa</w:t>
      </w:r>
      <w:r w:rsidR="00EB5DD2" w:rsidRPr="003954D9">
        <w:t>m</w:t>
      </w:r>
      <w:r w:rsidRPr="003954D9">
        <w:t xml:space="preserve">stående med barn som hamnar på minus i Angered och Västra Hisingen. I hela Göteborg återstår </w:t>
      </w:r>
      <w:r w:rsidR="00A41BD6" w:rsidRPr="003954D9">
        <w:t xml:space="preserve">för dessa hushåll </w:t>
      </w:r>
      <w:r w:rsidRPr="003954D9">
        <w:t>343 kronor per person utöver skälig levnadsnivå.</w:t>
      </w:r>
      <w:r w:rsidR="00EB5DD2" w:rsidRPr="003954D9">
        <w:t xml:space="preserve"> Medelvärdet för </w:t>
      </w:r>
      <w:r w:rsidR="002243D3" w:rsidRPr="003954D9">
        <w:t xml:space="preserve">alla hushåll i undersökningen </w:t>
      </w:r>
      <w:r w:rsidR="00EB5DD2" w:rsidRPr="003954D9">
        <w:t>är 6 </w:t>
      </w:r>
      <w:r w:rsidR="002243D3" w:rsidRPr="003954D9">
        <w:t>500 kr</w:t>
      </w:r>
      <w:r w:rsidR="00D57DB5" w:rsidRPr="003954D9">
        <w:t>onor per person och månad</w:t>
      </w:r>
      <w:r w:rsidR="002243D3" w:rsidRPr="003954D9">
        <w:t>.</w:t>
      </w:r>
      <w:r w:rsidR="00205B1C" w:rsidRPr="003954D9">
        <w:t xml:space="preserve"> </w:t>
      </w:r>
      <w:r w:rsidR="00DD227A">
        <w:t>Se tabell 5:3.</w:t>
      </w:r>
    </w:p>
    <w:p w14:paraId="7B98CD28" w14:textId="0DDB79A1" w:rsidR="00D03F44" w:rsidRPr="003954D9" w:rsidRDefault="00D463EA" w:rsidP="00CC1A5C">
      <w:pPr>
        <w:pStyle w:val="Rubrik5"/>
        <w:rPr>
          <w:lang w:eastAsia="en-US"/>
        </w:rPr>
      </w:pPr>
      <w:r w:rsidRPr="003954D9">
        <w:rPr>
          <w:lang w:eastAsia="en-US"/>
        </w:rPr>
        <w:t xml:space="preserve">Tabell </w:t>
      </w:r>
      <w:r w:rsidR="005B413F" w:rsidRPr="003954D9">
        <w:rPr>
          <w:lang w:eastAsia="en-US"/>
        </w:rPr>
        <w:t>5:3</w:t>
      </w:r>
      <w:r w:rsidR="00CC1A5C" w:rsidRPr="003954D9">
        <w:rPr>
          <w:lang w:eastAsia="en-US"/>
        </w:rPr>
        <w:t>: Kvar utöver skälig levnadsnivå efter en hyreshöjning på 50 procent</w:t>
      </w:r>
      <w:r w:rsidRPr="003954D9">
        <w:rPr>
          <w:lang w:eastAsia="en-US"/>
        </w:rPr>
        <w:t xml:space="preserve"> - </w:t>
      </w:r>
      <w:r w:rsidR="00CC1A5C" w:rsidRPr="003954D9">
        <w:rPr>
          <w:lang w:eastAsia="en-US"/>
        </w:rPr>
        <w:t xml:space="preserve">medelvärden kronor per månad per person i </w:t>
      </w:r>
      <w:r w:rsidRPr="003954D9">
        <w:rPr>
          <w:lang w:eastAsia="en-US"/>
        </w:rPr>
        <w:t xml:space="preserve">olika </w:t>
      </w:r>
      <w:r w:rsidR="00CC1A5C" w:rsidRPr="003954D9">
        <w:rPr>
          <w:lang w:eastAsia="en-US"/>
        </w:rPr>
        <w:t>hushållstyp</w:t>
      </w:r>
      <w:r w:rsidRPr="003954D9">
        <w:rPr>
          <w:lang w:eastAsia="en-US"/>
        </w:rPr>
        <w:t>er</w:t>
      </w:r>
      <w:r w:rsidR="00814801" w:rsidRPr="003954D9">
        <w:rPr>
          <w:lang w:eastAsia="en-US"/>
        </w:rPr>
        <w:t xml:space="preserve"> och stadsdel</w:t>
      </w:r>
    </w:p>
    <w:tbl>
      <w:tblPr>
        <w:tblW w:w="10183" w:type="dxa"/>
        <w:tblInd w:w="-38" w:type="dxa"/>
        <w:tblLayout w:type="fixed"/>
        <w:tblCellMar>
          <w:left w:w="70" w:type="dxa"/>
          <w:right w:w="70" w:type="dxa"/>
        </w:tblCellMar>
        <w:tblLook w:val="0000" w:firstRow="0" w:lastRow="0" w:firstColumn="0" w:lastColumn="0" w:noHBand="0" w:noVBand="0"/>
      </w:tblPr>
      <w:tblGrid>
        <w:gridCol w:w="1873"/>
        <w:gridCol w:w="709"/>
        <w:gridCol w:w="850"/>
        <w:gridCol w:w="886"/>
        <w:gridCol w:w="676"/>
        <w:gridCol w:w="855"/>
        <w:gridCol w:w="854"/>
        <w:gridCol w:w="838"/>
        <w:gridCol w:w="854"/>
        <w:gridCol w:w="886"/>
        <w:gridCol w:w="902"/>
      </w:tblGrid>
      <w:tr w:rsidR="00D03F44" w:rsidRPr="003954D9" w14:paraId="3CB4080C"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7635B8F5"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709" w:type="dxa"/>
            <w:tcBorders>
              <w:top w:val="single" w:sz="6" w:space="0" w:color="auto"/>
              <w:left w:val="single" w:sz="6" w:space="0" w:color="auto"/>
              <w:bottom w:val="single" w:sz="6" w:space="0" w:color="auto"/>
              <w:right w:val="single" w:sz="6" w:space="0" w:color="auto"/>
            </w:tcBorders>
          </w:tcPr>
          <w:p w14:paraId="060576A2"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50" w:type="dxa"/>
            <w:tcBorders>
              <w:top w:val="single" w:sz="6" w:space="0" w:color="auto"/>
              <w:left w:val="single" w:sz="6" w:space="0" w:color="auto"/>
              <w:bottom w:val="single" w:sz="6" w:space="0" w:color="auto"/>
              <w:right w:val="single" w:sz="6" w:space="0" w:color="auto"/>
            </w:tcBorders>
          </w:tcPr>
          <w:p w14:paraId="1AA4E06C"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86" w:type="dxa"/>
            <w:tcBorders>
              <w:top w:val="single" w:sz="6" w:space="0" w:color="auto"/>
              <w:left w:val="single" w:sz="6" w:space="0" w:color="auto"/>
              <w:bottom w:val="single" w:sz="6" w:space="0" w:color="auto"/>
              <w:right w:val="single" w:sz="6" w:space="0" w:color="auto"/>
            </w:tcBorders>
          </w:tcPr>
          <w:p w14:paraId="42425238"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676" w:type="dxa"/>
            <w:tcBorders>
              <w:top w:val="single" w:sz="6" w:space="0" w:color="auto"/>
              <w:left w:val="single" w:sz="6" w:space="0" w:color="auto"/>
              <w:bottom w:val="single" w:sz="6" w:space="0" w:color="auto"/>
              <w:right w:val="single" w:sz="6" w:space="0" w:color="auto"/>
            </w:tcBorders>
          </w:tcPr>
          <w:p w14:paraId="05591706"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55" w:type="dxa"/>
            <w:tcBorders>
              <w:top w:val="single" w:sz="6" w:space="0" w:color="auto"/>
              <w:left w:val="single" w:sz="6" w:space="0" w:color="auto"/>
              <w:bottom w:val="single" w:sz="6" w:space="0" w:color="auto"/>
              <w:right w:val="single" w:sz="6" w:space="0" w:color="auto"/>
            </w:tcBorders>
          </w:tcPr>
          <w:p w14:paraId="45D4EB24"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 Linné</w:t>
            </w:r>
          </w:p>
        </w:tc>
        <w:tc>
          <w:tcPr>
            <w:tcW w:w="854" w:type="dxa"/>
            <w:tcBorders>
              <w:top w:val="single" w:sz="6" w:space="0" w:color="auto"/>
              <w:left w:val="single" w:sz="6" w:space="0" w:color="auto"/>
              <w:bottom w:val="single" w:sz="6" w:space="0" w:color="auto"/>
              <w:right w:val="single" w:sz="6" w:space="0" w:color="auto"/>
            </w:tcBorders>
          </w:tcPr>
          <w:p w14:paraId="144D9321"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38" w:type="dxa"/>
            <w:tcBorders>
              <w:top w:val="single" w:sz="6" w:space="0" w:color="auto"/>
              <w:left w:val="single" w:sz="6" w:space="0" w:color="auto"/>
              <w:bottom w:val="single" w:sz="6" w:space="0" w:color="auto"/>
              <w:right w:val="single" w:sz="6" w:space="0" w:color="auto"/>
            </w:tcBorders>
          </w:tcPr>
          <w:p w14:paraId="7F1224AA"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54" w:type="dxa"/>
            <w:tcBorders>
              <w:top w:val="single" w:sz="6" w:space="0" w:color="auto"/>
              <w:left w:val="single" w:sz="6" w:space="0" w:color="auto"/>
              <w:bottom w:val="single" w:sz="6" w:space="0" w:color="auto"/>
              <w:right w:val="single" w:sz="6" w:space="0" w:color="auto"/>
            </w:tcBorders>
          </w:tcPr>
          <w:p w14:paraId="76157921"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86" w:type="dxa"/>
            <w:tcBorders>
              <w:top w:val="single" w:sz="6" w:space="0" w:color="auto"/>
              <w:left w:val="single" w:sz="6" w:space="0" w:color="auto"/>
              <w:bottom w:val="single" w:sz="6" w:space="0" w:color="auto"/>
              <w:right w:val="single" w:sz="6" w:space="0" w:color="auto"/>
            </w:tcBorders>
          </w:tcPr>
          <w:p w14:paraId="30D4CC11"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02" w:type="dxa"/>
            <w:tcBorders>
              <w:top w:val="single" w:sz="6" w:space="0" w:color="auto"/>
              <w:left w:val="single" w:sz="6" w:space="0" w:color="auto"/>
              <w:bottom w:val="single" w:sz="6" w:space="0" w:color="auto"/>
              <w:right w:val="single" w:sz="6" w:space="0" w:color="auto"/>
            </w:tcBorders>
          </w:tcPr>
          <w:p w14:paraId="6EA5835C"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D03F44" w:rsidRPr="003954D9" w14:paraId="7EEFAD7B"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61A58954" w14:textId="3B03DF58"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2692349B" w14:textId="77777777" w:rsidR="00D03F44" w:rsidRPr="00DD227A" w:rsidRDefault="00D03F44">
            <w:pPr>
              <w:autoSpaceDE w:val="0"/>
              <w:autoSpaceDN w:val="0"/>
              <w:adjustRightInd w:val="0"/>
              <w:jc w:val="right"/>
              <w:rPr>
                <w:rFonts w:ascii="Calibri" w:hAnsi="Calibri" w:cs="Calibri"/>
                <w:b/>
                <w:bCs/>
                <w:color w:val="0070C0"/>
                <w:sz w:val="16"/>
                <w:szCs w:val="16"/>
              </w:rPr>
            </w:pPr>
            <w:r w:rsidRPr="00DD227A">
              <w:rPr>
                <w:rFonts w:ascii="Calibri" w:hAnsi="Calibri" w:cs="Calibri"/>
                <w:b/>
                <w:bCs/>
                <w:color w:val="0070C0"/>
                <w:sz w:val="16"/>
                <w:szCs w:val="16"/>
              </w:rPr>
              <w:t>1 419</w:t>
            </w:r>
          </w:p>
        </w:tc>
        <w:tc>
          <w:tcPr>
            <w:tcW w:w="850" w:type="dxa"/>
            <w:tcBorders>
              <w:top w:val="single" w:sz="6" w:space="0" w:color="auto"/>
              <w:left w:val="single" w:sz="6" w:space="0" w:color="auto"/>
              <w:bottom w:val="single" w:sz="6" w:space="0" w:color="auto"/>
              <w:right w:val="single" w:sz="6" w:space="0" w:color="auto"/>
            </w:tcBorders>
          </w:tcPr>
          <w:p w14:paraId="51F8F706"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3 643</w:t>
            </w:r>
          </w:p>
        </w:tc>
        <w:tc>
          <w:tcPr>
            <w:tcW w:w="886" w:type="dxa"/>
            <w:tcBorders>
              <w:top w:val="single" w:sz="6" w:space="0" w:color="auto"/>
              <w:left w:val="single" w:sz="6" w:space="0" w:color="auto"/>
              <w:bottom w:val="single" w:sz="6" w:space="0" w:color="auto"/>
              <w:right w:val="single" w:sz="6" w:space="0" w:color="auto"/>
            </w:tcBorders>
          </w:tcPr>
          <w:p w14:paraId="57297D6A"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4 786</w:t>
            </w:r>
          </w:p>
        </w:tc>
        <w:tc>
          <w:tcPr>
            <w:tcW w:w="676" w:type="dxa"/>
            <w:tcBorders>
              <w:top w:val="single" w:sz="6" w:space="0" w:color="auto"/>
              <w:left w:val="single" w:sz="6" w:space="0" w:color="auto"/>
              <w:bottom w:val="single" w:sz="6" w:space="0" w:color="auto"/>
              <w:right w:val="single" w:sz="6" w:space="0" w:color="auto"/>
            </w:tcBorders>
          </w:tcPr>
          <w:p w14:paraId="6DBD3C59"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4 697</w:t>
            </w:r>
          </w:p>
        </w:tc>
        <w:tc>
          <w:tcPr>
            <w:tcW w:w="855" w:type="dxa"/>
            <w:tcBorders>
              <w:top w:val="single" w:sz="6" w:space="0" w:color="auto"/>
              <w:left w:val="single" w:sz="6" w:space="0" w:color="auto"/>
              <w:bottom w:val="single" w:sz="6" w:space="0" w:color="auto"/>
              <w:right w:val="single" w:sz="6" w:space="0" w:color="auto"/>
            </w:tcBorders>
          </w:tcPr>
          <w:p w14:paraId="0FC1114E"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5 194</w:t>
            </w:r>
          </w:p>
        </w:tc>
        <w:tc>
          <w:tcPr>
            <w:tcW w:w="854" w:type="dxa"/>
            <w:tcBorders>
              <w:top w:val="single" w:sz="6" w:space="0" w:color="auto"/>
              <w:left w:val="single" w:sz="6" w:space="0" w:color="auto"/>
              <w:bottom w:val="single" w:sz="6" w:space="0" w:color="auto"/>
              <w:right w:val="single" w:sz="6" w:space="0" w:color="auto"/>
            </w:tcBorders>
          </w:tcPr>
          <w:p w14:paraId="7CC19142"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4 118</w:t>
            </w:r>
          </w:p>
        </w:tc>
        <w:tc>
          <w:tcPr>
            <w:tcW w:w="838" w:type="dxa"/>
            <w:tcBorders>
              <w:top w:val="single" w:sz="6" w:space="0" w:color="auto"/>
              <w:left w:val="single" w:sz="6" w:space="0" w:color="auto"/>
              <w:bottom w:val="single" w:sz="6" w:space="0" w:color="auto"/>
              <w:right w:val="single" w:sz="6" w:space="0" w:color="auto"/>
            </w:tcBorders>
          </w:tcPr>
          <w:p w14:paraId="28EE8C76"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2 210</w:t>
            </w:r>
          </w:p>
        </w:tc>
        <w:tc>
          <w:tcPr>
            <w:tcW w:w="854" w:type="dxa"/>
            <w:tcBorders>
              <w:top w:val="single" w:sz="6" w:space="0" w:color="auto"/>
              <w:left w:val="single" w:sz="6" w:space="0" w:color="auto"/>
              <w:bottom w:val="single" w:sz="6" w:space="0" w:color="auto"/>
              <w:right w:val="single" w:sz="6" w:space="0" w:color="auto"/>
            </w:tcBorders>
          </w:tcPr>
          <w:p w14:paraId="628F4B87" w14:textId="77777777" w:rsidR="00D03F44" w:rsidRPr="003954D9" w:rsidRDefault="00D03F44">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5 340</w:t>
            </w:r>
          </w:p>
        </w:tc>
        <w:tc>
          <w:tcPr>
            <w:tcW w:w="886" w:type="dxa"/>
            <w:tcBorders>
              <w:top w:val="single" w:sz="6" w:space="0" w:color="auto"/>
              <w:left w:val="single" w:sz="6" w:space="0" w:color="auto"/>
              <w:bottom w:val="single" w:sz="6" w:space="0" w:color="auto"/>
              <w:right w:val="single" w:sz="6" w:space="0" w:color="auto"/>
            </w:tcBorders>
          </w:tcPr>
          <w:p w14:paraId="2E5170E1"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5 033</w:t>
            </w:r>
          </w:p>
        </w:tc>
        <w:tc>
          <w:tcPr>
            <w:tcW w:w="902" w:type="dxa"/>
            <w:tcBorders>
              <w:top w:val="single" w:sz="6" w:space="0" w:color="auto"/>
              <w:left w:val="single" w:sz="6" w:space="0" w:color="auto"/>
              <w:bottom w:val="single" w:sz="6" w:space="0" w:color="auto"/>
              <w:right w:val="single" w:sz="6" w:space="0" w:color="auto"/>
            </w:tcBorders>
          </w:tcPr>
          <w:p w14:paraId="056444BA"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2 377</w:t>
            </w:r>
          </w:p>
        </w:tc>
      </w:tr>
      <w:tr w:rsidR="00D03F44" w:rsidRPr="003954D9" w14:paraId="0D55820F"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4BDF4C15" w14:textId="675D904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u. barn </w:t>
            </w:r>
            <w:r w:rsidR="00365C66" w:rsidRPr="003954D9">
              <w:rPr>
                <w:rFonts w:ascii="Calibri" w:hAnsi="Calibri" w:cs="Calibri"/>
                <w:b/>
                <w:bCs/>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tcPr>
          <w:p w14:paraId="507699F8" w14:textId="77777777" w:rsidR="00D03F44" w:rsidRPr="00DD227A" w:rsidRDefault="00D03F44">
            <w:pPr>
              <w:autoSpaceDE w:val="0"/>
              <w:autoSpaceDN w:val="0"/>
              <w:adjustRightInd w:val="0"/>
              <w:jc w:val="right"/>
              <w:rPr>
                <w:rFonts w:ascii="Calibri" w:hAnsi="Calibri" w:cs="Calibri"/>
                <w:b/>
                <w:bCs/>
                <w:color w:val="0070C0"/>
                <w:sz w:val="16"/>
                <w:szCs w:val="16"/>
              </w:rPr>
            </w:pPr>
            <w:r w:rsidRPr="00DD227A">
              <w:rPr>
                <w:rFonts w:ascii="Calibri" w:hAnsi="Calibri" w:cs="Calibri"/>
                <w:b/>
                <w:bCs/>
                <w:color w:val="0070C0"/>
                <w:sz w:val="16"/>
                <w:szCs w:val="16"/>
              </w:rPr>
              <w:t>-370</w:t>
            </w:r>
          </w:p>
        </w:tc>
        <w:tc>
          <w:tcPr>
            <w:tcW w:w="850" w:type="dxa"/>
            <w:tcBorders>
              <w:top w:val="single" w:sz="6" w:space="0" w:color="auto"/>
              <w:left w:val="single" w:sz="6" w:space="0" w:color="auto"/>
              <w:bottom w:val="single" w:sz="6" w:space="0" w:color="auto"/>
              <w:right w:val="single" w:sz="6" w:space="0" w:color="auto"/>
            </w:tcBorders>
          </w:tcPr>
          <w:p w14:paraId="70FD9ED9"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122</w:t>
            </w:r>
          </w:p>
        </w:tc>
        <w:tc>
          <w:tcPr>
            <w:tcW w:w="886" w:type="dxa"/>
            <w:tcBorders>
              <w:top w:val="single" w:sz="6" w:space="0" w:color="auto"/>
              <w:left w:val="single" w:sz="6" w:space="0" w:color="auto"/>
              <w:bottom w:val="single" w:sz="6" w:space="0" w:color="auto"/>
              <w:right w:val="single" w:sz="6" w:space="0" w:color="auto"/>
            </w:tcBorders>
          </w:tcPr>
          <w:p w14:paraId="4CC3F047"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2 000</w:t>
            </w:r>
          </w:p>
        </w:tc>
        <w:tc>
          <w:tcPr>
            <w:tcW w:w="676" w:type="dxa"/>
            <w:tcBorders>
              <w:top w:val="single" w:sz="6" w:space="0" w:color="auto"/>
              <w:left w:val="single" w:sz="6" w:space="0" w:color="auto"/>
              <w:bottom w:val="single" w:sz="6" w:space="0" w:color="auto"/>
              <w:right w:val="single" w:sz="6" w:space="0" w:color="auto"/>
            </w:tcBorders>
          </w:tcPr>
          <w:p w14:paraId="13E5C0F7"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2 087</w:t>
            </w:r>
          </w:p>
        </w:tc>
        <w:tc>
          <w:tcPr>
            <w:tcW w:w="855" w:type="dxa"/>
            <w:tcBorders>
              <w:top w:val="single" w:sz="6" w:space="0" w:color="auto"/>
              <w:left w:val="single" w:sz="6" w:space="0" w:color="auto"/>
              <w:bottom w:val="single" w:sz="6" w:space="0" w:color="auto"/>
              <w:right w:val="single" w:sz="6" w:space="0" w:color="auto"/>
            </w:tcBorders>
          </w:tcPr>
          <w:p w14:paraId="70289028"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2 313</w:t>
            </w:r>
          </w:p>
        </w:tc>
        <w:tc>
          <w:tcPr>
            <w:tcW w:w="854" w:type="dxa"/>
            <w:tcBorders>
              <w:top w:val="single" w:sz="6" w:space="0" w:color="auto"/>
              <w:left w:val="single" w:sz="6" w:space="0" w:color="auto"/>
              <w:bottom w:val="single" w:sz="6" w:space="0" w:color="auto"/>
              <w:right w:val="single" w:sz="6" w:space="0" w:color="auto"/>
            </w:tcBorders>
          </w:tcPr>
          <w:p w14:paraId="5F2F32DC"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403</w:t>
            </w:r>
          </w:p>
        </w:tc>
        <w:tc>
          <w:tcPr>
            <w:tcW w:w="838" w:type="dxa"/>
            <w:tcBorders>
              <w:top w:val="single" w:sz="6" w:space="0" w:color="auto"/>
              <w:left w:val="single" w:sz="6" w:space="0" w:color="auto"/>
              <w:bottom w:val="single" w:sz="6" w:space="0" w:color="auto"/>
              <w:right w:val="single" w:sz="6" w:space="0" w:color="auto"/>
            </w:tcBorders>
          </w:tcPr>
          <w:p w14:paraId="30BF0427"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445</w:t>
            </w:r>
          </w:p>
        </w:tc>
        <w:tc>
          <w:tcPr>
            <w:tcW w:w="854" w:type="dxa"/>
            <w:tcBorders>
              <w:top w:val="single" w:sz="6" w:space="0" w:color="auto"/>
              <w:left w:val="single" w:sz="6" w:space="0" w:color="auto"/>
              <w:bottom w:val="single" w:sz="6" w:space="0" w:color="auto"/>
              <w:right w:val="single" w:sz="6" w:space="0" w:color="auto"/>
            </w:tcBorders>
          </w:tcPr>
          <w:p w14:paraId="2B0F2B07" w14:textId="77777777" w:rsidR="00D03F44" w:rsidRPr="003954D9" w:rsidRDefault="00D03F44">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2 922</w:t>
            </w:r>
          </w:p>
        </w:tc>
        <w:tc>
          <w:tcPr>
            <w:tcW w:w="886" w:type="dxa"/>
            <w:tcBorders>
              <w:top w:val="single" w:sz="6" w:space="0" w:color="auto"/>
              <w:left w:val="single" w:sz="6" w:space="0" w:color="auto"/>
              <w:bottom w:val="single" w:sz="6" w:space="0" w:color="auto"/>
              <w:right w:val="single" w:sz="6" w:space="0" w:color="auto"/>
            </w:tcBorders>
          </w:tcPr>
          <w:p w14:paraId="7FF283BB"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1 066</w:t>
            </w:r>
          </w:p>
        </w:tc>
        <w:tc>
          <w:tcPr>
            <w:tcW w:w="902" w:type="dxa"/>
            <w:tcBorders>
              <w:top w:val="single" w:sz="6" w:space="0" w:color="auto"/>
              <w:left w:val="single" w:sz="6" w:space="0" w:color="auto"/>
              <w:bottom w:val="single" w:sz="6" w:space="0" w:color="auto"/>
              <w:right w:val="single" w:sz="6" w:space="0" w:color="auto"/>
            </w:tcBorders>
          </w:tcPr>
          <w:p w14:paraId="15B4951F"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102</w:t>
            </w:r>
          </w:p>
        </w:tc>
      </w:tr>
      <w:tr w:rsidR="00D03F44" w:rsidRPr="003954D9" w14:paraId="647EA34C"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246B1F97" w14:textId="65627FBB"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Ensamst. m.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3CA7A8CA" w14:textId="77777777" w:rsidR="00D03F44" w:rsidRPr="00DD227A" w:rsidRDefault="00D03F44">
            <w:pPr>
              <w:autoSpaceDE w:val="0"/>
              <w:autoSpaceDN w:val="0"/>
              <w:adjustRightInd w:val="0"/>
              <w:jc w:val="right"/>
              <w:rPr>
                <w:rFonts w:ascii="Calibri" w:hAnsi="Calibri" w:cs="Calibri"/>
                <w:b/>
                <w:bCs/>
                <w:color w:val="0070C0"/>
                <w:sz w:val="16"/>
                <w:szCs w:val="16"/>
              </w:rPr>
            </w:pPr>
            <w:r w:rsidRPr="00DD227A">
              <w:rPr>
                <w:rFonts w:ascii="Calibri" w:hAnsi="Calibri" w:cs="Calibri"/>
                <w:b/>
                <w:bCs/>
                <w:color w:val="0070C0"/>
                <w:sz w:val="16"/>
                <w:szCs w:val="16"/>
              </w:rPr>
              <w:t>-232</w:t>
            </w:r>
          </w:p>
        </w:tc>
        <w:tc>
          <w:tcPr>
            <w:tcW w:w="850" w:type="dxa"/>
            <w:tcBorders>
              <w:top w:val="single" w:sz="6" w:space="0" w:color="auto"/>
              <w:left w:val="single" w:sz="6" w:space="0" w:color="auto"/>
              <w:bottom w:val="single" w:sz="6" w:space="0" w:color="auto"/>
              <w:right w:val="single" w:sz="6" w:space="0" w:color="auto"/>
            </w:tcBorders>
          </w:tcPr>
          <w:p w14:paraId="07032B6C"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437</w:t>
            </w:r>
          </w:p>
        </w:tc>
        <w:tc>
          <w:tcPr>
            <w:tcW w:w="886" w:type="dxa"/>
            <w:tcBorders>
              <w:top w:val="single" w:sz="6" w:space="0" w:color="auto"/>
              <w:left w:val="single" w:sz="6" w:space="0" w:color="auto"/>
              <w:bottom w:val="single" w:sz="6" w:space="0" w:color="auto"/>
              <w:right w:val="single" w:sz="6" w:space="0" w:color="auto"/>
            </w:tcBorders>
          </w:tcPr>
          <w:p w14:paraId="1FA58024" w14:textId="77777777" w:rsidR="00D03F44" w:rsidRPr="003954D9" w:rsidRDefault="00D03F44">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1 721</w:t>
            </w:r>
          </w:p>
        </w:tc>
        <w:tc>
          <w:tcPr>
            <w:tcW w:w="676" w:type="dxa"/>
            <w:tcBorders>
              <w:top w:val="single" w:sz="6" w:space="0" w:color="auto"/>
              <w:left w:val="single" w:sz="6" w:space="0" w:color="auto"/>
              <w:bottom w:val="single" w:sz="6" w:space="0" w:color="auto"/>
              <w:right w:val="single" w:sz="6" w:space="0" w:color="auto"/>
            </w:tcBorders>
          </w:tcPr>
          <w:p w14:paraId="2B319782"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341</w:t>
            </w:r>
          </w:p>
        </w:tc>
        <w:tc>
          <w:tcPr>
            <w:tcW w:w="855" w:type="dxa"/>
            <w:tcBorders>
              <w:top w:val="single" w:sz="6" w:space="0" w:color="auto"/>
              <w:left w:val="single" w:sz="6" w:space="0" w:color="auto"/>
              <w:bottom w:val="single" w:sz="6" w:space="0" w:color="auto"/>
              <w:right w:val="single" w:sz="6" w:space="0" w:color="auto"/>
            </w:tcBorders>
          </w:tcPr>
          <w:p w14:paraId="288E1312"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1 475</w:t>
            </w:r>
          </w:p>
        </w:tc>
        <w:tc>
          <w:tcPr>
            <w:tcW w:w="854" w:type="dxa"/>
            <w:tcBorders>
              <w:top w:val="single" w:sz="6" w:space="0" w:color="auto"/>
              <w:left w:val="single" w:sz="6" w:space="0" w:color="auto"/>
              <w:bottom w:val="single" w:sz="6" w:space="0" w:color="auto"/>
              <w:right w:val="single" w:sz="6" w:space="0" w:color="auto"/>
            </w:tcBorders>
          </w:tcPr>
          <w:p w14:paraId="6D7E5FE5"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689</w:t>
            </w:r>
          </w:p>
        </w:tc>
        <w:tc>
          <w:tcPr>
            <w:tcW w:w="838" w:type="dxa"/>
            <w:tcBorders>
              <w:top w:val="single" w:sz="6" w:space="0" w:color="auto"/>
              <w:left w:val="single" w:sz="6" w:space="0" w:color="auto"/>
              <w:bottom w:val="single" w:sz="6" w:space="0" w:color="auto"/>
              <w:right w:val="single" w:sz="6" w:space="0" w:color="auto"/>
            </w:tcBorders>
          </w:tcPr>
          <w:p w14:paraId="2431C389"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-94</w:t>
            </w:r>
          </w:p>
        </w:tc>
        <w:tc>
          <w:tcPr>
            <w:tcW w:w="854" w:type="dxa"/>
            <w:tcBorders>
              <w:top w:val="single" w:sz="6" w:space="0" w:color="auto"/>
              <w:left w:val="single" w:sz="6" w:space="0" w:color="auto"/>
              <w:bottom w:val="single" w:sz="6" w:space="0" w:color="auto"/>
              <w:right w:val="single" w:sz="6" w:space="0" w:color="auto"/>
            </w:tcBorders>
          </w:tcPr>
          <w:p w14:paraId="2427359D"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1 272</w:t>
            </w:r>
          </w:p>
        </w:tc>
        <w:tc>
          <w:tcPr>
            <w:tcW w:w="886" w:type="dxa"/>
            <w:tcBorders>
              <w:top w:val="single" w:sz="6" w:space="0" w:color="auto"/>
              <w:left w:val="single" w:sz="6" w:space="0" w:color="auto"/>
              <w:bottom w:val="single" w:sz="6" w:space="0" w:color="auto"/>
              <w:right w:val="single" w:sz="6" w:space="0" w:color="auto"/>
            </w:tcBorders>
          </w:tcPr>
          <w:p w14:paraId="0F408F85"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936</w:t>
            </w:r>
          </w:p>
        </w:tc>
        <w:tc>
          <w:tcPr>
            <w:tcW w:w="902" w:type="dxa"/>
            <w:tcBorders>
              <w:top w:val="single" w:sz="6" w:space="0" w:color="auto"/>
              <w:left w:val="single" w:sz="6" w:space="0" w:color="auto"/>
              <w:bottom w:val="single" w:sz="6" w:space="0" w:color="auto"/>
              <w:right w:val="single" w:sz="6" w:space="0" w:color="auto"/>
            </w:tcBorders>
          </w:tcPr>
          <w:p w14:paraId="3ACE9FBB"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w:t>
            </w:r>
          </w:p>
        </w:tc>
      </w:tr>
      <w:tr w:rsidR="00D03F44" w:rsidRPr="003954D9" w14:paraId="1CF9AA8D"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694B792B" w14:textId="63B553DC"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0F74494E" w14:textId="77777777" w:rsidR="00D03F44" w:rsidRPr="003954D9" w:rsidRDefault="00D03F44">
            <w:pPr>
              <w:autoSpaceDE w:val="0"/>
              <w:autoSpaceDN w:val="0"/>
              <w:adjustRightInd w:val="0"/>
              <w:jc w:val="right"/>
              <w:rPr>
                <w:rFonts w:ascii="Calibri" w:hAnsi="Calibri" w:cs="Calibri"/>
                <w:b/>
                <w:bCs/>
                <w:color w:val="333399"/>
                <w:sz w:val="16"/>
                <w:szCs w:val="16"/>
              </w:rPr>
            </w:pPr>
            <w:r w:rsidRPr="00DD227A">
              <w:rPr>
                <w:rFonts w:ascii="Calibri" w:hAnsi="Calibri" w:cs="Calibri"/>
                <w:b/>
                <w:bCs/>
                <w:color w:val="0070C0"/>
                <w:sz w:val="16"/>
                <w:szCs w:val="16"/>
              </w:rPr>
              <w:t>3 745</w:t>
            </w:r>
          </w:p>
        </w:tc>
        <w:tc>
          <w:tcPr>
            <w:tcW w:w="850" w:type="dxa"/>
            <w:tcBorders>
              <w:top w:val="single" w:sz="6" w:space="0" w:color="auto"/>
              <w:left w:val="single" w:sz="6" w:space="0" w:color="auto"/>
              <w:bottom w:val="single" w:sz="6" w:space="0" w:color="auto"/>
              <w:right w:val="single" w:sz="6" w:space="0" w:color="auto"/>
            </w:tcBorders>
          </w:tcPr>
          <w:p w14:paraId="7B2CF146"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7 009</w:t>
            </w:r>
          </w:p>
        </w:tc>
        <w:tc>
          <w:tcPr>
            <w:tcW w:w="886" w:type="dxa"/>
            <w:tcBorders>
              <w:top w:val="single" w:sz="6" w:space="0" w:color="auto"/>
              <w:left w:val="single" w:sz="6" w:space="0" w:color="auto"/>
              <w:bottom w:val="single" w:sz="6" w:space="0" w:color="auto"/>
              <w:right w:val="single" w:sz="6" w:space="0" w:color="auto"/>
            </w:tcBorders>
          </w:tcPr>
          <w:p w14:paraId="063116A0"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9 341</w:t>
            </w:r>
          </w:p>
        </w:tc>
        <w:tc>
          <w:tcPr>
            <w:tcW w:w="676" w:type="dxa"/>
            <w:tcBorders>
              <w:top w:val="single" w:sz="6" w:space="0" w:color="auto"/>
              <w:left w:val="single" w:sz="6" w:space="0" w:color="auto"/>
              <w:bottom w:val="single" w:sz="6" w:space="0" w:color="auto"/>
              <w:right w:val="single" w:sz="6" w:space="0" w:color="auto"/>
            </w:tcBorders>
          </w:tcPr>
          <w:p w14:paraId="243DA5E9"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6 503</w:t>
            </w:r>
          </w:p>
        </w:tc>
        <w:tc>
          <w:tcPr>
            <w:tcW w:w="855" w:type="dxa"/>
            <w:tcBorders>
              <w:top w:val="single" w:sz="6" w:space="0" w:color="auto"/>
              <w:left w:val="single" w:sz="6" w:space="0" w:color="auto"/>
              <w:bottom w:val="single" w:sz="6" w:space="0" w:color="auto"/>
              <w:right w:val="single" w:sz="6" w:space="0" w:color="auto"/>
            </w:tcBorders>
          </w:tcPr>
          <w:p w14:paraId="6C128E72" w14:textId="77777777" w:rsidR="00D03F44" w:rsidRPr="003954D9" w:rsidRDefault="00D03F44">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9 505</w:t>
            </w:r>
          </w:p>
        </w:tc>
        <w:tc>
          <w:tcPr>
            <w:tcW w:w="854" w:type="dxa"/>
            <w:tcBorders>
              <w:top w:val="single" w:sz="6" w:space="0" w:color="auto"/>
              <w:left w:val="single" w:sz="6" w:space="0" w:color="auto"/>
              <w:bottom w:val="single" w:sz="6" w:space="0" w:color="auto"/>
              <w:right w:val="single" w:sz="6" w:space="0" w:color="auto"/>
            </w:tcBorders>
          </w:tcPr>
          <w:p w14:paraId="1EEF8B1A"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5 516</w:t>
            </w:r>
          </w:p>
        </w:tc>
        <w:tc>
          <w:tcPr>
            <w:tcW w:w="838" w:type="dxa"/>
            <w:tcBorders>
              <w:top w:val="single" w:sz="6" w:space="0" w:color="auto"/>
              <w:left w:val="single" w:sz="6" w:space="0" w:color="auto"/>
              <w:bottom w:val="single" w:sz="6" w:space="0" w:color="auto"/>
              <w:right w:val="single" w:sz="6" w:space="0" w:color="auto"/>
            </w:tcBorders>
          </w:tcPr>
          <w:p w14:paraId="66B81645"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4 571</w:t>
            </w:r>
          </w:p>
        </w:tc>
        <w:tc>
          <w:tcPr>
            <w:tcW w:w="854" w:type="dxa"/>
            <w:tcBorders>
              <w:top w:val="single" w:sz="6" w:space="0" w:color="auto"/>
              <w:left w:val="single" w:sz="6" w:space="0" w:color="auto"/>
              <w:bottom w:val="single" w:sz="6" w:space="0" w:color="auto"/>
              <w:right w:val="single" w:sz="6" w:space="0" w:color="auto"/>
            </w:tcBorders>
          </w:tcPr>
          <w:p w14:paraId="3F3B4D40"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8 678</w:t>
            </w:r>
          </w:p>
        </w:tc>
        <w:tc>
          <w:tcPr>
            <w:tcW w:w="886" w:type="dxa"/>
            <w:tcBorders>
              <w:top w:val="single" w:sz="6" w:space="0" w:color="auto"/>
              <w:left w:val="single" w:sz="6" w:space="0" w:color="auto"/>
              <w:bottom w:val="single" w:sz="6" w:space="0" w:color="auto"/>
              <w:right w:val="single" w:sz="6" w:space="0" w:color="auto"/>
            </w:tcBorders>
          </w:tcPr>
          <w:p w14:paraId="610F7793"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8 243</w:t>
            </w:r>
          </w:p>
        </w:tc>
        <w:tc>
          <w:tcPr>
            <w:tcW w:w="902" w:type="dxa"/>
            <w:tcBorders>
              <w:top w:val="single" w:sz="6" w:space="0" w:color="auto"/>
              <w:left w:val="single" w:sz="6" w:space="0" w:color="auto"/>
              <w:bottom w:val="single" w:sz="6" w:space="0" w:color="auto"/>
              <w:right w:val="single" w:sz="6" w:space="0" w:color="auto"/>
            </w:tcBorders>
          </w:tcPr>
          <w:p w14:paraId="296B2EC0"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4 504</w:t>
            </w:r>
          </w:p>
        </w:tc>
      </w:tr>
      <w:tr w:rsidR="00D03F44" w:rsidRPr="003954D9" w14:paraId="1944820D"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31109AE5" w14:textId="54AB2454"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u. barn </w:t>
            </w:r>
            <w:r w:rsidR="00365C66" w:rsidRPr="003954D9">
              <w:rPr>
                <w:rFonts w:ascii="Calibri" w:hAnsi="Calibri" w:cs="Calibri"/>
                <w:b/>
                <w:bCs/>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tcPr>
          <w:p w14:paraId="65131B74" w14:textId="77777777" w:rsidR="00D03F44" w:rsidRPr="003954D9" w:rsidRDefault="00D03F44">
            <w:pPr>
              <w:autoSpaceDE w:val="0"/>
              <w:autoSpaceDN w:val="0"/>
              <w:adjustRightInd w:val="0"/>
              <w:jc w:val="right"/>
              <w:rPr>
                <w:rFonts w:ascii="Calibri" w:hAnsi="Calibri" w:cs="Calibri"/>
                <w:b/>
                <w:bCs/>
                <w:color w:val="333399"/>
                <w:sz w:val="16"/>
                <w:szCs w:val="16"/>
              </w:rPr>
            </w:pPr>
            <w:r w:rsidRPr="00DD227A">
              <w:rPr>
                <w:rFonts w:ascii="Calibri" w:hAnsi="Calibri" w:cs="Calibri"/>
                <w:b/>
                <w:bCs/>
                <w:color w:val="0070C0"/>
                <w:sz w:val="16"/>
                <w:szCs w:val="16"/>
              </w:rPr>
              <w:t>1 446</w:t>
            </w:r>
          </w:p>
        </w:tc>
        <w:tc>
          <w:tcPr>
            <w:tcW w:w="850" w:type="dxa"/>
            <w:tcBorders>
              <w:top w:val="single" w:sz="6" w:space="0" w:color="auto"/>
              <w:left w:val="single" w:sz="6" w:space="0" w:color="auto"/>
              <w:bottom w:val="single" w:sz="6" w:space="0" w:color="auto"/>
              <w:right w:val="single" w:sz="6" w:space="0" w:color="auto"/>
            </w:tcBorders>
          </w:tcPr>
          <w:p w14:paraId="2911304C"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3 765</w:t>
            </w:r>
          </w:p>
        </w:tc>
        <w:tc>
          <w:tcPr>
            <w:tcW w:w="886" w:type="dxa"/>
            <w:tcBorders>
              <w:top w:val="single" w:sz="6" w:space="0" w:color="auto"/>
              <w:left w:val="single" w:sz="6" w:space="0" w:color="auto"/>
              <w:bottom w:val="single" w:sz="6" w:space="0" w:color="auto"/>
              <w:right w:val="single" w:sz="6" w:space="0" w:color="auto"/>
            </w:tcBorders>
          </w:tcPr>
          <w:p w14:paraId="13769074"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6 253</w:t>
            </w:r>
          </w:p>
        </w:tc>
        <w:tc>
          <w:tcPr>
            <w:tcW w:w="676" w:type="dxa"/>
            <w:tcBorders>
              <w:top w:val="single" w:sz="6" w:space="0" w:color="auto"/>
              <w:left w:val="single" w:sz="6" w:space="0" w:color="auto"/>
              <w:bottom w:val="single" w:sz="6" w:space="0" w:color="auto"/>
              <w:right w:val="single" w:sz="6" w:space="0" w:color="auto"/>
            </w:tcBorders>
          </w:tcPr>
          <w:p w14:paraId="46907880"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3 258</w:t>
            </w:r>
          </w:p>
        </w:tc>
        <w:tc>
          <w:tcPr>
            <w:tcW w:w="855" w:type="dxa"/>
            <w:tcBorders>
              <w:top w:val="single" w:sz="6" w:space="0" w:color="auto"/>
              <w:left w:val="single" w:sz="6" w:space="0" w:color="auto"/>
              <w:bottom w:val="single" w:sz="6" w:space="0" w:color="auto"/>
              <w:right w:val="single" w:sz="6" w:space="0" w:color="auto"/>
            </w:tcBorders>
          </w:tcPr>
          <w:p w14:paraId="2F6B8F7B" w14:textId="77777777" w:rsidR="00D03F44" w:rsidRPr="003954D9" w:rsidRDefault="00D03F44">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7 935</w:t>
            </w:r>
          </w:p>
        </w:tc>
        <w:tc>
          <w:tcPr>
            <w:tcW w:w="854" w:type="dxa"/>
            <w:tcBorders>
              <w:top w:val="single" w:sz="6" w:space="0" w:color="auto"/>
              <w:left w:val="single" w:sz="6" w:space="0" w:color="auto"/>
              <w:bottom w:val="single" w:sz="6" w:space="0" w:color="auto"/>
              <w:right w:val="single" w:sz="6" w:space="0" w:color="auto"/>
            </w:tcBorders>
          </w:tcPr>
          <w:p w14:paraId="4C6C3860"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3 791</w:t>
            </w:r>
          </w:p>
        </w:tc>
        <w:tc>
          <w:tcPr>
            <w:tcW w:w="838" w:type="dxa"/>
            <w:tcBorders>
              <w:top w:val="single" w:sz="6" w:space="0" w:color="auto"/>
              <w:left w:val="single" w:sz="6" w:space="0" w:color="auto"/>
              <w:bottom w:val="single" w:sz="6" w:space="0" w:color="auto"/>
              <w:right w:val="single" w:sz="6" w:space="0" w:color="auto"/>
            </w:tcBorders>
          </w:tcPr>
          <w:p w14:paraId="6EBB9AC8"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2 558</w:t>
            </w:r>
          </w:p>
        </w:tc>
        <w:tc>
          <w:tcPr>
            <w:tcW w:w="854" w:type="dxa"/>
            <w:tcBorders>
              <w:top w:val="single" w:sz="6" w:space="0" w:color="auto"/>
              <w:left w:val="single" w:sz="6" w:space="0" w:color="auto"/>
              <w:bottom w:val="single" w:sz="6" w:space="0" w:color="auto"/>
              <w:right w:val="single" w:sz="6" w:space="0" w:color="auto"/>
            </w:tcBorders>
          </w:tcPr>
          <w:p w14:paraId="2E2DD7AE"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6 437</w:t>
            </w:r>
          </w:p>
        </w:tc>
        <w:tc>
          <w:tcPr>
            <w:tcW w:w="886" w:type="dxa"/>
            <w:tcBorders>
              <w:top w:val="single" w:sz="6" w:space="0" w:color="auto"/>
              <w:left w:val="single" w:sz="6" w:space="0" w:color="auto"/>
              <w:bottom w:val="single" w:sz="6" w:space="0" w:color="auto"/>
              <w:right w:val="single" w:sz="6" w:space="0" w:color="auto"/>
            </w:tcBorders>
          </w:tcPr>
          <w:p w14:paraId="2FB7ECC7"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5 284</w:t>
            </w:r>
          </w:p>
        </w:tc>
        <w:tc>
          <w:tcPr>
            <w:tcW w:w="902" w:type="dxa"/>
            <w:tcBorders>
              <w:top w:val="single" w:sz="6" w:space="0" w:color="auto"/>
              <w:left w:val="single" w:sz="6" w:space="0" w:color="auto"/>
              <w:bottom w:val="single" w:sz="6" w:space="0" w:color="auto"/>
              <w:right w:val="single" w:sz="6" w:space="0" w:color="auto"/>
            </w:tcBorders>
          </w:tcPr>
          <w:p w14:paraId="3E035B78"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2 238</w:t>
            </w:r>
          </w:p>
        </w:tc>
      </w:tr>
      <w:tr w:rsidR="00D03F44" w:rsidRPr="003954D9" w14:paraId="347813F7"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743DE1FE" w14:textId="03CAEED2"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1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0513D319"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2 430</w:t>
            </w:r>
          </w:p>
        </w:tc>
        <w:tc>
          <w:tcPr>
            <w:tcW w:w="850" w:type="dxa"/>
            <w:tcBorders>
              <w:top w:val="single" w:sz="6" w:space="0" w:color="auto"/>
              <w:left w:val="single" w:sz="6" w:space="0" w:color="auto"/>
              <w:bottom w:val="single" w:sz="6" w:space="0" w:color="auto"/>
              <w:right w:val="single" w:sz="6" w:space="0" w:color="auto"/>
            </w:tcBorders>
          </w:tcPr>
          <w:p w14:paraId="64962971"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4 288</w:t>
            </w:r>
          </w:p>
        </w:tc>
        <w:tc>
          <w:tcPr>
            <w:tcW w:w="886" w:type="dxa"/>
            <w:tcBorders>
              <w:top w:val="single" w:sz="6" w:space="0" w:color="auto"/>
              <w:left w:val="single" w:sz="6" w:space="0" w:color="auto"/>
              <w:bottom w:val="single" w:sz="6" w:space="0" w:color="auto"/>
              <w:right w:val="single" w:sz="6" w:space="0" w:color="auto"/>
            </w:tcBorders>
          </w:tcPr>
          <w:p w14:paraId="6FC0B934" w14:textId="77777777" w:rsidR="00D03F44" w:rsidRPr="003954D9" w:rsidRDefault="00D03F44">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5 901</w:t>
            </w:r>
          </w:p>
        </w:tc>
        <w:tc>
          <w:tcPr>
            <w:tcW w:w="676" w:type="dxa"/>
            <w:tcBorders>
              <w:top w:val="single" w:sz="6" w:space="0" w:color="auto"/>
              <w:left w:val="single" w:sz="6" w:space="0" w:color="auto"/>
              <w:bottom w:val="single" w:sz="6" w:space="0" w:color="auto"/>
              <w:right w:val="single" w:sz="6" w:space="0" w:color="auto"/>
            </w:tcBorders>
          </w:tcPr>
          <w:p w14:paraId="4F8DE1F9"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2 570</w:t>
            </w:r>
          </w:p>
        </w:tc>
        <w:tc>
          <w:tcPr>
            <w:tcW w:w="855" w:type="dxa"/>
            <w:tcBorders>
              <w:top w:val="single" w:sz="6" w:space="0" w:color="auto"/>
              <w:left w:val="single" w:sz="6" w:space="0" w:color="auto"/>
              <w:bottom w:val="single" w:sz="6" w:space="0" w:color="auto"/>
              <w:right w:val="single" w:sz="6" w:space="0" w:color="auto"/>
            </w:tcBorders>
          </w:tcPr>
          <w:p w14:paraId="1122DE75"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5 440</w:t>
            </w:r>
          </w:p>
        </w:tc>
        <w:tc>
          <w:tcPr>
            <w:tcW w:w="854" w:type="dxa"/>
            <w:tcBorders>
              <w:top w:val="single" w:sz="6" w:space="0" w:color="auto"/>
              <w:left w:val="single" w:sz="6" w:space="0" w:color="auto"/>
              <w:bottom w:val="single" w:sz="6" w:space="0" w:color="auto"/>
              <w:right w:val="single" w:sz="6" w:space="0" w:color="auto"/>
            </w:tcBorders>
          </w:tcPr>
          <w:p w14:paraId="01BCEF8C"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2 934</w:t>
            </w:r>
          </w:p>
        </w:tc>
        <w:tc>
          <w:tcPr>
            <w:tcW w:w="838" w:type="dxa"/>
            <w:tcBorders>
              <w:top w:val="single" w:sz="6" w:space="0" w:color="auto"/>
              <w:left w:val="single" w:sz="6" w:space="0" w:color="auto"/>
              <w:bottom w:val="single" w:sz="6" w:space="0" w:color="auto"/>
              <w:right w:val="single" w:sz="6" w:space="0" w:color="auto"/>
            </w:tcBorders>
          </w:tcPr>
          <w:p w14:paraId="483E7473"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2 172</w:t>
            </w:r>
          </w:p>
        </w:tc>
        <w:tc>
          <w:tcPr>
            <w:tcW w:w="854" w:type="dxa"/>
            <w:tcBorders>
              <w:top w:val="single" w:sz="6" w:space="0" w:color="auto"/>
              <w:left w:val="single" w:sz="6" w:space="0" w:color="auto"/>
              <w:bottom w:val="single" w:sz="6" w:space="0" w:color="auto"/>
              <w:right w:val="single" w:sz="6" w:space="0" w:color="auto"/>
            </w:tcBorders>
          </w:tcPr>
          <w:p w14:paraId="1F06282A"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5 311</w:t>
            </w:r>
          </w:p>
        </w:tc>
        <w:tc>
          <w:tcPr>
            <w:tcW w:w="886" w:type="dxa"/>
            <w:tcBorders>
              <w:top w:val="single" w:sz="6" w:space="0" w:color="auto"/>
              <w:left w:val="single" w:sz="6" w:space="0" w:color="auto"/>
              <w:bottom w:val="single" w:sz="6" w:space="0" w:color="auto"/>
              <w:right w:val="single" w:sz="6" w:space="0" w:color="auto"/>
            </w:tcBorders>
          </w:tcPr>
          <w:p w14:paraId="4A3F8935"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4 269</w:t>
            </w:r>
          </w:p>
        </w:tc>
        <w:tc>
          <w:tcPr>
            <w:tcW w:w="902" w:type="dxa"/>
            <w:tcBorders>
              <w:top w:val="single" w:sz="6" w:space="0" w:color="auto"/>
              <w:left w:val="single" w:sz="6" w:space="0" w:color="auto"/>
              <w:bottom w:val="single" w:sz="6" w:space="0" w:color="auto"/>
              <w:right w:val="single" w:sz="6" w:space="0" w:color="auto"/>
            </w:tcBorders>
          </w:tcPr>
          <w:p w14:paraId="027F87B4" w14:textId="77777777" w:rsidR="00D03F44" w:rsidRPr="003954D9" w:rsidRDefault="00D03F44">
            <w:pPr>
              <w:autoSpaceDE w:val="0"/>
              <w:autoSpaceDN w:val="0"/>
              <w:adjustRightInd w:val="0"/>
              <w:jc w:val="right"/>
              <w:rPr>
                <w:rFonts w:ascii="Calibri" w:hAnsi="Calibri" w:cs="Calibri"/>
                <w:b/>
                <w:bCs/>
                <w:color w:val="333399"/>
                <w:sz w:val="16"/>
                <w:szCs w:val="16"/>
              </w:rPr>
            </w:pPr>
            <w:r w:rsidRPr="00DD227A">
              <w:rPr>
                <w:rFonts w:ascii="Calibri" w:hAnsi="Calibri" w:cs="Calibri"/>
                <w:b/>
                <w:bCs/>
                <w:color w:val="0070C0"/>
                <w:sz w:val="16"/>
                <w:szCs w:val="16"/>
              </w:rPr>
              <w:t>1 893</w:t>
            </w:r>
          </w:p>
        </w:tc>
      </w:tr>
      <w:tr w:rsidR="00D03F44" w:rsidRPr="003954D9" w14:paraId="623CB7BC"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7DA2CC5C" w14:textId="6BA9C38B"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2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6986D942" w14:textId="77777777" w:rsidR="00D03F44" w:rsidRPr="003954D9" w:rsidRDefault="00D03F44">
            <w:pPr>
              <w:autoSpaceDE w:val="0"/>
              <w:autoSpaceDN w:val="0"/>
              <w:adjustRightInd w:val="0"/>
              <w:jc w:val="right"/>
              <w:rPr>
                <w:rFonts w:ascii="Calibri" w:hAnsi="Calibri" w:cs="Calibri"/>
                <w:b/>
                <w:bCs/>
                <w:color w:val="333399"/>
                <w:sz w:val="16"/>
                <w:szCs w:val="16"/>
              </w:rPr>
            </w:pPr>
            <w:r w:rsidRPr="00DD227A">
              <w:rPr>
                <w:rFonts w:ascii="Calibri" w:hAnsi="Calibri" w:cs="Calibri"/>
                <w:b/>
                <w:bCs/>
                <w:color w:val="0070C0"/>
                <w:sz w:val="16"/>
                <w:szCs w:val="16"/>
              </w:rPr>
              <w:t>1 288</w:t>
            </w:r>
          </w:p>
        </w:tc>
        <w:tc>
          <w:tcPr>
            <w:tcW w:w="850" w:type="dxa"/>
            <w:tcBorders>
              <w:top w:val="single" w:sz="6" w:space="0" w:color="auto"/>
              <w:left w:val="single" w:sz="6" w:space="0" w:color="auto"/>
              <w:bottom w:val="single" w:sz="6" w:space="0" w:color="auto"/>
              <w:right w:val="single" w:sz="6" w:space="0" w:color="auto"/>
            </w:tcBorders>
          </w:tcPr>
          <w:p w14:paraId="7549B248"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2 282</w:t>
            </w:r>
          </w:p>
        </w:tc>
        <w:tc>
          <w:tcPr>
            <w:tcW w:w="886" w:type="dxa"/>
            <w:tcBorders>
              <w:top w:val="single" w:sz="6" w:space="0" w:color="auto"/>
              <w:left w:val="single" w:sz="6" w:space="0" w:color="auto"/>
              <w:bottom w:val="single" w:sz="6" w:space="0" w:color="auto"/>
              <w:right w:val="single" w:sz="6" w:space="0" w:color="auto"/>
            </w:tcBorders>
          </w:tcPr>
          <w:p w14:paraId="27497748" w14:textId="77777777" w:rsidR="00D03F44" w:rsidRPr="003954D9" w:rsidRDefault="00D03F44">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4 579</w:t>
            </w:r>
          </w:p>
        </w:tc>
        <w:tc>
          <w:tcPr>
            <w:tcW w:w="676" w:type="dxa"/>
            <w:tcBorders>
              <w:top w:val="single" w:sz="6" w:space="0" w:color="auto"/>
              <w:left w:val="single" w:sz="6" w:space="0" w:color="auto"/>
              <w:bottom w:val="single" w:sz="6" w:space="0" w:color="auto"/>
              <w:right w:val="single" w:sz="6" w:space="0" w:color="auto"/>
            </w:tcBorders>
          </w:tcPr>
          <w:p w14:paraId="4871DA33"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1 989</w:t>
            </w:r>
          </w:p>
        </w:tc>
        <w:tc>
          <w:tcPr>
            <w:tcW w:w="855" w:type="dxa"/>
            <w:tcBorders>
              <w:top w:val="single" w:sz="6" w:space="0" w:color="auto"/>
              <w:left w:val="single" w:sz="6" w:space="0" w:color="auto"/>
              <w:bottom w:val="single" w:sz="6" w:space="0" w:color="auto"/>
              <w:right w:val="single" w:sz="6" w:space="0" w:color="auto"/>
            </w:tcBorders>
          </w:tcPr>
          <w:p w14:paraId="52CCB696"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3 863</w:t>
            </w:r>
          </w:p>
        </w:tc>
        <w:tc>
          <w:tcPr>
            <w:tcW w:w="854" w:type="dxa"/>
            <w:tcBorders>
              <w:top w:val="single" w:sz="6" w:space="0" w:color="auto"/>
              <w:left w:val="single" w:sz="6" w:space="0" w:color="auto"/>
              <w:bottom w:val="single" w:sz="6" w:space="0" w:color="auto"/>
              <w:right w:val="single" w:sz="6" w:space="0" w:color="auto"/>
            </w:tcBorders>
          </w:tcPr>
          <w:p w14:paraId="12856D17"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2 249</w:t>
            </w:r>
          </w:p>
        </w:tc>
        <w:tc>
          <w:tcPr>
            <w:tcW w:w="838" w:type="dxa"/>
            <w:tcBorders>
              <w:top w:val="single" w:sz="6" w:space="0" w:color="auto"/>
              <w:left w:val="single" w:sz="6" w:space="0" w:color="auto"/>
              <w:bottom w:val="single" w:sz="6" w:space="0" w:color="auto"/>
              <w:right w:val="single" w:sz="6" w:space="0" w:color="auto"/>
            </w:tcBorders>
          </w:tcPr>
          <w:p w14:paraId="23B6C19B"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1 412</w:t>
            </w:r>
          </w:p>
        </w:tc>
        <w:tc>
          <w:tcPr>
            <w:tcW w:w="854" w:type="dxa"/>
            <w:tcBorders>
              <w:top w:val="single" w:sz="6" w:space="0" w:color="auto"/>
              <w:left w:val="single" w:sz="6" w:space="0" w:color="auto"/>
              <w:bottom w:val="single" w:sz="6" w:space="0" w:color="auto"/>
              <w:right w:val="single" w:sz="6" w:space="0" w:color="auto"/>
            </w:tcBorders>
          </w:tcPr>
          <w:p w14:paraId="352E1E44"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3 935</w:t>
            </w:r>
          </w:p>
        </w:tc>
        <w:tc>
          <w:tcPr>
            <w:tcW w:w="886" w:type="dxa"/>
            <w:tcBorders>
              <w:top w:val="single" w:sz="6" w:space="0" w:color="auto"/>
              <w:left w:val="single" w:sz="6" w:space="0" w:color="auto"/>
              <w:bottom w:val="single" w:sz="6" w:space="0" w:color="auto"/>
              <w:right w:val="single" w:sz="6" w:space="0" w:color="auto"/>
            </w:tcBorders>
          </w:tcPr>
          <w:p w14:paraId="454BF111"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4 504</w:t>
            </w:r>
          </w:p>
        </w:tc>
        <w:tc>
          <w:tcPr>
            <w:tcW w:w="902" w:type="dxa"/>
            <w:tcBorders>
              <w:top w:val="single" w:sz="6" w:space="0" w:color="auto"/>
              <w:left w:val="single" w:sz="6" w:space="0" w:color="auto"/>
              <w:bottom w:val="single" w:sz="6" w:space="0" w:color="auto"/>
              <w:right w:val="single" w:sz="6" w:space="0" w:color="auto"/>
            </w:tcBorders>
          </w:tcPr>
          <w:p w14:paraId="0D6BF544"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1 384</w:t>
            </w:r>
          </w:p>
        </w:tc>
      </w:tr>
      <w:tr w:rsidR="00D03F44" w:rsidRPr="003954D9" w14:paraId="751AD1F7"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4E6180C3" w14:textId="770C74C6"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3-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0D95A50A"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570</w:t>
            </w:r>
          </w:p>
        </w:tc>
        <w:tc>
          <w:tcPr>
            <w:tcW w:w="850" w:type="dxa"/>
            <w:tcBorders>
              <w:top w:val="single" w:sz="6" w:space="0" w:color="auto"/>
              <w:left w:val="single" w:sz="6" w:space="0" w:color="auto"/>
              <w:bottom w:val="single" w:sz="6" w:space="0" w:color="auto"/>
              <w:right w:val="single" w:sz="6" w:space="0" w:color="auto"/>
            </w:tcBorders>
          </w:tcPr>
          <w:p w14:paraId="40E92F33"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812</w:t>
            </w:r>
          </w:p>
        </w:tc>
        <w:tc>
          <w:tcPr>
            <w:tcW w:w="886" w:type="dxa"/>
            <w:tcBorders>
              <w:top w:val="single" w:sz="6" w:space="0" w:color="auto"/>
              <w:left w:val="single" w:sz="6" w:space="0" w:color="auto"/>
              <w:bottom w:val="single" w:sz="6" w:space="0" w:color="auto"/>
              <w:right w:val="single" w:sz="6" w:space="0" w:color="auto"/>
            </w:tcBorders>
          </w:tcPr>
          <w:p w14:paraId="4CC484B4"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2 197</w:t>
            </w:r>
          </w:p>
        </w:tc>
        <w:tc>
          <w:tcPr>
            <w:tcW w:w="676" w:type="dxa"/>
            <w:tcBorders>
              <w:top w:val="single" w:sz="6" w:space="0" w:color="auto"/>
              <w:left w:val="single" w:sz="6" w:space="0" w:color="auto"/>
              <w:bottom w:val="single" w:sz="6" w:space="0" w:color="auto"/>
              <w:right w:val="single" w:sz="6" w:space="0" w:color="auto"/>
            </w:tcBorders>
          </w:tcPr>
          <w:p w14:paraId="2A23CAAE"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823</w:t>
            </w:r>
          </w:p>
        </w:tc>
        <w:tc>
          <w:tcPr>
            <w:tcW w:w="855" w:type="dxa"/>
            <w:tcBorders>
              <w:top w:val="single" w:sz="6" w:space="0" w:color="auto"/>
              <w:left w:val="single" w:sz="6" w:space="0" w:color="auto"/>
              <w:bottom w:val="single" w:sz="6" w:space="0" w:color="auto"/>
              <w:right w:val="single" w:sz="6" w:space="0" w:color="auto"/>
            </w:tcBorders>
          </w:tcPr>
          <w:p w14:paraId="3A232E28" w14:textId="77777777" w:rsidR="00D03F44" w:rsidRPr="003954D9" w:rsidRDefault="00D03F44">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2 548</w:t>
            </w:r>
          </w:p>
        </w:tc>
        <w:tc>
          <w:tcPr>
            <w:tcW w:w="854" w:type="dxa"/>
            <w:tcBorders>
              <w:top w:val="single" w:sz="6" w:space="0" w:color="auto"/>
              <w:left w:val="single" w:sz="6" w:space="0" w:color="auto"/>
              <w:bottom w:val="single" w:sz="6" w:space="0" w:color="auto"/>
              <w:right w:val="single" w:sz="6" w:space="0" w:color="auto"/>
            </w:tcBorders>
          </w:tcPr>
          <w:p w14:paraId="72AE902A"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1 368</w:t>
            </w:r>
          </w:p>
        </w:tc>
        <w:tc>
          <w:tcPr>
            <w:tcW w:w="838" w:type="dxa"/>
            <w:tcBorders>
              <w:top w:val="single" w:sz="6" w:space="0" w:color="auto"/>
              <w:left w:val="single" w:sz="6" w:space="0" w:color="auto"/>
              <w:bottom w:val="single" w:sz="6" w:space="0" w:color="auto"/>
              <w:right w:val="single" w:sz="6" w:space="0" w:color="auto"/>
            </w:tcBorders>
          </w:tcPr>
          <w:p w14:paraId="2DDDA115"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572</w:t>
            </w:r>
          </w:p>
        </w:tc>
        <w:tc>
          <w:tcPr>
            <w:tcW w:w="854" w:type="dxa"/>
            <w:tcBorders>
              <w:top w:val="single" w:sz="6" w:space="0" w:color="auto"/>
              <w:left w:val="single" w:sz="6" w:space="0" w:color="auto"/>
              <w:bottom w:val="single" w:sz="6" w:space="0" w:color="auto"/>
              <w:right w:val="single" w:sz="6" w:space="0" w:color="auto"/>
            </w:tcBorders>
          </w:tcPr>
          <w:p w14:paraId="2A7965FE"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2 254</w:t>
            </w:r>
          </w:p>
        </w:tc>
        <w:tc>
          <w:tcPr>
            <w:tcW w:w="886" w:type="dxa"/>
            <w:tcBorders>
              <w:top w:val="single" w:sz="6" w:space="0" w:color="auto"/>
              <w:left w:val="single" w:sz="6" w:space="0" w:color="auto"/>
              <w:bottom w:val="single" w:sz="6" w:space="0" w:color="auto"/>
              <w:right w:val="single" w:sz="6" w:space="0" w:color="auto"/>
            </w:tcBorders>
          </w:tcPr>
          <w:p w14:paraId="0E4A8011"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1 565</w:t>
            </w:r>
          </w:p>
        </w:tc>
        <w:tc>
          <w:tcPr>
            <w:tcW w:w="902" w:type="dxa"/>
            <w:tcBorders>
              <w:top w:val="single" w:sz="6" w:space="0" w:color="auto"/>
              <w:left w:val="single" w:sz="6" w:space="0" w:color="auto"/>
              <w:bottom w:val="single" w:sz="6" w:space="0" w:color="auto"/>
              <w:right w:val="single" w:sz="6" w:space="0" w:color="auto"/>
            </w:tcBorders>
          </w:tcPr>
          <w:p w14:paraId="5B1FC7E4" w14:textId="77777777" w:rsidR="00D03F44" w:rsidRPr="003954D9" w:rsidRDefault="00D03F44">
            <w:pPr>
              <w:autoSpaceDE w:val="0"/>
              <w:autoSpaceDN w:val="0"/>
              <w:adjustRightInd w:val="0"/>
              <w:jc w:val="right"/>
              <w:rPr>
                <w:rFonts w:ascii="Calibri" w:hAnsi="Calibri" w:cs="Calibri"/>
                <w:b/>
                <w:bCs/>
                <w:color w:val="333399"/>
                <w:sz w:val="16"/>
                <w:szCs w:val="16"/>
              </w:rPr>
            </w:pPr>
            <w:r w:rsidRPr="00DD227A">
              <w:rPr>
                <w:rFonts w:ascii="Calibri" w:hAnsi="Calibri" w:cs="Calibri"/>
                <w:b/>
                <w:bCs/>
                <w:color w:val="0070C0"/>
                <w:sz w:val="16"/>
                <w:szCs w:val="16"/>
              </w:rPr>
              <w:t>487</w:t>
            </w:r>
          </w:p>
        </w:tc>
      </w:tr>
      <w:tr w:rsidR="00D03F44" w:rsidRPr="003954D9" w14:paraId="3A967622"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20F5E83E"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Övr. hushåll u. barn </w:t>
            </w:r>
          </w:p>
        </w:tc>
        <w:tc>
          <w:tcPr>
            <w:tcW w:w="709" w:type="dxa"/>
            <w:tcBorders>
              <w:top w:val="single" w:sz="6" w:space="0" w:color="auto"/>
              <w:left w:val="single" w:sz="6" w:space="0" w:color="auto"/>
              <w:bottom w:val="single" w:sz="6" w:space="0" w:color="auto"/>
              <w:right w:val="single" w:sz="6" w:space="0" w:color="auto"/>
            </w:tcBorders>
          </w:tcPr>
          <w:p w14:paraId="14DB6193"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4 604</w:t>
            </w:r>
          </w:p>
        </w:tc>
        <w:tc>
          <w:tcPr>
            <w:tcW w:w="850" w:type="dxa"/>
            <w:tcBorders>
              <w:top w:val="single" w:sz="6" w:space="0" w:color="auto"/>
              <w:left w:val="single" w:sz="6" w:space="0" w:color="auto"/>
              <w:bottom w:val="single" w:sz="6" w:space="0" w:color="auto"/>
              <w:right w:val="single" w:sz="6" w:space="0" w:color="auto"/>
            </w:tcBorders>
          </w:tcPr>
          <w:p w14:paraId="3F3B1015"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4 550</w:t>
            </w:r>
          </w:p>
        </w:tc>
        <w:tc>
          <w:tcPr>
            <w:tcW w:w="886" w:type="dxa"/>
            <w:tcBorders>
              <w:top w:val="single" w:sz="6" w:space="0" w:color="auto"/>
              <w:left w:val="single" w:sz="6" w:space="0" w:color="auto"/>
              <w:bottom w:val="single" w:sz="6" w:space="0" w:color="auto"/>
              <w:right w:val="single" w:sz="6" w:space="0" w:color="auto"/>
            </w:tcBorders>
          </w:tcPr>
          <w:p w14:paraId="57E4BAA3"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6 969</w:t>
            </w:r>
          </w:p>
        </w:tc>
        <w:tc>
          <w:tcPr>
            <w:tcW w:w="676" w:type="dxa"/>
            <w:tcBorders>
              <w:top w:val="single" w:sz="6" w:space="0" w:color="auto"/>
              <w:left w:val="single" w:sz="6" w:space="0" w:color="auto"/>
              <w:bottom w:val="single" w:sz="6" w:space="0" w:color="auto"/>
              <w:right w:val="single" w:sz="6" w:space="0" w:color="auto"/>
            </w:tcBorders>
          </w:tcPr>
          <w:p w14:paraId="7CD8E437"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5 299</w:t>
            </w:r>
          </w:p>
        </w:tc>
        <w:tc>
          <w:tcPr>
            <w:tcW w:w="855" w:type="dxa"/>
            <w:tcBorders>
              <w:top w:val="single" w:sz="6" w:space="0" w:color="auto"/>
              <w:left w:val="single" w:sz="6" w:space="0" w:color="auto"/>
              <w:bottom w:val="single" w:sz="6" w:space="0" w:color="auto"/>
              <w:right w:val="single" w:sz="6" w:space="0" w:color="auto"/>
            </w:tcBorders>
          </w:tcPr>
          <w:p w14:paraId="27B80C7D" w14:textId="77777777" w:rsidR="00D03F44" w:rsidRPr="003954D9" w:rsidRDefault="00D03F44">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7 342</w:t>
            </w:r>
          </w:p>
        </w:tc>
        <w:tc>
          <w:tcPr>
            <w:tcW w:w="854" w:type="dxa"/>
            <w:tcBorders>
              <w:top w:val="single" w:sz="6" w:space="0" w:color="auto"/>
              <w:left w:val="single" w:sz="6" w:space="0" w:color="auto"/>
              <w:bottom w:val="single" w:sz="6" w:space="0" w:color="auto"/>
              <w:right w:val="single" w:sz="6" w:space="0" w:color="auto"/>
            </w:tcBorders>
          </w:tcPr>
          <w:p w14:paraId="5AC3F0A6"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5 286</w:t>
            </w:r>
          </w:p>
        </w:tc>
        <w:tc>
          <w:tcPr>
            <w:tcW w:w="838" w:type="dxa"/>
            <w:tcBorders>
              <w:top w:val="single" w:sz="6" w:space="0" w:color="auto"/>
              <w:left w:val="single" w:sz="6" w:space="0" w:color="auto"/>
              <w:bottom w:val="single" w:sz="6" w:space="0" w:color="auto"/>
              <w:right w:val="single" w:sz="6" w:space="0" w:color="auto"/>
            </w:tcBorders>
          </w:tcPr>
          <w:p w14:paraId="29F3F6F5"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4 157</w:t>
            </w:r>
          </w:p>
        </w:tc>
        <w:tc>
          <w:tcPr>
            <w:tcW w:w="854" w:type="dxa"/>
            <w:tcBorders>
              <w:top w:val="single" w:sz="6" w:space="0" w:color="auto"/>
              <w:left w:val="single" w:sz="6" w:space="0" w:color="auto"/>
              <w:bottom w:val="single" w:sz="6" w:space="0" w:color="auto"/>
              <w:right w:val="single" w:sz="6" w:space="0" w:color="auto"/>
            </w:tcBorders>
          </w:tcPr>
          <w:p w14:paraId="0F55E900"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6 304</w:t>
            </w:r>
          </w:p>
        </w:tc>
        <w:tc>
          <w:tcPr>
            <w:tcW w:w="886" w:type="dxa"/>
            <w:tcBorders>
              <w:top w:val="single" w:sz="6" w:space="0" w:color="auto"/>
              <w:left w:val="single" w:sz="6" w:space="0" w:color="auto"/>
              <w:bottom w:val="single" w:sz="6" w:space="0" w:color="auto"/>
              <w:right w:val="single" w:sz="6" w:space="0" w:color="auto"/>
            </w:tcBorders>
          </w:tcPr>
          <w:p w14:paraId="6DD8703A"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5 977</w:t>
            </w:r>
          </w:p>
        </w:tc>
        <w:tc>
          <w:tcPr>
            <w:tcW w:w="902" w:type="dxa"/>
            <w:tcBorders>
              <w:top w:val="single" w:sz="6" w:space="0" w:color="auto"/>
              <w:left w:val="single" w:sz="6" w:space="0" w:color="auto"/>
              <w:bottom w:val="single" w:sz="6" w:space="0" w:color="auto"/>
              <w:right w:val="single" w:sz="6" w:space="0" w:color="auto"/>
            </w:tcBorders>
          </w:tcPr>
          <w:p w14:paraId="235648FF"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3 602</w:t>
            </w:r>
          </w:p>
        </w:tc>
      </w:tr>
      <w:tr w:rsidR="00D03F44" w:rsidRPr="003954D9" w14:paraId="49D2C606"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393EBA2A" w14:textId="77777777" w:rsidR="00D03F44" w:rsidRPr="003954D9" w:rsidRDefault="00D03F44">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Övr. hushåll m. barn</w:t>
            </w:r>
          </w:p>
        </w:tc>
        <w:tc>
          <w:tcPr>
            <w:tcW w:w="709" w:type="dxa"/>
            <w:tcBorders>
              <w:top w:val="single" w:sz="6" w:space="0" w:color="auto"/>
              <w:left w:val="single" w:sz="6" w:space="0" w:color="auto"/>
              <w:bottom w:val="single" w:sz="6" w:space="0" w:color="auto"/>
              <w:right w:val="single" w:sz="6" w:space="0" w:color="auto"/>
            </w:tcBorders>
          </w:tcPr>
          <w:p w14:paraId="36789F7F"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3 178</w:t>
            </w:r>
          </w:p>
        </w:tc>
        <w:tc>
          <w:tcPr>
            <w:tcW w:w="850" w:type="dxa"/>
            <w:tcBorders>
              <w:top w:val="single" w:sz="6" w:space="0" w:color="auto"/>
              <w:left w:val="single" w:sz="6" w:space="0" w:color="auto"/>
              <w:bottom w:val="single" w:sz="6" w:space="0" w:color="auto"/>
              <w:right w:val="single" w:sz="6" w:space="0" w:color="auto"/>
            </w:tcBorders>
          </w:tcPr>
          <w:p w14:paraId="4C8B947E"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4 238</w:t>
            </w:r>
          </w:p>
        </w:tc>
        <w:tc>
          <w:tcPr>
            <w:tcW w:w="886" w:type="dxa"/>
            <w:tcBorders>
              <w:top w:val="single" w:sz="6" w:space="0" w:color="auto"/>
              <w:left w:val="single" w:sz="6" w:space="0" w:color="auto"/>
              <w:bottom w:val="single" w:sz="6" w:space="0" w:color="auto"/>
              <w:right w:val="single" w:sz="6" w:space="0" w:color="auto"/>
            </w:tcBorders>
          </w:tcPr>
          <w:p w14:paraId="21CC78F2"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6 053</w:t>
            </w:r>
          </w:p>
        </w:tc>
        <w:tc>
          <w:tcPr>
            <w:tcW w:w="676" w:type="dxa"/>
            <w:tcBorders>
              <w:top w:val="single" w:sz="6" w:space="0" w:color="auto"/>
              <w:left w:val="single" w:sz="6" w:space="0" w:color="auto"/>
              <w:bottom w:val="single" w:sz="6" w:space="0" w:color="auto"/>
              <w:right w:val="single" w:sz="6" w:space="0" w:color="auto"/>
            </w:tcBorders>
          </w:tcPr>
          <w:p w14:paraId="3C48A738"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3 442</w:t>
            </w:r>
          </w:p>
        </w:tc>
        <w:tc>
          <w:tcPr>
            <w:tcW w:w="855" w:type="dxa"/>
            <w:tcBorders>
              <w:top w:val="single" w:sz="6" w:space="0" w:color="auto"/>
              <w:left w:val="single" w:sz="6" w:space="0" w:color="auto"/>
              <w:bottom w:val="single" w:sz="6" w:space="0" w:color="auto"/>
              <w:right w:val="single" w:sz="6" w:space="0" w:color="auto"/>
            </w:tcBorders>
          </w:tcPr>
          <w:p w14:paraId="4A43D7E0"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5 725</w:t>
            </w:r>
          </w:p>
        </w:tc>
        <w:tc>
          <w:tcPr>
            <w:tcW w:w="854" w:type="dxa"/>
            <w:tcBorders>
              <w:top w:val="single" w:sz="6" w:space="0" w:color="auto"/>
              <w:left w:val="single" w:sz="6" w:space="0" w:color="auto"/>
              <w:bottom w:val="single" w:sz="6" w:space="0" w:color="auto"/>
              <w:right w:val="single" w:sz="6" w:space="0" w:color="auto"/>
            </w:tcBorders>
          </w:tcPr>
          <w:p w14:paraId="27BD7F9F" w14:textId="77777777" w:rsidR="00D03F44" w:rsidRPr="00DD227A" w:rsidRDefault="00D03F44">
            <w:pPr>
              <w:autoSpaceDE w:val="0"/>
              <w:autoSpaceDN w:val="0"/>
              <w:adjustRightInd w:val="0"/>
              <w:jc w:val="right"/>
              <w:rPr>
                <w:rFonts w:ascii="Calibri" w:hAnsi="Calibri" w:cs="Calibri"/>
                <w:b/>
                <w:color w:val="000000"/>
                <w:sz w:val="16"/>
                <w:szCs w:val="16"/>
              </w:rPr>
            </w:pPr>
            <w:r w:rsidRPr="00DD227A">
              <w:rPr>
                <w:rFonts w:ascii="Calibri" w:hAnsi="Calibri" w:cs="Calibri"/>
                <w:b/>
                <w:color w:val="0070C0"/>
                <w:sz w:val="16"/>
                <w:szCs w:val="16"/>
              </w:rPr>
              <w:t>3 282</w:t>
            </w:r>
          </w:p>
        </w:tc>
        <w:tc>
          <w:tcPr>
            <w:tcW w:w="838" w:type="dxa"/>
            <w:tcBorders>
              <w:top w:val="single" w:sz="6" w:space="0" w:color="auto"/>
              <w:left w:val="single" w:sz="6" w:space="0" w:color="auto"/>
              <w:bottom w:val="single" w:sz="6" w:space="0" w:color="auto"/>
              <w:right w:val="single" w:sz="6" w:space="0" w:color="auto"/>
            </w:tcBorders>
          </w:tcPr>
          <w:p w14:paraId="2BD5C909"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2 550</w:t>
            </w:r>
          </w:p>
        </w:tc>
        <w:tc>
          <w:tcPr>
            <w:tcW w:w="854" w:type="dxa"/>
            <w:tcBorders>
              <w:top w:val="single" w:sz="6" w:space="0" w:color="auto"/>
              <w:left w:val="single" w:sz="6" w:space="0" w:color="auto"/>
              <w:bottom w:val="single" w:sz="6" w:space="0" w:color="auto"/>
              <w:right w:val="single" w:sz="6" w:space="0" w:color="auto"/>
            </w:tcBorders>
          </w:tcPr>
          <w:p w14:paraId="438E22AE" w14:textId="77777777" w:rsidR="00D03F44" w:rsidRPr="003954D9" w:rsidRDefault="00D03F44">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6 141</w:t>
            </w:r>
          </w:p>
        </w:tc>
        <w:tc>
          <w:tcPr>
            <w:tcW w:w="886" w:type="dxa"/>
            <w:tcBorders>
              <w:top w:val="single" w:sz="6" w:space="0" w:color="auto"/>
              <w:left w:val="single" w:sz="6" w:space="0" w:color="auto"/>
              <w:bottom w:val="single" w:sz="6" w:space="0" w:color="auto"/>
              <w:right w:val="single" w:sz="6" w:space="0" w:color="auto"/>
            </w:tcBorders>
          </w:tcPr>
          <w:p w14:paraId="3ED540D5" w14:textId="77777777" w:rsidR="00D03F44" w:rsidRPr="003954D9" w:rsidRDefault="00D03F44">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4 908</w:t>
            </w:r>
          </w:p>
        </w:tc>
        <w:tc>
          <w:tcPr>
            <w:tcW w:w="902" w:type="dxa"/>
            <w:tcBorders>
              <w:top w:val="single" w:sz="6" w:space="0" w:color="auto"/>
              <w:left w:val="single" w:sz="6" w:space="0" w:color="auto"/>
              <w:bottom w:val="single" w:sz="6" w:space="0" w:color="auto"/>
              <w:right w:val="single" w:sz="6" w:space="0" w:color="auto"/>
            </w:tcBorders>
          </w:tcPr>
          <w:p w14:paraId="1624FA22" w14:textId="77777777" w:rsidR="00D03F44" w:rsidRPr="00DD227A" w:rsidRDefault="00D03F44">
            <w:pPr>
              <w:autoSpaceDE w:val="0"/>
              <w:autoSpaceDN w:val="0"/>
              <w:adjustRightInd w:val="0"/>
              <w:jc w:val="right"/>
              <w:rPr>
                <w:rFonts w:ascii="Calibri" w:hAnsi="Calibri" w:cs="Calibri"/>
                <w:color w:val="000000"/>
                <w:sz w:val="16"/>
                <w:szCs w:val="16"/>
              </w:rPr>
            </w:pPr>
            <w:r w:rsidRPr="00DD227A">
              <w:rPr>
                <w:rFonts w:ascii="Calibri" w:hAnsi="Calibri" w:cs="Calibri"/>
                <w:sz w:val="16"/>
                <w:szCs w:val="16"/>
              </w:rPr>
              <w:t>2 344</w:t>
            </w:r>
          </w:p>
        </w:tc>
      </w:tr>
    </w:tbl>
    <w:p w14:paraId="6E503566" w14:textId="77777777" w:rsidR="00D57DB5" w:rsidRPr="003954D9" w:rsidRDefault="00D57DB5" w:rsidP="00D57DB5">
      <w:pPr>
        <w:rPr>
          <w:sz w:val="16"/>
          <w:szCs w:val="16"/>
        </w:rPr>
      </w:pPr>
      <w:r w:rsidRPr="003954D9">
        <w:rPr>
          <w:b/>
          <w:color w:val="FF6600"/>
          <w:sz w:val="16"/>
          <w:szCs w:val="16"/>
        </w:rPr>
        <w:t>Röd färg högsta</w:t>
      </w:r>
      <w:r w:rsidRPr="003954D9">
        <w:rPr>
          <w:color w:val="FF6600"/>
          <w:sz w:val="16"/>
          <w:szCs w:val="16"/>
        </w:rPr>
        <w:t xml:space="preserve"> </w:t>
      </w:r>
      <w:r w:rsidRPr="003954D9">
        <w:rPr>
          <w:sz w:val="16"/>
          <w:szCs w:val="16"/>
        </w:rPr>
        <w:t xml:space="preserve">och </w:t>
      </w:r>
      <w:r w:rsidRPr="00DD227A">
        <w:rPr>
          <w:b/>
          <w:color w:val="0070C0"/>
          <w:sz w:val="16"/>
          <w:szCs w:val="16"/>
        </w:rPr>
        <w:t>blå färg lägsta</w:t>
      </w:r>
      <w:r w:rsidRPr="00DD227A">
        <w:rPr>
          <w:color w:val="0070C0"/>
          <w:sz w:val="16"/>
          <w:szCs w:val="16"/>
        </w:rPr>
        <w:t xml:space="preserve"> </w:t>
      </w:r>
      <w:r w:rsidRPr="003954D9">
        <w:rPr>
          <w:sz w:val="16"/>
          <w:szCs w:val="16"/>
        </w:rPr>
        <w:t>värde i grupp.</w:t>
      </w:r>
    </w:p>
    <w:p w14:paraId="21EAAEF2" w14:textId="7D7E62A0" w:rsidR="002375E3" w:rsidRPr="003954D9" w:rsidRDefault="002375E3" w:rsidP="00540A4D">
      <w:pPr>
        <w:pStyle w:val="Rubrik2"/>
      </w:pPr>
      <w:bookmarkStart w:id="132" w:name="_Toc463184415"/>
      <w:bookmarkStart w:id="133" w:name="_Toc464828420"/>
      <w:r w:rsidRPr="003954D9">
        <w:t xml:space="preserve">Hushållstyper i stadsdelarna - effekterna av en hyreshöjning på 25 </w:t>
      </w:r>
      <w:r w:rsidR="00475673" w:rsidRPr="003954D9">
        <w:t>procent</w:t>
      </w:r>
      <w:bookmarkEnd w:id="132"/>
      <w:bookmarkEnd w:id="133"/>
      <w:r w:rsidRPr="003954D9">
        <w:t xml:space="preserve"> </w:t>
      </w:r>
    </w:p>
    <w:p w14:paraId="207DD901" w14:textId="3C1996F3" w:rsidR="0036103E" w:rsidRPr="003954D9" w:rsidRDefault="0036103E" w:rsidP="0036103E">
      <w:r w:rsidRPr="003954D9">
        <w:t xml:space="preserve">Av de tio olika hushållstyperna i undersökningen har Angered den största andelen hushåll i riskzonen efter en hyreshöjning på 25 </w:t>
      </w:r>
      <w:r w:rsidR="00475673" w:rsidRPr="003954D9">
        <w:t>procent</w:t>
      </w:r>
      <w:r w:rsidRPr="003954D9">
        <w:t xml:space="preserve"> </w:t>
      </w:r>
      <w:r w:rsidR="00995FE1">
        <w:t>och står för</w:t>
      </w:r>
      <w:r w:rsidRPr="003954D9">
        <w:t xml:space="preserve"> fem </w:t>
      </w:r>
      <w:r w:rsidR="00995FE1">
        <w:t xml:space="preserve">av de tio </w:t>
      </w:r>
      <w:r w:rsidRPr="003954D9">
        <w:t>hushållstyper</w:t>
      </w:r>
      <w:r w:rsidR="00995FE1">
        <w:t>na</w:t>
      </w:r>
      <w:r w:rsidRPr="003954D9">
        <w:t xml:space="preserve"> </w:t>
      </w:r>
      <w:r w:rsidR="00995FE1">
        <w:t xml:space="preserve">följt </w:t>
      </w:r>
      <w:r w:rsidR="00995FE1">
        <w:lastRenderedPageBreak/>
        <w:t>av</w:t>
      </w:r>
      <w:r w:rsidRPr="003954D9">
        <w:t xml:space="preserve"> Östra Göteborg </w:t>
      </w:r>
      <w:r w:rsidR="00420515" w:rsidRPr="003954D9">
        <w:t>med</w:t>
      </w:r>
      <w:r w:rsidRPr="003954D9">
        <w:t xml:space="preserve"> fyra. Högsta värdet får ensamstående med barn </w:t>
      </w:r>
      <w:r w:rsidR="00365C66" w:rsidRPr="003954D9">
        <w:t>0–19</w:t>
      </w:r>
      <w:r w:rsidRPr="003954D9">
        <w:t xml:space="preserve"> år i Angered (50 procent) och i Östra Göteborg (50</w:t>
      </w:r>
      <w:r w:rsidR="00205B1C" w:rsidRPr="003954D9">
        <w:t xml:space="preserve"> </w:t>
      </w:r>
      <w:r w:rsidR="00475673" w:rsidRPr="003954D9">
        <w:t>procent</w:t>
      </w:r>
      <w:r w:rsidRPr="003954D9">
        <w:t xml:space="preserve">) följda av </w:t>
      </w:r>
      <w:r w:rsidR="00786B2C" w:rsidRPr="003954D9">
        <w:t>ensamboende utan barn 65 år och äldre</w:t>
      </w:r>
      <w:r w:rsidRPr="003954D9">
        <w:t xml:space="preserve"> i Angered (</w:t>
      </w:r>
      <w:r w:rsidR="00786B2C" w:rsidRPr="003954D9">
        <w:t>41</w:t>
      </w:r>
      <w:r w:rsidRPr="003954D9">
        <w:t xml:space="preserve"> procent) samt samboende med 3 </w:t>
      </w:r>
      <w:r w:rsidR="00AE6E35">
        <w:t xml:space="preserve">barn </w:t>
      </w:r>
      <w:r w:rsidRPr="003954D9">
        <w:t>och fler i Östra Göteborg (</w:t>
      </w:r>
      <w:r w:rsidR="00786B2C" w:rsidRPr="003954D9">
        <w:t>40</w:t>
      </w:r>
      <w:r w:rsidRPr="003954D9">
        <w:t xml:space="preserve"> procent). </w:t>
      </w:r>
    </w:p>
    <w:p w14:paraId="16FAB609" w14:textId="3CC0BEAC" w:rsidR="0036103E" w:rsidRPr="003954D9" w:rsidRDefault="0036103E" w:rsidP="0036103E">
      <w:r w:rsidRPr="003954D9">
        <w:t>Hushållen som klarar sig bäst återfinns samtliga i stadsdelarna Örgryte-Härlanda, Majorna-Linnéstaden och Centrum. Här handlar det om hushåll med och utan barn med två eller fler vuxna i hushållet.</w:t>
      </w:r>
      <w:r w:rsidR="00DD227A">
        <w:t xml:space="preserve"> Se tabell 5:4.</w:t>
      </w:r>
    </w:p>
    <w:p w14:paraId="16061E3A" w14:textId="31F0EC76" w:rsidR="0046235B" w:rsidRPr="003954D9" w:rsidRDefault="0046235B" w:rsidP="0046235B">
      <w:pPr>
        <w:pStyle w:val="Rubrik5"/>
      </w:pPr>
      <w:r w:rsidRPr="003954D9">
        <w:t xml:space="preserve">Tabell </w:t>
      </w:r>
      <w:r w:rsidR="005B413F" w:rsidRPr="003954D9">
        <w:t>5:4</w:t>
      </w:r>
      <w:r w:rsidRPr="003954D9">
        <w:t>: Andel och antal i riskzonen efter hyreshöjning på 25 procent, hushållstyp och stadsdel</w:t>
      </w:r>
    </w:p>
    <w:tbl>
      <w:tblPr>
        <w:tblW w:w="9669" w:type="dxa"/>
        <w:tblInd w:w="-38" w:type="dxa"/>
        <w:tblLayout w:type="fixed"/>
        <w:tblCellMar>
          <w:left w:w="70" w:type="dxa"/>
          <w:right w:w="70" w:type="dxa"/>
        </w:tblCellMar>
        <w:tblLook w:val="0000" w:firstRow="0" w:lastRow="0" w:firstColumn="0" w:lastColumn="0" w:noHBand="0" w:noVBand="0"/>
      </w:tblPr>
      <w:tblGrid>
        <w:gridCol w:w="1873"/>
        <w:gridCol w:w="709"/>
        <w:gridCol w:w="838"/>
        <w:gridCol w:w="721"/>
        <w:gridCol w:w="677"/>
        <w:gridCol w:w="807"/>
        <w:gridCol w:w="784"/>
        <w:gridCol w:w="758"/>
        <w:gridCol w:w="801"/>
        <w:gridCol w:w="851"/>
        <w:gridCol w:w="850"/>
      </w:tblGrid>
      <w:tr w:rsidR="00525B1D" w:rsidRPr="003954D9" w14:paraId="414ED705" w14:textId="77777777" w:rsidTr="00525B1D">
        <w:trPr>
          <w:trHeight w:val="227"/>
        </w:trPr>
        <w:tc>
          <w:tcPr>
            <w:tcW w:w="1873" w:type="dxa"/>
            <w:tcBorders>
              <w:top w:val="single" w:sz="6" w:space="0" w:color="auto"/>
              <w:left w:val="single" w:sz="6" w:space="0" w:color="auto"/>
              <w:bottom w:val="single" w:sz="6" w:space="0" w:color="auto"/>
              <w:right w:val="single" w:sz="6" w:space="0" w:color="auto"/>
            </w:tcBorders>
          </w:tcPr>
          <w:p w14:paraId="6E0D26E8" w14:textId="77777777" w:rsidR="00525B1D" w:rsidRPr="003954D9" w:rsidRDefault="00525B1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Hushållstyp</w:t>
            </w:r>
          </w:p>
        </w:tc>
        <w:tc>
          <w:tcPr>
            <w:tcW w:w="709" w:type="dxa"/>
            <w:tcBorders>
              <w:top w:val="single" w:sz="6" w:space="0" w:color="auto"/>
              <w:left w:val="single" w:sz="6" w:space="0" w:color="auto"/>
              <w:bottom w:val="single" w:sz="6" w:space="0" w:color="auto"/>
              <w:right w:val="single" w:sz="6" w:space="0" w:color="auto"/>
            </w:tcBorders>
          </w:tcPr>
          <w:p w14:paraId="099A7916" w14:textId="77777777" w:rsidR="00525B1D" w:rsidRPr="003954D9" w:rsidRDefault="00525B1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38" w:type="dxa"/>
            <w:tcBorders>
              <w:top w:val="single" w:sz="6" w:space="0" w:color="auto"/>
              <w:left w:val="single" w:sz="6" w:space="0" w:color="auto"/>
              <w:bottom w:val="single" w:sz="6" w:space="0" w:color="auto"/>
              <w:right w:val="single" w:sz="6" w:space="0" w:color="auto"/>
            </w:tcBorders>
          </w:tcPr>
          <w:p w14:paraId="0623FC90" w14:textId="77777777" w:rsidR="00525B1D" w:rsidRPr="003954D9" w:rsidRDefault="00525B1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21" w:type="dxa"/>
            <w:tcBorders>
              <w:top w:val="single" w:sz="6" w:space="0" w:color="auto"/>
              <w:left w:val="single" w:sz="6" w:space="0" w:color="auto"/>
              <w:bottom w:val="single" w:sz="6" w:space="0" w:color="auto"/>
              <w:right w:val="single" w:sz="6" w:space="0" w:color="auto"/>
            </w:tcBorders>
          </w:tcPr>
          <w:p w14:paraId="2D9CE34D" w14:textId="77777777" w:rsidR="00525B1D" w:rsidRPr="003954D9" w:rsidRDefault="00525B1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677" w:type="dxa"/>
            <w:tcBorders>
              <w:top w:val="single" w:sz="6" w:space="0" w:color="auto"/>
              <w:left w:val="single" w:sz="6" w:space="0" w:color="auto"/>
              <w:bottom w:val="single" w:sz="6" w:space="0" w:color="auto"/>
              <w:right w:val="single" w:sz="6" w:space="0" w:color="auto"/>
            </w:tcBorders>
          </w:tcPr>
          <w:p w14:paraId="76C8C348" w14:textId="77777777" w:rsidR="00525B1D" w:rsidRPr="003954D9" w:rsidRDefault="00525B1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07" w:type="dxa"/>
            <w:tcBorders>
              <w:top w:val="single" w:sz="6" w:space="0" w:color="auto"/>
              <w:left w:val="single" w:sz="6" w:space="0" w:color="auto"/>
              <w:bottom w:val="single" w:sz="6" w:space="0" w:color="auto"/>
              <w:right w:val="single" w:sz="6" w:space="0" w:color="auto"/>
            </w:tcBorders>
          </w:tcPr>
          <w:p w14:paraId="0EF897D9" w14:textId="3FCB99A4" w:rsidR="00525B1D" w:rsidRPr="003954D9" w:rsidRDefault="00786B2C">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w:t>
            </w:r>
            <w:r w:rsidR="00525B1D" w:rsidRPr="003954D9">
              <w:rPr>
                <w:rFonts w:ascii="Calibri" w:hAnsi="Calibri" w:cs="Calibri"/>
                <w:b/>
                <w:bCs/>
                <w:color w:val="000000"/>
                <w:sz w:val="16"/>
                <w:szCs w:val="16"/>
              </w:rPr>
              <w:t xml:space="preserve"> Linne</w:t>
            </w:r>
          </w:p>
        </w:tc>
        <w:tc>
          <w:tcPr>
            <w:tcW w:w="784" w:type="dxa"/>
            <w:tcBorders>
              <w:top w:val="single" w:sz="6" w:space="0" w:color="auto"/>
              <w:left w:val="single" w:sz="6" w:space="0" w:color="auto"/>
              <w:bottom w:val="single" w:sz="6" w:space="0" w:color="auto"/>
              <w:right w:val="single" w:sz="6" w:space="0" w:color="auto"/>
            </w:tcBorders>
          </w:tcPr>
          <w:p w14:paraId="71E60884" w14:textId="77777777" w:rsidR="00525B1D" w:rsidRPr="003954D9" w:rsidRDefault="00525B1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58" w:type="dxa"/>
            <w:tcBorders>
              <w:top w:val="single" w:sz="6" w:space="0" w:color="auto"/>
              <w:left w:val="single" w:sz="6" w:space="0" w:color="auto"/>
              <w:bottom w:val="single" w:sz="6" w:space="0" w:color="auto"/>
              <w:right w:val="single" w:sz="6" w:space="0" w:color="auto"/>
            </w:tcBorders>
          </w:tcPr>
          <w:p w14:paraId="20E1A1FF" w14:textId="77777777" w:rsidR="00525B1D" w:rsidRPr="003954D9" w:rsidRDefault="00525B1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01" w:type="dxa"/>
            <w:tcBorders>
              <w:top w:val="single" w:sz="6" w:space="0" w:color="auto"/>
              <w:left w:val="single" w:sz="6" w:space="0" w:color="auto"/>
              <w:bottom w:val="single" w:sz="6" w:space="0" w:color="auto"/>
              <w:right w:val="single" w:sz="6" w:space="0" w:color="auto"/>
            </w:tcBorders>
          </w:tcPr>
          <w:p w14:paraId="0B1078CD" w14:textId="77777777" w:rsidR="00525B1D" w:rsidRPr="003954D9" w:rsidRDefault="00525B1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11F6F6B0" w14:textId="77777777" w:rsidR="00525B1D" w:rsidRPr="003954D9" w:rsidRDefault="00525B1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50" w:type="dxa"/>
            <w:tcBorders>
              <w:top w:val="single" w:sz="6" w:space="0" w:color="auto"/>
              <w:left w:val="single" w:sz="6" w:space="0" w:color="auto"/>
              <w:bottom w:val="single" w:sz="6" w:space="0" w:color="auto"/>
              <w:right w:val="single" w:sz="6" w:space="0" w:color="auto"/>
            </w:tcBorders>
          </w:tcPr>
          <w:p w14:paraId="4A6289D7" w14:textId="77777777" w:rsidR="00525B1D" w:rsidRPr="003954D9" w:rsidRDefault="00525B1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525B1D" w:rsidRPr="003954D9" w14:paraId="5010D28E" w14:textId="77777777" w:rsidTr="0036103E">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089BB376" w14:textId="43C1558C" w:rsidR="00525B1D" w:rsidRPr="003954D9" w:rsidRDefault="00525B1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584064C5" w14:textId="77777777" w:rsidR="00525B1D" w:rsidRPr="003954D9" w:rsidRDefault="00525B1D">
            <w:pPr>
              <w:autoSpaceDE w:val="0"/>
              <w:autoSpaceDN w:val="0"/>
              <w:adjustRightInd w:val="0"/>
              <w:jc w:val="right"/>
              <w:rPr>
                <w:rFonts w:ascii="Calibri" w:hAnsi="Calibri" w:cs="Calibri"/>
                <w:b/>
                <w:bCs/>
                <w:color w:val="FF0000"/>
                <w:sz w:val="16"/>
                <w:szCs w:val="16"/>
              </w:rPr>
            </w:pPr>
            <w:r w:rsidRPr="00DD227A">
              <w:rPr>
                <w:rFonts w:ascii="Calibri" w:hAnsi="Calibri" w:cs="Calibri"/>
                <w:b/>
                <w:bCs/>
                <w:color w:val="FF0000"/>
                <w:sz w:val="16"/>
                <w:szCs w:val="16"/>
              </w:rPr>
              <w:t>41,1</w:t>
            </w:r>
          </w:p>
        </w:tc>
        <w:tc>
          <w:tcPr>
            <w:tcW w:w="838" w:type="dxa"/>
            <w:tcBorders>
              <w:top w:val="single" w:sz="6" w:space="0" w:color="auto"/>
              <w:left w:val="single" w:sz="6" w:space="0" w:color="auto"/>
              <w:bottom w:val="single" w:sz="6" w:space="0" w:color="auto"/>
              <w:right w:val="single" w:sz="6" w:space="0" w:color="auto"/>
            </w:tcBorders>
            <w:vAlign w:val="center"/>
          </w:tcPr>
          <w:p w14:paraId="3966CE88"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28,7</w:t>
            </w:r>
          </w:p>
        </w:tc>
        <w:tc>
          <w:tcPr>
            <w:tcW w:w="721" w:type="dxa"/>
            <w:tcBorders>
              <w:top w:val="single" w:sz="6" w:space="0" w:color="auto"/>
              <w:left w:val="single" w:sz="6" w:space="0" w:color="auto"/>
              <w:bottom w:val="single" w:sz="6" w:space="0" w:color="auto"/>
              <w:right w:val="single" w:sz="6" w:space="0" w:color="auto"/>
            </w:tcBorders>
            <w:vAlign w:val="center"/>
          </w:tcPr>
          <w:p w14:paraId="380DFFA3"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24,1</w:t>
            </w:r>
          </w:p>
        </w:tc>
        <w:tc>
          <w:tcPr>
            <w:tcW w:w="677" w:type="dxa"/>
            <w:tcBorders>
              <w:top w:val="single" w:sz="6" w:space="0" w:color="auto"/>
              <w:left w:val="single" w:sz="6" w:space="0" w:color="auto"/>
              <w:bottom w:val="single" w:sz="6" w:space="0" w:color="auto"/>
              <w:right w:val="single" w:sz="6" w:space="0" w:color="auto"/>
            </w:tcBorders>
            <w:vAlign w:val="center"/>
          </w:tcPr>
          <w:p w14:paraId="0C14EDF4"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20,5</w:t>
            </w:r>
          </w:p>
        </w:tc>
        <w:tc>
          <w:tcPr>
            <w:tcW w:w="807" w:type="dxa"/>
            <w:tcBorders>
              <w:top w:val="single" w:sz="6" w:space="0" w:color="auto"/>
              <w:left w:val="single" w:sz="6" w:space="0" w:color="auto"/>
              <w:bottom w:val="single" w:sz="6" w:space="0" w:color="auto"/>
              <w:right w:val="single" w:sz="6" w:space="0" w:color="auto"/>
            </w:tcBorders>
            <w:vAlign w:val="center"/>
          </w:tcPr>
          <w:p w14:paraId="19F96609"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22,8</w:t>
            </w:r>
          </w:p>
        </w:tc>
        <w:tc>
          <w:tcPr>
            <w:tcW w:w="784" w:type="dxa"/>
            <w:tcBorders>
              <w:top w:val="single" w:sz="6" w:space="0" w:color="auto"/>
              <w:left w:val="single" w:sz="6" w:space="0" w:color="auto"/>
              <w:bottom w:val="single" w:sz="6" w:space="0" w:color="auto"/>
              <w:right w:val="single" w:sz="6" w:space="0" w:color="auto"/>
            </w:tcBorders>
            <w:vAlign w:val="center"/>
          </w:tcPr>
          <w:p w14:paraId="0FCC2A2F"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26,9</w:t>
            </w:r>
          </w:p>
        </w:tc>
        <w:tc>
          <w:tcPr>
            <w:tcW w:w="758" w:type="dxa"/>
            <w:tcBorders>
              <w:top w:val="single" w:sz="6" w:space="0" w:color="auto"/>
              <w:left w:val="single" w:sz="6" w:space="0" w:color="auto"/>
              <w:bottom w:val="single" w:sz="6" w:space="0" w:color="auto"/>
              <w:right w:val="single" w:sz="6" w:space="0" w:color="auto"/>
            </w:tcBorders>
            <w:vAlign w:val="center"/>
          </w:tcPr>
          <w:p w14:paraId="267B086B"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36,4</w:t>
            </w:r>
          </w:p>
        </w:tc>
        <w:tc>
          <w:tcPr>
            <w:tcW w:w="801" w:type="dxa"/>
            <w:tcBorders>
              <w:top w:val="single" w:sz="6" w:space="0" w:color="auto"/>
              <w:left w:val="single" w:sz="6" w:space="0" w:color="auto"/>
              <w:bottom w:val="single" w:sz="6" w:space="0" w:color="auto"/>
              <w:right w:val="single" w:sz="6" w:space="0" w:color="auto"/>
            </w:tcBorders>
            <w:vAlign w:val="center"/>
          </w:tcPr>
          <w:p w14:paraId="58FEC550"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851" w:type="dxa"/>
            <w:tcBorders>
              <w:top w:val="single" w:sz="6" w:space="0" w:color="auto"/>
              <w:left w:val="single" w:sz="6" w:space="0" w:color="auto"/>
              <w:bottom w:val="single" w:sz="6" w:space="0" w:color="auto"/>
              <w:right w:val="single" w:sz="6" w:space="0" w:color="auto"/>
            </w:tcBorders>
            <w:vAlign w:val="center"/>
          </w:tcPr>
          <w:p w14:paraId="40E4831A" w14:textId="77777777" w:rsidR="00525B1D" w:rsidRPr="003954D9" w:rsidRDefault="00525B1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14,7</w:t>
            </w:r>
          </w:p>
        </w:tc>
        <w:tc>
          <w:tcPr>
            <w:tcW w:w="850" w:type="dxa"/>
            <w:tcBorders>
              <w:top w:val="single" w:sz="6" w:space="0" w:color="auto"/>
              <w:left w:val="single" w:sz="6" w:space="0" w:color="auto"/>
              <w:bottom w:val="single" w:sz="6" w:space="0" w:color="auto"/>
              <w:right w:val="single" w:sz="6" w:space="0" w:color="auto"/>
            </w:tcBorders>
            <w:vAlign w:val="center"/>
          </w:tcPr>
          <w:p w14:paraId="19864BA6"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34,5</w:t>
            </w:r>
          </w:p>
        </w:tc>
      </w:tr>
      <w:tr w:rsidR="00525B1D" w:rsidRPr="003954D9" w14:paraId="7197EA3E" w14:textId="77777777" w:rsidTr="0036103E">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306A74B8" w14:textId="42FD0D1E" w:rsidR="00525B1D" w:rsidRPr="003954D9" w:rsidRDefault="00525B1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vAlign w:val="center"/>
          </w:tcPr>
          <w:p w14:paraId="7F0C763B" w14:textId="77777777" w:rsidR="00525B1D" w:rsidRPr="003954D9" w:rsidRDefault="00525B1D">
            <w:pPr>
              <w:autoSpaceDE w:val="0"/>
              <w:autoSpaceDN w:val="0"/>
              <w:adjustRightInd w:val="0"/>
              <w:jc w:val="right"/>
              <w:rPr>
                <w:rFonts w:ascii="Calibri" w:hAnsi="Calibri" w:cs="Calibri"/>
                <w:bCs/>
                <w:color w:val="FF0000"/>
                <w:sz w:val="16"/>
                <w:szCs w:val="16"/>
              </w:rPr>
            </w:pPr>
            <w:r w:rsidRPr="003954D9">
              <w:rPr>
                <w:rFonts w:ascii="Calibri" w:hAnsi="Calibri" w:cs="Calibri"/>
                <w:bCs/>
                <w:sz w:val="16"/>
                <w:szCs w:val="16"/>
              </w:rPr>
              <w:t>38,7</w:t>
            </w:r>
          </w:p>
        </w:tc>
        <w:tc>
          <w:tcPr>
            <w:tcW w:w="838" w:type="dxa"/>
            <w:tcBorders>
              <w:top w:val="single" w:sz="6" w:space="0" w:color="auto"/>
              <w:left w:val="single" w:sz="6" w:space="0" w:color="auto"/>
              <w:bottom w:val="single" w:sz="6" w:space="0" w:color="auto"/>
              <w:right w:val="single" w:sz="6" w:space="0" w:color="auto"/>
            </w:tcBorders>
            <w:vAlign w:val="center"/>
          </w:tcPr>
          <w:p w14:paraId="1C20A8E7" w14:textId="77777777" w:rsidR="00525B1D" w:rsidRPr="003954D9" w:rsidRDefault="00525B1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40,5</w:t>
            </w:r>
          </w:p>
        </w:tc>
        <w:tc>
          <w:tcPr>
            <w:tcW w:w="721" w:type="dxa"/>
            <w:tcBorders>
              <w:top w:val="single" w:sz="6" w:space="0" w:color="auto"/>
              <w:left w:val="single" w:sz="6" w:space="0" w:color="auto"/>
              <w:bottom w:val="single" w:sz="6" w:space="0" w:color="auto"/>
              <w:right w:val="single" w:sz="6" w:space="0" w:color="auto"/>
            </w:tcBorders>
            <w:vAlign w:val="center"/>
          </w:tcPr>
          <w:p w14:paraId="2BFC55F3"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24,4</w:t>
            </w:r>
          </w:p>
        </w:tc>
        <w:tc>
          <w:tcPr>
            <w:tcW w:w="677" w:type="dxa"/>
            <w:tcBorders>
              <w:top w:val="single" w:sz="6" w:space="0" w:color="auto"/>
              <w:left w:val="single" w:sz="6" w:space="0" w:color="auto"/>
              <w:bottom w:val="single" w:sz="6" w:space="0" w:color="auto"/>
              <w:right w:val="single" w:sz="6" w:space="0" w:color="auto"/>
            </w:tcBorders>
            <w:vAlign w:val="center"/>
          </w:tcPr>
          <w:p w14:paraId="0A7A0F51"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c>
          <w:tcPr>
            <w:tcW w:w="807" w:type="dxa"/>
            <w:tcBorders>
              <w:top w:val="single" w:sz="6" w:space="0" w:color="auto"/>
              <w:left w:val="single" w:sz="6" w:space="0" w:color="auto"/>
              <w:bottom w:val="single" w:sz="6" w:space="0" w:color="auto"/>
              <w:right w:val="single" w:sz="6" w:space="0" w:color="auto"/>
            </w:tcBorders>
            <w:vAlign w:val="center"/>
          </w:tcPr>
          <w:p w14:paraId="07AA4735"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29,8</w:t>
            </w:r>
          </w:p>
        </w:tc>
        <w:tc>
          <w:tcPr>
            <w:tcW w:w="784" w:type="dxa"/>
            <w:tcBorders>
              <w:top w:val="single" w:sz="6" w:space="0" w:color="auto"/>
              <w:left w:val="single" w:sz="6" w:space="0" w:color="auto"/>
              <w:bottom w:val="single" w:sz="6" w:space="0" w:color="auto"/>
              <w:right w:val="single" w:sz="6" w:space="0" w:color="auto"/>
            </w:tcBorders>
            <w:vAlign w:val="center"/>
          </w:tcPr>
          <w:p w14:paraId="2A7A793F"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25,1</w:t>
            </w:r>
          </w:p>
        </w:tc>
        <w:tc>
          <w:tcPr>
            <w:tcW w:w="758" w:type="dxa"/>
            <w:tcBorders>
              <w:top w:val="single" w:sz="6" w:space="0" w:color="auto"/>
              <w:left w:val="single" w:sz="6" w:space="0" w:color="auto"/>
              <w:bottom w:val="single" w:sz="6" w:space="0" w:color="auto"/>
              <w:right w:val="single" w:sz="6" w:space="0" w:color="auto"/>
            </w:tcBorders>
            <w:vAlign w:val="center"/>
          </w:tcPr>
          <w:p w14:paraId="378A3A2F"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23,7</w:t>
            </w:r>
          </w:p>
        </w:tc>
        <w:tc>
          <w:tcPr>
            <w:tcW w:w="801" w:type="dxa"/>
            <w:tcBorders>
              <w:top w:val="single" w:sz="6" w:space="0" w:color="auto"/>
              <w:left w:val="single" w:sz="6" w:space="0" w:color="auto"/>
              <w:bottom w:val="single" w:sz="6" w:space="0" w:color="auto"/>
              <w:right w:val="single" w:sz="6" w:space="0" w:color="auto"/>
            </w:tcBorders>
            <w:vAlign w:val="center"/>
          </w:tcPr>
          <w:p w14:paraId="4CE6DDD0" w14:textId="77777777" w:rsidR="00525B1D" w:rsidRPr="003954D9" w:rsidRDefault="00525B1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21,5</w:t>
            </w:r>
          </w:p>
        </w:tc>
        <w:tc>
          <w:tcPr>
            <w:tcW w:w="851" w:type="dxa"/>
            <w:tcBorders>
              <w:top w:val="single" w:sz="6" w:space="0" w:color="auto"/>
              <w:left w:val="single" w:sz="6" w:space="0" w:color="auto"/>
              <w:bottom w:val="single" w:sz="6" w:space="0" w:color="auto"/>
              <w:right w:val="single" w:sz="6" w:space="0" w:color="auto"/>
            </w:tcBorders>
            <w:vAlign w:val="center"/>
          </w:tcPr>
          <w:p w14:paraId="4FD84C01"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31,8</w:t>
            </w:r>
          </w:p>
        </w:tc>
        <w:tc>
          <w:tcPr>
            <w:tcW w:w="850" w:type="dxa"/>
            <w:tcBorders>
              <w:top w:val="single" w:sz="6" w:space="0" w:color="auto"/>
              <w:left w:val="single" w:sz="6" w:space="0" w:color="auto"/>
              <w:bottom w:val="single" w:sz="6" w:space="0" w:color="auto"/>
              <w:right w:val="single" w:sz="6" w:space="0" w:color="auto"/>
            </w:tcBorders>
            <w:vAlign w:val="center"/>
          </w:tcPr>
          <w:p w14:paraId="37E89B3B"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27,4</w:t>
            </w:r>
          </w:p>
        </w:tc>
      </w:tr>
      <w:tr w:rsidR="00525B1D" w:rsidRPr="003954D9" w14:paraId="658D5F87" w14:textId="77777777" w:rsidTr="0036103E">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6C02351F" w14:textId="1C859838" w:rsidR="00525B1D" w:rsidRPr="003954D9" w:rsidRDefault="00525B1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Ensamst</w:t>
            </w:r>
            <w:r w:rsidR="00D37D9E">
              <w:rPr>
                <w:rFonts w:ascii="Calibri" w:hAnsi="Calibri" w:cs="Calibri"/>
                <w:b/>
                <w:color w:val="000000"/>
                <w:sz w:val="16"/>
                <w:szCs w:val="16"/>
              </w:rPr>
              <w:t>.</w:t>
            </w:r>
            <w:r w:rsidRPr="003954D9">
              <w:rPr>
                <w:rFonts w:ascii="Calibri" w:hAnsi="Calibri" w:cs="Calibri"/>
                <w:b/>
                <w:color w:val="000000"/>
                <w:sz w:val="16"/>
                <w:szCs w:val="16"/>
              </w:rPr>
              <w:t xml:space="preserve"> m.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2BBCD5FB" w14:textId="77777777" w:rsidR="00525B1D" w:rsidRPr="003954D9" w:rsidRDefault="00525B1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50,2</w:t>
            </w:r>
          </w:p>
        </w:tc>
        <w:tc>
          <w:tcPr>
            <w:tcW w:w="838" w:type="dxa"/>
            <w:tcBorders>
              <w:top w:val="single" w:sz="6" w:space="0" w:color="auto"/>
              <w:left w:val="single" w:sz="6" w:space="0" w:color="auto"/>
              <w:bottom w:val="single" w:sz="6" w:space="0" w:color="auto"/>
              <w:right w:val="single" w:sz="6" w:space="0" w:color="auto"/>
            </w:tcBorders>
            <w:vAlign w:val="center"/>
          </w:tcPr>
          <w:p w14:paraId="0669D16F"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40,2</w:t>
            </w:r>
          </w:p>
        </w:tc>
        <w:tc>
          <w:tcPr>
            <w:tcW w:w="721" w:type="dxa"/>
            <w:tcBorders>
              <w:top w:val="single" w:sz="6" w:space="0" w:color="auto"/>
              <w:left w:val="single" w:sz="6" w:space="0" w:color="auto"/>
              <w:bottom w:val="single" w:sz="6" w:space="0" w:color="auto"/>
              <w:right w:val="single" w:sz="6" w:space="0" w:color="auto"/>
            </w:tcBorders>
            <w:vAlign w:val="center"/>
          </w:tcPr>
          <w:p w14:paraId="24943B3C"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23,4</w:t>
            </w:r>
          </w:p>
        </w:tc>
        <w:tc>
          <w:tcPr>
            <w:tcW w:w="677" w:type="dxa"/>
            <w:tcBorders>
              <w:top w:val="single" w:sz="6" w:space="0" w:color="auto"/>
              <w:left w:val="single" w:sz="6" w:space="0" w:color="auto"/>
              <w:bottom w:val="single" w:sz="6" w:space="0" w:color="auto"/>
              <w:right w:val="single" w:sz="6" w:space="0" w:color="auto"/>
            </w:tcBorders>
            <w:vAlign w:val="center"/>
          </w:tcPr>
          <w:p w14:paraId="65B13134"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30,0</w:t>
            </w:r>
          </w:p>
        </w:tc>
        <w:tc>
          <w:tcPr>
            <w:tcW w:w="807" w:type="dxa"/>
            <w:tcBorders>
              <w:top w:val="single" w:sz="6" w:space="0" w:color="auto"/>
              <w:left w:val="single" w:sz="6" w:space="0" w:color="auto"/>
              <w:bottom w:val="single" w:sz="6" w:space="0" w:color="auto"/>
              <w:right w:val="single" w:sz="6" w:space="0" w:color="auto"/>
            </w:tcBorders>
            <w:vAlign w:val="center"/>
          </w:tcPr>
          <w:p w14:paraId="59B991DF"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29,1</w:t>
            </w:r>
          </w:p>
        </w:tc>
        <w:tc>
          <w:tcPr>
            <w:tcW w:w="784" w:type="dxa"/>
            <w:tcBorders>
              <w:top w:val="single" w:sz="6" w:space="0" w:color="auto"/>
              <w:left w:val="single" w:sz="6" w:space="0" w:color="auto"/>
              <w:bottom w:val="single" w:sz="6" w:space="0" w:color="auto"/>
              <w:right w:val="single" w:sz="6" w:space="0" w:color="auto"/>
            </w:tcBorders>
            <w:vAlign w:val="center"/>
          </w:tcPr>
          <w:p w14:paraId="3F1E0D20"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34,7</w:t>
            </w:r>
          </w:p>
        </w:tc>
        <w:tc>
          <w:tcPr>
            <w:tcW w:w="758" w:type="dxa"/>
            <w:tcBorders>
              <w:top w:val="single" w:sz="6" w:space="0" w:color="auto"/>
              <w:left w:val="single" w:sz="6" w:space="0" w:color="auto"/>
              <w:bottom w:val="single" w:sz="6" w:space="0" w:color="auto"/>
              <w:right w:val="single" w:sz="6" w:space="0" w:color="auto"/>
            </w:tcBorders>
            <w:vAlign w:val="center"/>
          </w:tcPr>
          <w:p w14:paraId="7EEA5ACA"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42,2</w:t>
            </w:r>
          </w:p>
        </w:tc>
        <w:tc>
          <w:tcPr>
            <w:tcW w:w="801" w:type="dxa"/>
            <w:tcBorders>
              <w:top w:val="single" w:sz="6" w:space="0" w:color="auto"/>
              <w:left w:val="single" w:sz="6" w:space="0" w:color="auto"/>
              <w:bottom w:val="single" w:sz="6" w:space="0" w:color="auto"/>
              <w:right w:val="single" w:sz="6" w:space="0" w:color="auto"/>
            </w:tcBorders>
            <w:vAlign w:val="center"/>
          </w:tcPr>
          <w:p w14:paraId="7FA9F33C" w14:textId="77777777" w:rsidR="00525B1D" w:rsidRPr="003954D9" w:rsidRDefault="00525B1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19,2</w:t>
            </w:r>
          </w:p>
        </w:tc>
        <w:tc>
          <w:tcPr>
            <w:tcW w:w="851" w:type="dxa"/>
            <w:tcBorders>
              <w:top w:val="single" w:sz="6" w:space="0" w:color="auto"/>
              <w:left w:val="single" w:sz="6" w:space="0" w:color="auto"/>
              <w:bottom w:val="single" w:sz="6" w:space="0" w:color="auto"/>
              <w:right w:val="single" w:sz="6" w:space="0" w:color="auto"/>
            </w:tcBorders>
            <w:vAlign w:val="center"/>
          </w:tcPr>
          <w:p w14:paraId="35E54EBE"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28,6</w:t>
            </w:r>
          </w:p>
        </w:tc>
        <w:tc>
          <w:tcPr>
            <w:tcW w:w="850" w:type="dxa"/>
            <w:tcBorders>
              <w:top w:val="single" w:sz="6" w:space="0" w:color="auto"/>
              <w:left w:val="single" w:sz="6" w:space="0" w:color="auto"/>
              <w:bottom w:val="single" w:sz="6" w:space="0" w:color="auto"/>
              <w:right w:val="single" w:sz="6" w:space="0" w:color="auto"/>
            </w:tcBorders>
            <w:vAlign w:val="center"/>
          </w:tcPr>
          <w:p w14:paraId="390A91EF" w14:textId="77777777" w:rsidR="00525B1D" w:rsidRPr="003954D9" w:rsidRDefault="00525B1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50,1</w:t>
            </w:r>
          </w:p>
        </w:tc>
      </w:tr>
      <w:tr w:rsidR="00525B1D" w:rsidRPr="003954D9" w14:paraId="3254A0EF" w14:textId="77777777" w:rsidTr="0036103E">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7B96B8D9" w14:textId="16176DB9" w:rsidR="00525B1D" w:rsidRPr="003954D9" w:rsidRDefault="00525B1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603E51DE" w14:textId="77777777" w:rsidR="00525B1D" w:rsidRPr="003954D9" w:rsidRDefault="00525B1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21,9</w:t>
            </w:r>
          </w:p>
        </w:tc>
        <w:tc>
          <w:tcPr>
            <w:tcW w:w="838" w:type="dxa"/>
            <w:tcBorders>
              <w:top w:val="single" w:sz="6" w:space="0" w:color="auto"/>
              <w:left w:val="single" w:sz="6" w:space="0" w:color="auto"/>
              <w:bottom w:val="single" w:sz="6" w:space="0" w:color="auto"/>
              <w:right w:val="single" w:sz="6" w:space="0" w:color="auto"/>
            </w:tcBorders>
            <w:vAlign w:val="center"/>
          </w:tcPr>
          <w:p w14:paraId="51D7A75C"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8,5</w:t>
            </w:r>
          </w:p>
        </w:tc>
        <w:tc>
          <w:tcPr>
            <w:tcW w:w="721" w:type="dxa"/>
            <w:tcBorders>
              <w:top w:val="single" w:sz="6" w:space="0" w:color="auto"/>
              <w:left w:val="single" w:sz="6" w:space="0" w:color="auto"/>
              <w:bottom w:val="single" w:sz="6" w:space="0" w:color="auto"/>
              <w:right w:val="single" w:sz="6" w:space="0" w:color="auto"/>
            </w:tcBorders>
            <w:vAlign w:val="center"/>
          </w:tcPr>
          <w:p w14:paraId="593C5BF9" w14:textId="77777777" w:rsidR="00525B1D" w:rsidRPr="003954D9" w:rsidRDefault="00525B1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5,4</w:t>
            </w:r>
          </w:p>
        </w:tc>
        <w:tc>
          <w:tcPr>
            <w:tcW w:w="677" w:type="dxa"/>
            <w:tcBorders>
              <w:top w:val="single" w:sz="6" w:space="0" w:color="auto"/>
              <w:left w:val="single" w:sz="6" w:space="0" w:color="auto"/>
              <w:bottom w:val="single" w:sz="6" w:space="0" w:color="auto"/>
              <w:right w:val="single" w:sz="6" w:space="0" w:color="auto"/>
            </w:tcBorders>
            <w:vAlign w:val="center"/>
          </w:tcPr>
          <w:p w14:paraId="7BA13A57"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10,9</w:t>
            </w:r>
          </w:p>
        </w:tc>
        <w:tc>
          <w:tcPr>
            <w:tcW w:w="807" w:type="dxa"/>
            <w:tcBorders>
              <w:top w:val="single" w:sz="6" w:space="0" w:color="auto"/>
              <w:left w:val="single" w:sz="6" w:space="0" w:color="auto"/>
              <w:bottom w:val="single" w:sz="6" w:space="0" w:color="auto"/>
              <w:right w:val="single" w:sz="6" w:space="0" w:color="auto"/>
            </w:tcBorders>
            <w:vAlign w:val="center"/>
          </w:tcPr>
          <w:p w14:paraId="73482878"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w:t>
            </w:r>
          </w:p>
        </w:tc>
        <w:tc>
          <w:tcPr>
            <w:tcW w:w="784" w:type="dxa"/>
            <w:tcBorders>
              <w:top w:val="single" w:sz="6" w:space="0" w:color="auto"/>
              <w:left w:val="single" w:sz="6" w:space="0" w:color="auto"/>
              <w:bottom w:val="single" w:sz="6" w:space="0" w:color="auto"/>
              <w:right w:val="single" w:sz="6" w:space="0" w:color="auto"/>
            </w:tcBorders>
            <w:vAlign w:val="center"/>
          </w:tcPr>
          <w:p w14:paraId="32457004"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15,8</w:t>
            </w:r>
          </w:p>
        </w:tc>
        <w:tc>
          <w:tcPr>
            <w:tcW w:w="758" w:type="dxa"/>
            <w:tcBorders>
              <w:top w:val="single" w:sz="6" w:space="0" w:color="auto"/>
              <w:left w:val="single" w:sz="6" w:space="0" w:color="auto"/>
              <w:bottom w:val="single" w:sz="6" w:space="0" w:color="auto"/>
              <w:right w:val="single" w:sz="6" w:space="0" w:color="auto"/>
            </w:tcBorders>
            <w:vAlign w:val="center"/>
          </w:tcPr>
          <w:p w14:paraId="2CE71D00"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13,9</w:t>
            </w:r>
          </w:p>
        </w:tc>
        <w:tc>
          <w:tcPr>
            <w:tcW w:w="801" w:type="dxa"/>
            <w:tcBorders>
              <w:top w:val="single" w:sz="6" w:space="0" w:color="auto"/>
              <w:left w:val="single" w:sz="6" w:space="0" w:color="auto"/>
              <w:bottom w:val="single" w:sz="6" w:space="0" w:color="auto"/>
              <w:right w:val="single" w:sz="6" w:space="0" w:color="auto"/>
            </w:tcBorders>
            <w:vAlign w:val="center"/>
          </w:tcPr>
          <w:p w14:paraId="395050C8"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8,5</w:t>
            </w:r>
          </w:p>
        </w:tc>
        <w:tc>
          <w:tcPr>
            <w:tcW w:w="851" w:type="dxa"/>
            <w:tcBorders>
              <w:top w:val="single" w:sz="6" w:space="0" w:color="auto"/>
              <w:left w:val="single" w:sz="6" w:space="0" w:color="auto"/>
              <w:bottom w:val="single" w:sz="6" w:space="0" w:color="auto"/>
              <w:right w:val="single" w:sz="6" w:space="0" w:color="auto"/>
            </w:tcBorders>
            <w:vAlign w:val="center"/>
          </w:tcPr>
          <w:p w14:paraId="5937E2F2"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500A3308"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19,5</w:t>
            </w:r>
          </w:p>
        </w:tc>
      </w:tr>
      <w:tr w:rsidR="00525B1D" w:rsidRPr="003954D9" w14:paraId="24445DA1" w14:textId="77777777" w:rsidTr="0036103E">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73AEC14B" w14:textId="2129DA5C" w:rsidR="00525B1D" w:rsidRPr="003954D9" w:rsidRDefault="00525B1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vAlign w:val="center"/>
          </w:tcPr>
          <w:p w14:paraId="123A5D99" w14:textId="77777777" w:rsidR="00525B1D" w:rsidRPr="003954D9" w:rsidRDefault="00525B1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37,0</w:t>
            </w:r>
          </w:p>
        </w:tc>
        <w:tc>
          <w:tcPr>
            <w:tcW w:w="838" w:type="dxa"/>
            <w:tcBorders>
              <w:top w:val="single" w:sz="6" w:space="0" w:color="auto"/>
              <w:left w:val="single" w:sz="6" w:space="0" w:color="auto"/>
              <w:bottom w:val="single" w:sz="6" w:space="0" w:color="auto"/>
              <w:right w:val="single" w:sz="6" w:space="0" w:color="auto"/>
            </w:tcBorders>
            <w:vAlign w:val="center"/>
          </w:tcPr>
          <w:p w14:paraId="64257A17"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7,9</w:t>
            </w:r>
          </w:p>
        </w:tc>
        <w:tc>
          <w:tcPr>
            <w:tcW w:w="721" w:type="dxa"/>
            <w:tcBorders>
              <w:top w:val="single" w:sz="6" w:space="0" w:color="auto"/>
              <w:left w:val="single" w:sz="6" w:space="0" w:color="auto"/>
              <w:bottom w:val="single" w:sz="6" w:space="0" w:color="auto"/>
              <w:right w:val="single" w:sz="6" w:space="0" w:color="auto"/>
            </w:tcBorders>
            <w:vAlign w:val="center"/>
          </w:tcPr>
          <w:p w14:paraId="0CC9B773"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vAlign w:val="center"/>
          </w:tcPr>
          <w:p w14:paraId="318F6A41"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07" w:type="dxa"/>
            <w:tcBorders>
              <w:top w:val="single" w:sz="6" w:space="0" w:color="auto"/>
              <w:left w:val="single" w:sz="6" w:space="0" w:color="auto"/>
              <w:bottom w:val="single" w:sz="6" w:space="0" w:color="auto"/>
              <w:right w:val="single" w:sz="6" w:space="0" w:color="auto"/>
            </w:tcBorders>
            <w:vAlign w:val="center"/>
          </w:tcPr>
          <w:p w14:paraId="65EC1148"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784" w:type="dxa"/>
            <w:tcBorders>
              <w:top w:val="single" w:sz="6" w:space="0" w:color="auto"/>
              <w:left w:val="single" w:sz="6" w:space="0" w:color="auto"/>
              <w:bottom w:val="single" w:sz="6" w:space="0" w:color="auto"/>
              <w:right w:val="single" w:sz="6" w:space="0" w:color="auto"/>
            </w:tcBorders>
            <w:vAlign w:val="center"/>
          </w:tcPr>
          <w:p w14:paraId="2C5FF6E9"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17,6</w:t>
            </w:r>
          </w:p>
        </w:tc>
        <w:tc>
          <w:tcPr>
            <w:tcW w:w="758" w:type="dxa"/>
            <w:tcBorders>
              <w:top w:val="single" w:sz="6" w:space="0" w:color="auto"/>
              <w:left w:val="single" w:sz="6" w:space="0" w:color="auto"/>
              <w:bottom w:val="single" w:sz="6" w:space="0" w:color="auto"/>
              <w:right w:val="single" w:sz="6" w:space="0" w:color="auto"/>
            </w:tcBorders>
            <w:vAlign w:val="center"/>
          </w:tcPr>
          <w:p w14:paraId="789016DE"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22,0</w:t>
            </w:r>
          </w:p>
        </w:tc>
        <w:tc>
          <w:tcPr>
            <w:tcW w:w="801" w:type="dxa"/>
            <w:tcBorders>
              <w:top w:val="single" w:sz="6" w:space="0" w:color="auto"/>
              <w:left w:val="single" w:sz="6" w:space="0" w:color="auto"/>
              <w:bottom w:val="single" w:sz="6" w:space="0" w:color="auto"/>
              <w:right w:val="single" w:sz="6" w:space="0" w:color="auto"/>
            </w:tcBorders>
            <w:vAlign w:val="center"/>
          </w:tcPr>
          <w:p w14:paraId="4ACA34C4" w14:textId="77777777" w:rsidR="00525B1D" w:rsidRPr="003954D9" w:rsidRDefault="00525B1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2,5</w:t>
            </w:r>
          </w:p>
        </w:tc>
        <w:tc>
          <w:tcPr>
            <w:tcW w:w="851" w:type="dxa"/>
            <w:tcBorders>
              <w:top w:val="single" w:sz="6" w:space="0" w:color="auto"/>
              <w:left w:val="single" w:sz="6" w:space="0" w:color="auto"/>
              <w:bottom w:val="single" w:sz="6" w:space="0" w:color="auto"/>
              <w:right w:val="single" w:sz="6" w:space="0" w:color="auto"/>
            </w:tcBorders>
            <w:vAlign w:val="center"/>
          </w:tcPr>
          <w:p w14:paraId="4A570F41"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08F11878"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14,8</w:t>
            </w:r>
          </w:p>
        </w:tc>
      </w:tr>
      <w:tr w:rsidR="00525B1D" w:rsidRPr="003954D9" w14:paraId="2A818431" w14:textId="77777777" w:rsidTr="0036103E">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6DC8BF81" w14:textId="2E41D65A" w:rsidR="00525B1D" w:rsidRPr="003954D9" w:rsidRDefault="00525B1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1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4967A5C8"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19,9</w:t>
            </w:r>
          </w:p>
        </w:tc>
        <w:tc>
          <w:tcPr>
            <w:tcW w:w="838" w:type="dxa"/>
            <w:tcBorders>
              <w:top w:val="single" w:sz="6" w:space="0" w:color="auto"/>
              <w:left w:val="single" w:sz="6" w:space="0" w:color="auto"/>
              <w:bottom w:val="single" w:sz="6" w:space="0" w:color="auto"/>
              <w:right w:val="single" w:sz="6" w:space="0" w:color="auto"/>
            </w:tcBorders>
            <w:vAlign w:val="center"/>
          </w:tcPr>
          <w:p w14:paraId="284FD57B"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14,2</w:t>
            </w:r>
          </w:p>
        </w:tc>
        <w:tc>
          <w:tcPr>
            <w:tcW w:w="721" w:type="dxa"/>
            <w:tcBorders>
              <w:top w:val="single" w:sz="6" w:space="0" w:color="auto"/>
              <w:left w:val="single" w:sz="6" w:space="0" w:color="auto"/>
              <w:bottom w:val="single" w:sz="6" w:space="0" w:color="auto"/>
              <w:right w:val="single" w:sz="6" w:space="0" w:color="auto"/>
            </w:tcBorders>
            <w:vAlign w:val="center"/>
          </w:tcPr>
          <w:p w14:paraId="19BD91C6"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vAlign w:val="center"/>
          </w:tcPr>
          <w:p w14:paraId="188E145A"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14,3</w:t>
            </w:r>
          </w:p>
        </w:tc>
        <w:tc>
          <w:tcPr>
            <w:tcW w:w="807" w:type="dxa"/>
            <w:tcBorders>
              <w:top w:val="single" w:sz="6" w:space="0" w:color="auto"/>
              <w:left w:val="single" w:sz="6" w:space="0" w:color="auto"/>
              <w:bottom w:val="single" w:sz="6" w:space="0" w:color="auto"/>
              <w:right w:val="single" w:sz="6" w:space="0" w:color="auto"/>
            </w:tcBorders>
            <w:vAlign w:val="center"/>
          </w:tcPr>
          <w:p w14:paraId="1DAF75BF" w14:textId="77777777" w:rsidR="00525B1D" w:rsidRPr="003954D9" w:rsidRDefault="00525B1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7,2</w:t>
            </w:r>
          </w:p>
        </w:tc>
        <w:tc>
          <w:tcPr>
            <w:tcW w:w="784" w:type="dxa"/>
            <w:tcBorders>
              <w:top w:val="single" w:sz="6" w:space="0" w:color="auto"/>
              <w:left w:val="single" w:sz="6" w:space="0" w:color="auto"/>
              <w:bottom w:val="single" w:sz="6" w:space="0" w:color="auto"/>
              <w:right w:val="single" w:sz="6" w:space="0" w:color="auto"/>
            </w:tcBorders>
            <w:vAlign w:val="center"/>
          </w:tcPr>
          <w:p w14:paraId="6F44EAF0"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16,4</w:t>
            </w:r>
          </w:p>
        </w:tc>
        <w:tc>
          <w:tcPr>
            <w:tcW w:w="758" w:type="dxa"/>
            <w:tcBorders>
              <w:top w:val="single" w:sz="6" w:space="0" w:color="auto"/>
              <w:left w:val="single" w:sz="6" w:space="0" w:color="auto"/>
              <w:bottom w:val="single" w:sz="6" w:space="0" w:color="auto"/>
              <w:right w:val="single" w:sz="6" w:space="0" w:color="auto"/>
            </w:tcBorders>
            <w:vAlign w:val="center"/>
          </w:tcPr>
          <w:p w14:paraId="41F5EF20" w14:textId="77777777" w:rsidR="00525B1D" w:rsidRPr="003954D9" w:rsidRDefault="00525B1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22,8</w:t>
            </w:r>
          </w:p>
        </w:tc>
        <w:tc>
          <w:tcPr>
            <w:tcW w:w="801" w:type="dxa"/>
            <w:tcBorders>
              <w:top w:val="single" w:sz="6" w:space="0" w:color="auto"/>
              <w:left w:val="single" w:sz="6" w:space="0" w:color="auto"/>
              <w:bottom w:val="single" w:sz="6" w:space="0" w:color="auto"/>
              <w:right w:val="single" w:sz="6" w:space="0" w:color="auto"/>
            </w:tcBorders>
            <w:vAlign w:val="center"/>
          </w:tcPr>
          <w:p w14:paraId="12E374DF"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8,3</w:t>
            </w:r>
          </w:p>
        </w:tc>
        <w:tc>
          <w:tcPr>
            <w:tcW w:w="851" w:type="dxa"/>
            <w:tcBorders>
              <w:top w:val="single" w:sz="6" w:space="0" w:color="auto"/>
              <w:left w:val="single" w:sz="6" w:space="0" w:color="auto"/>
              <w:bottom w:val="single" w:sz="6" w:space="0" w:color="auto"/>
              <w:right w:val="single" w:sz="6" w:space="0" w:color="auto"/>
            </w:tcBorders>
            <w:vAlign w:val="center"/>
          </w:tcPr>
          <w:p w14:paraId="3B07451C"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20F3228F" w14:textId="77777777" w:rsidR="00525B1D" w:rsidRPr="003954D9" w:rsidRDefault="00525B1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22,9</w:t>
            </w:r>
          </w:p>
        </w:tc>
      </w:tr>
      <w:tr w:rsidR="00525B1D" w:rsidRPr="003954D9" w14:paraId="64C8B31A" w14:textId="77777777" w:rsidTr="0036103E">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45B92723" w14:textId="15B122B8" w:rsidR="00525B1D" w:rsidRPr="003954D9" w:rsidRDefault="00525B1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2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6B1F53A9" w14:textId="77777777" w:rsidR="00525B1D" w:rsidRPr="003954D9" w:rsidRDefault="00525B1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30,4</w:t>
            </w:r>
          </w:p>
        </w:tc>
        <w:tc>
          <w:tcPr>
            <w:tcW w:w="838" w:type="dxa"/>
            <w:tcBorders>
              <w:top w:val="single" w:sz="6" w:space="0" w:color="auto"/>
              <w:left w:val="single" w:sz="6" w:space="0" w:color="auto"/>
              <w:bottom w:val="single" w:sz="6" w:space="0" w:color="auto"/>
              <w:right w:val="single" w:sz="6" w:space="0" w:color="auto"/>
            </w:tcBorders>
            <w:vAlign w:val="center"/>
          </w:tcPr>
          <w:p w14:paraId="2BD97474"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16,5</w:t>
            </w:r>
          </w:p>
        </w:tc>
        <w:tc>
          <w:tcPr>
            <w:tcW w:w="721" w:type="dxa"/>
            <w:tcBorders>
              <w:top w:val="single" w:sz="6" w:space="0" w:color="auto"/>
              <w:left w:val="single" w:sz="6" w:space="0" w:color="auto"/>
              <w:bottom w:val="single" w:sz="6" w:space="0" w:color="auto"/>
              <w:right w:val="single" w:sz="6" w:space="0" w:color="auto"/>
            </w:tcBorders>
            <w:vAlign w:val="center"/>
          </w:tcPr>
          <w:p w14:paraId="50555BEF"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vAlign w:val="center"/>
          </w:tcPr>
          <w:p w14:paraId="75B4B8D6"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807" w:type="dxa"/>
            <w:tcBorders>
              <w:top w:val="single" w:sz="6" w:space="0" w:color="auto"/>
              <w:left w:val="single" w:sz="6" w:space="0" w:color="auto"/>
              <w:bottom w:val="single" w:sz="6" w:space="0" w:color="auto"/>
              <w:right w:val="single" w:sz="6" w:space="0" w:color="auto"/>
            </w:tcBorders>
            <w:vAlign w:val="center"/>
          </w:tcPr>
          <w:p w14:paraId="3123E1DA"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6,9</w:t>
            </w:r>
          </w:p>
        </w:tc>
        <w:tc>
          <w:tcPr>
            <w:tcW w:w="784" w:type="dxa"/>
            <w:tcBorders>
              <w:top w:val="single" w:sz="6" w:space="0" w:color="auto"/>
              <w:left w:val="single" w:sz="6" w:space="0" w:color="auto"/>
              <w:bottom w:val="single" w:sz="6" w:space="0" w:color="auto"/>
              <w:right w:val="single" w:sz="6" w:space="0" w:color="auto"/>
            </w:tcBorders>
            <w:vAlign w:val="center"/>
          </w:tcPr>
          <w:p w14:paraId="489C48A1"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13,3</w:t>
            </w:r>
          </w:p>
        </w:tc>
        <w:tc>
          <w:tcPr>
            <w:tcW w:w="758" w:type="dxa"/>
            <w:tcBorders>
              <w:top w:val="single" w:sz="6" w:space="0" w:color="auto"/>
              <w:left w:val="single" w:sz="6" w:space="0" w:color="auto"/>
              <w:bottom w:val="single" w:sz="6" w:space="0" w:color="auto"/>
              <w:right w:val="single" w:sz="6" w:space="0" w:color="auto"/>
            </w:tcBorders>
            <w:vAlign w:val="center"/>
          </w:tcPr>
          <w:p w14:paraId="2E9B1990"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21,2</w:t>
            </w:r>
          </w:p>
        </w:tc>
        <w:tc>
          <w:tcPr>
            <w:tcW w:w="801" w:type="dxa"/>
            <w:tcBorders>
              <w:top w:val="single" w:sz="6" w:space="0" w:color="auto"/>
              <w:left w:val="single" w:sz="6" w:space="0" w:color="auto"/>
              <w:bottom w:val="single" w:sz="6" w:space="0" w:color="auto"/>
              <w:right w:val="single" w:sz="6" w:space="0" w:color="auto"/>
            </w:tcBorders>
            <w:vAlign w:val="center"/>
          </w:tcPr>
          <w:p w14:paraId="0F307152" w14:textId="77777777" w:rsidR="00525B1D" w:rsidRPr="003954D9" w:rsidRDefault="00525B1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6,1</w:t>
            </w:r>
          </w:p>
        </w:tc>
        <w:tc>
          <w:tcPr>
            <w:tcW w:w="851" w:type="dxa"/>
            <w:tcBorders>
              <w:top w:val="single" w:sz="6" w:space="0" w:color="auto"/>
              <w:left w:val="single" w:sz="6" w:space="0" w:color="auto"/>
              <w:bottom w:val="single" w:sz="6" w:space="0" w:color="auto"/>
              <w:right w:val="single" w:sz="6" w:space="0" w:color="auto"/>
            </w:tcBorders>
            <w:vAlign w:val="center"/>
          </w:tcPr>
          <w:p w14:paraId="50781F9E"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2B61DF85"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29,4</w:t>
            </w:r>
          </w:p>
        </w:tc>
      </w:tr>
      <w:tr w:rsidR="00525B1D" w:rsidRPr="003954D9" w14:paraId="77591D7D" w14:textId="77777777" w:rsidTr="0036103E">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028BD8B9" w14:textId="6C1AA5AF" w:rsidR="00525B1D" w:rsidRPr="003954D9" w:rsidRDefault="00525B1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3-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4A05D060"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35,3</w:t>
            </w:r>
          </w:p>
        </w:tc>
        <w:tc>
          <w:tcPr>
            <w:tcW w:w="838" w:type="dxa"/>
            <w:tcBorders>
              <w:top w:val="single" w:sz="6" w:space="0" w:color="auto"/>
              <w:left w:val="single" w:sz="6" w:space="0" w:color="auto"/>
              <w:bottom w:val="single" w:sz="6" w:space="0" w:color="auto"/>
              <w:right w:val="single" w:sz="6" w:space="0" w:color="auto"/>
            </w:tcBorders>
            <w:vAlign w:val="center"/>
          </w:tcPr>
          <w:p w14:paraId="5C17E24B"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29,4</w:t>
            </w:r>
          </w:p>
        </w:tc>
        <w:tc>
          <w:tcPr>
            <w:tcW w:w="721" w:type="dxa"/>
            <w:tcBorders>
              <w:top w:val="single" w:sz="6" w:space="0" w:color="auto"/>
              <w:left w:val="single" w:sz="6" w:space="0" w:color="auto"/>
              <w:bottom w:val="single" w:sz="6" w:space="0" w:color="auto"/>
              <w:right w:val="single" w:sz="6" w:space="0" w:color="auto"/>
            </w:tcBorders>
            <w:vAlign w:val="center"/>
          </w:tcPr>
          <w:p w14:paraId="1B514BE9"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vAlign w:val="center"/>
          </w:tcPr>
          <w:p w14:paraId="18D9FC5E"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07" w:type="dxa"/>
            <w:tcBorders>
              <w:top w:val="single" w:sz="6" w:space="0" w:color="auto"/>
              <w:left w:val="single" w:sz="6" w:space="0" w:color="auto"/>
              <w:bottom w:val="single" w:sz="6" w:space="0" w:color="auto"/>
              <w:right w:val="single" w:sz="6" w:space="0" w:color="auto"/>
            </w:tcBorders>
            <w:vAlign w:val="center"/>
          </w:tcPr>
          <w:p w14:paraId="7DB36A00"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784" w:type="dxa"/>
            <w:tcBorders>
              <w:top w:val="single" w:sz="6" w:space="0" w:color="auto"/>
              <w:left w:val="single" w:sz="6" w:space="0" w:color="auto"/>
              <w:bottom w:val="single" w:sz="6" w:space="0" w:color="auto"/>
              <w:right w:val="single" w:sz="6" w:space="0" w:color="auto"/>
            </w:tcBorders>
            <w:vAlign w:val="center"/>
          </w:tcPr>
          <w:p w14:paraId="66F6899E"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23,7</w:t>
            </w:r>
          </w:p>
        </w:tc>
        <w:tc>
          <w:tcPr>
            <w:tcW w:w="758" w:type="dxa"/>
            <w:tcBorders>
              <w:top w:val="single" w:sz="6" w:space="0" w:color="auto"/>
              <w:left w:val="single" w:sz="6" w:space="0" w:color="auto"/>
              <w:bottom w:val="single" w:sz="6" w:space="0" w:color="auto"/>
              <w:right w:val="single" w:sz="6" w:space="0" w:color="auto"/>
            </w:tcBorders>
            <w:vAlign w:val="center"/>
          </w:tcPr>
          <w:p w14:paraId="1B0A69E9"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26,9</w:t>
            </w:r>
          </w:p>
        </w:tc>
        <w:tc>
          <w:tcPr>
            <w:tcW w:w="801" w:type="dxa"/>
            <w:tcBorders>
              <w:top w:val="single" w:sz="6" w:space="0" w:color="auto"/>
              <w:left w:val="single" w:sz="6" w:space="0" w:color="auto"/>
              <w:bottom w:val="single" w:sz="6" w:space="0" w:color="auto"/>
              <w:right w:val="single" w:sz="6" w:space="0" w:color="auto"/>
            </w:tcBorders>
            <w:vAlign w:val="center"/>
          </w:tcPr>
          <w:p w14:paraId="798DDE9E"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18,2</w:t>
            </w:r>
          </w:p>
        </w:tc>
        <w:tc>
          <w:tcPr>
            <w:tcW w:w="851" w:type="dxa"/>
            <w:tcBorders>
              <w:top w:val="single" w:sz="6" w:space="0" w:color="auto"/>
              <w:left w:val="single" w:sz="6" w:space="0" w:color="auto"/>
              <w:bottom w:val="single" w:sz="6" w:space="0" w:color="auto"/>
              <w:right w:val="single" w:sz="6" w:space="0" w:color="auto"/>
            </w:tcBorders>
            <w:vAlign w:val="center"/>
          </w:tcPr>
          <w:p w14:paraId="52A23E78"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3543712A" w14:textId="77777777" w:rsidR="00525B1D" w:rsidRPr="003954D9" w:rsidRDefault="00525B1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40,1</w:t>
            </w:r>
          </w:p>
        </w:tc>
      </w:tr>
      <w:tr w:rsidR="00525B1D" w:rsidRPr="003954D9" w14:paraId="312B697A" w14:textId="77777777" w:rsidTr="0036103E">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30CD3E52" w14:textId="0AB98247" w:rsidR="00525B1D" w:rsidRPr="003954D9" w:rsidRDefault="00DD3DF3">
            <w:pPr>
              <w:autoSpaceDE w:val="0"/>
              <w:autoSpaceDN w:val="0"/>
              <w:adjustRightInd w:val="0"/>
              <w:rPr>
                <w:rFonts w:ascii="Calibri" w:hAnsi="Calibri" w:cs="Calibri"/>
                <w:b/>
                <w:color w:val="000000"/>
                <w:sz w:val="16"/>
                <w:szCs w:val="16"/>
              </w:rPr>
            </w:pPr>
            <w:r>
              <w:rPr>
                <w:rFonts w:ascii="Calibri" w:hAnsi="Calibri" w:cs="Calibri"/>
                <w:b/>
                <w:color w:val="000000"/>
                <w:sz w:val="16"/>
                <w:szCs w:val="16"/>
              </w:rPr>
              <w:t>Övr.</w:t>
            </w:r>
            <w:r w:rsidR="00525B1D" w:rsidRPr="003954D9">
              <w:rPr>
                <w:rFonts w:ascii="Calibri" w:hAnsi="Calibri" w:cs="Calibri"/>
                <w:b/>
                <w:color w:val="000000"/>
                <w:sz w:val="16"/>
                <w:szCs w:val="16"/>
              </w:rPr>
              <w:t xml:space="preserve"> hushåll u. barn </w:t>
            </w:r>
          </w:p>
        </w:tc>
        <w:tc>
          <w:tcPr>
            <w:tcW w:w="709" w:type="dxa"/>
            <w:tcBorders>
              <w:top w:val="single" w:sz="6" w:space="0" w:color="auto"/>
              <w:left w:val="single" w:sz="6" w:space="0" w:color="auto"/>
              <w:bottom w:val="single" w:sz="6" w:space="0" w:color="auto"/>
              <w:right w:val="single" w:sz="6" w:space="0" w:color="auto"/>
            </w:tcBorders>
            <w:vAlign w:val="center"/>
          </w:tcPr>
          <w:p w14:paraId="4CDC97A5"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16,0</w:t>
            </w:r>
          </w:p>
        </w:tc>
        <w:tc>
          <w:tcPr>
            <w:tcW w:w="838" w:type="dxa"/>
            <w:tcBorders>
              <w:top w:val="single" w:sz="6" w:space="0" w:color="auto"/>
              <w:left w:val="single" w:sz="6" w:space="0" w:color="auto"/>
              <w:bottom w:val="single" w:sz="6" w:space="0" w:color="auto"/>
              <w:right w:val="single" w:sz="6" w:space="0" w:color="auto"/>
            </w:tcBorders>
            <w:vAlign w:val="center"/>
          </w:tcPr>
          <w:p w14:paraId="45B27633" w14:textId="77777777" w:rsidR="00525B1D" w:rsidRPr="003954D9" w:rsidRDefault="00525B1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18,1</w:t>
            </w:r>
          </w:p>
        </w:tc>
        <w:tc>
          <w:tcPr>
            <w:tcW w:w="721" w:type="dxa"/>
            <w:tcBorders>
              <w:top w:val="single" w:sz="6" w:space="0" w:color="auto"/>
              <w:left w:val="single" w:sz="6" w:space="0" w:color="auto"/>
              <w:bottom w:val="single" w:sz="6" w:space="0" w:color="auto"/>
              <w:right w:val="single" w:sz="6" w:space="0" w:color="auto"/>
            </w:tcBorders>
            <w:vAlign w:val="center"/>
          </w:tcPr>
          <w:p w14:paraId="6A6D5386"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10,4</w:t>
            </w:r>
          </w:p>
        </w:tc>
        <w:tc>
          <w:tcPr>
            <w:tcW w:w="677" w:type="dxa"/>
            <w:tcBorders>
              <w:top w:val="single" w:sz="6" w:space="0" w:color="auto"/>
              <w:left w:val="single" w:sz="6" w:space="0" w:color="auto"/>
              <w:bottom w:val="single" w:sz="6" w:space="0" w:color="auto"/>
              <w:right w:val="single" w:sz="6" w:space="0" w:color="auto"/>
            </w:tcBorders>
            <w:vAlign w:val="center"/>
          </w:tcPr>
          <w:p w14:paraId="7F2A2314"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18,9</w:t>
            </w:r>
          </w:p>
        </w:tc>
        <w:tc>
          <w:tcPr>
            <w:tcW w:w="807" w:type="dxa"/>
            <w:tcBorders>
              <w:top w:val="single" w:sz="6" w:space="0" w:color="auto"/>
              <w:left w:val="single" w:sz="6" w:space="0" w:color="auto"/>
              <w:bottom w:val="single" w:sz="6" w:space="0" w:color="auto"/>
              <w:right w:val="single" w:sz="6" w:space="0" w:color="auto"/>
            </w:tcBorders>
            <w:vAlign w:val="center"/>
          </w:tcPr>
          <w:p w14:paraId="0E90A995" w14:textId="77777777" w:rsidR="00525B1D" w:rsidRPr="003954D9" w:rsidRDefault="00525B1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5,7</w:t>
            </w:r>
          </w:p>
        </w:tc>
        <w:tc>
          <w:tcPr>
            <w:tcW w:w="784" w:type="dxa"/>
            <w:tcBorders>
              <w:top w:val="single" w:sz="6" w:space="0" w:color="auto"/>
              <w:left w:val="single" w:sz="6" w:space="0" w:color="auto"/>
              <w:bottom w:val="single" w:sz="6" w:space="0" w:color="auto"/>
              <w:right w:val="single" w:sz="6" w:space="0" w:color="auto"/>
            </w:tcBorders>
            <w:vAlign w:val="center"/>
          </w:tcPr>
          <w:p w14:paraId="5EC68195"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11,7</w:t>
            </w:r>
          </w:p>
        </w:tc>
        <w:tc>
          <w:tcPr>
            <w:tcW w:w="758" w:type="dxa"/>
            <w:tcBorders>
              <w:top w:val="single" w:sz="6" w:space="0" w:color="auto"/>
              <w:left w:val="single" w:sz="6" w:space="0" w:color="auto"/>
              <w:bottom w:val="single" w:sz="6" w:space="0" w:color="auto"/>
              <w:right w:val="single" w:sz="6" w:space="0" w:color="auto"/>
            </w:tcBorders>
            <w:vAlign w:val="center"/>
          </w:tcPr>
          <w:p w14:paraId="006623C6"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15,5</w:t>
            </w:r>
          </w:p>
        </w:tc>
        <w:tc>
          <w:tcPr>
            <w:tcW w:w="801" w:type="dxa"/>
            <w:tcBorders>
              <w:top w:val="single" w:sz="6" w:space="0" w:color="auto"/>
              <w:left w:val="single" w:sz="6" w:space="0" w:color="auto"/>
              <w:bottom w:val="single" w:sz="6" w:space="0" w:color="auto"/>
              <w:right w:val="single" w:sz="6" w:space="0" w:color="auto"/>
            </w:tcBorders>
            <w:vAlign w:val="center"/>
          </w:tcPr>
          <w:p w14:paraId="697712F5"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6,0</w:t>
            </w:r>
          </w:p>
        </w:tc>
        <w:tc>
          <w:tcPr>
            <w:tcW w:w="851" w:type="dxa"/>
            <w:tcBorders>
              <w:top w:val="single" w:sz="6" w:space="0" w:color="auto"/>
              <w:left w:val="single" w:sz="6" w:space="0" w:color="auto"/>
              <w:bottom w:val="single" w:sz="6" w:space="0" w:color="auto"/>
              <w:right w:val="single" w:sz="6" w:space="0" w:color="auto"/>
            </w:tcBorders>
            <w:vAlign w:val="center"/>
          </w:tcPr>
          <w:p w14:paraId="181F2B68"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7ED0F3F1"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17,2</w:t>
            </w:r>
          </w:p>
        </w:tc>
      </w:tr>
      <w:tr w:rsidR="00525B1D" w:rsidRPr="003954D9" w14:paraId="48992357" w14:textId="77777777" w:rsidTr="0036103E">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697A29C9" w14:textId="5CBF7598" w:rsidR="00525B1D" w:rsidRPr="003954D9" w:rsidRDefault="00DD3DF3">
            <w:pPr>
              <w:autoSpaceDE w:val="0"/>
              <w:autoSpaceDN w:val="0"/>
              <w:adjustRightInd w:val="0"/>
              <w:rPr>
                <w:rFonts w:ascii="Calibri" w:hAnsi="Calibri" w:cs="Calibri"/>
                <w:b/>
                <w:color w:val="000000"/>
                <w:sz w:val="16"/>
                <w:szCs w:val="16"/>
              </w:rPr>
            </w:pPr>
            <w:r>
              <w:rPr>
                <w:rFonts w:ascii="Calibri" w:hAnsi="Calibri" w:cs="Calibri"/>
                <w:b/>
                <w:color w:val="000000"/>
                <w:sz w:val="16"/>
                <w:szCs w:val="16"/>
              </w:rPr>
              <w:t>Övr.</w:t>
            </w:r>
            <w:r w:rsidR="00525B1D" w:rsidRPr="003954D9">
              <w:rPr>
                <w:rFonts w:ascii="Calibri" w:hAnsi="Calibri" w:cs="Calibri"/>
                <w:b/>
                <w:color w:val="000000"/>
                <w:sz w:val="16"/>
                <w:szCs w:val="16"/>
              </w:rPr>
              <w:t xml:space="preserve"> hushåll m. barn</w:t>
            </w:r>
          </w:p>
        </w:tc>
        <w:tc>
          <w:tcPr>
            <w:tcW w:w="709" w:type="dxa"/>
            <w:tcBorders>
              <w:top w:val="single" w:sz="6" w:space="0" w:color="auto"/>
              <w:left w:val="single" w:sz="6" w:space="0" w:color="auto"/>
              <w:bottom w:val="single" w:sz="6" w:space="0" w:color="auto"/>
              <w:right w:val="single" w:sz="6" w:space="0" w:color="auto"/>
            </w:tcBorders>
            <w:vAlign w:val="center"/>
          </w:tcPr>
          <w:p w14:paraId="0EA1F444"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18,4</w:t>
            </w:r>
          </w:p>
        </w:tc>
        <w:tc>
          <w:tcPr>
            <w:tcW w:w="838" w:type="dxa"/>
            <w:tcBorders>
              <w:top w:val="single" w:sz="6" w:space="0" w:color="auto"/>
              <w:left w:val="single" w:sz="6" w:space="0" w:color="auto"/>
              <w:bottom w:val="single" w:sz="6" w:space="0" w:color="auto"/>
              <w:right w:val="single" w:sz="6" w:space="0" w:color="auto"/>
            </w:tcBorders>
            <w:vAlign w:val="center"/>
          </w:tcPr>
          <w:p w14:paraId="76248BEC"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12,7</w:t>
            </w:r>
          </w:p>
        </w:tc>
        <w:tc>
          <w:tcPr>
            <w:tcW w:w="721" w:type="dxa"/>
            <w:tcBorders>
              <w:top w:val="single" w:sz="6" w:space="0" w:color="auto"/>
              <w:left w:val="single" w:sz="6" w:space="0" w:color="auto"/>
              <w:bottom w:val="single" w:sz="6" w:space="0" w:color="auto"/>
              <w:right w:val="single" w:sz="6" w:space="0" w:color="auto"/>
            </w:tcBorders>
            <w:vAlign w:val="center"/>
          </w:tcPr>
          <w:p w14:paraId="7318D7EA" w14:textId="77777777" w:rsidR="00525B1D" w:rsidRPr="003954D9" w:rsidRDefault="00525B1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7,6</w:t>
            </w:r>
          </w:p>
        </w:tc>
        <w:tc>
          <w:tcPr>
            <w:tcW w:w="677" w:type="dxa"/>
            <w:tcBorders>
              <w:top w:val="single" w:sz="6" w:space="0" w:color="auto"/>
              <w:left w:val="single" w:sz="6" w:space="0" w:color="auto"/>
              <w:bottom w:val="single" w:sz="6" w:space="0" w:color="auto"/>
              <w:right w:val="single" w:sz="6" w:space="0" w:color="auto"/>
            </w:tcBorders>
            <w:vAlign w:val="center"/>
          </w:tcPr>
          <w:p w14:paraId="1B201D87"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19,7</w:t>
            </w:r>
          </w:p>
        </w:tc>
        <w:tc>
          <w:tcPr>
            <w:tcW w:w="807" w:type="dxa"/>
            <w:tcBorders>
              <w:top w:val="single" w:sz="6" w:space="0" w:color="auto"/>
              <w:left w:val="single" w:sz="6" w:space="0" w:color="auto"/>
              <w:bottom w:val="single" w:sz="6" w:space="0" w:color="auto"/>
              <w:right w:val="single" w:sz="6" w:space="0" w:color="auto"/>
            </w:tcBorders>
            <w:vAlign w:val="center"/>
          </w:tcPr>
          <w:p w14:paraId="3A197EB6"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10,2</w:t>
            </w:r>
          </w:p>
        </w:tc>
        <w:tc>
          <w:tcPr>
            <w:tcW w:w="784" w:type="dxa"/>
            <w:tcBorders>
              <w:top w:val="single" w:sz="6" w:space="0" w:color="auto"/>
              <w:left w:val="single" w:sz="6" w:space="0" w:color="auto"/>
              <w:bottom w:val="single" w:sz="6" w:space="0" w:color="auto"/>
              <w:right w:val="single" w:sz="6" w:space="0" w:color="auto"/>
            </w:tcBorders>
            <w:vAlign w:val="center"/>
          </w:tcPr>
          <w:p w14:paraId="7F1EEE92"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14,0</w:t>
            </w:r>
          </w:p>
        </w:tc>
        <w:tc>
          <w:tcPr>
            <w:tcW w:w="758" w:type="dxa"/>
            <w:tcBorders>
              <w:top w:val="single" w:sz="6" w:space="0" w:color="auto"/>
              <w:left w:val="single" w:sz="6" w:space="0" w:color="auto"/>
              <w:bottom w:val="single" w:sz="6" w:space="0" w:color="auto"/>
              <w:right w:val="single" w:sz="6" w:space="0" w:color="auto"/>
            </w:tcBorders>
            <w:vAlign w:val="center"/>
          </w:tcPr>
          <w:p w14:paraId="60B34ACD"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16,3</w:t>
            </w:r>
          </w:p>
        </w:tc>
        <w:tc>
          <w:tcPr>
            <w:tcW w:w="801" w:type="dxa"/>
            <w:tcBorders>
              <w:top w:val="single" w:sz="6" w:space="0" w:color="auto"/>
              <w:left w:val="single" w:sz="6" w:space="0" w:color="auto"/>
              <w:bottom w:val="single" w:sz="6" w:space="0" w:color="auto"/>
              <w:right w:val="single" w:sz="6" w:space="0" w:color="auto"/>
            </w:tcBorders>
            <w:vAlign w:val="center"/>
          </w:tcPr>
          <w:p w14:paraId="59498CBD"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10,7</w:t>
            </w:r>
          </w:p>
        </w:tc>
        <w:tc>
          <w:tcPr>
            <w:tcW w:w="851" w:type="dxa"/>
            <w:tcBorders>
              <w:top w:val="single" w:sz="6" w:space="0" w:color="auto"/>
              <w:left w:val="single" w:sz="6" w:space="0" w:color="auto"/>
              <w:bottom w:val="single" w:sz="6" w:space="0" w:color="auto"/>
              <w:right w:val="single" w:sz="6" w:space="0" w:color="auto"/>
            </w:tcBorders>
            <w:vAlign w:val="center"/>
          </w:tcPr>
          <w:p w14:paraId="75A90892"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70BAC80A" w14:textId="77777777" w:rsidR="00525B1D" w:rsidRPr="003954D9" w:rsidRDefault="00525B1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20,7</w:t>
            </w:r>
          </w:p>
        </w:tc>
      </w:tr>
      <w:tr w:rsidR="00525B1D" w:rsidRPr="003954D9" w14:paraId="70EF04EF" w14:textId="77777777" w:rsidTr="0036103E">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35ED9640" w14:textId="77777777" w:rsidR="00525B1D" w:rsidRPr="003954D9" w:rsidRDefault="00525B1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Antal</w:t>
            </w:r>
          </w:p>
        </w:tc>
        <w:tc>
          <w:tcPr>
            <w:tcW w:w="709" w:type="dxa"/>
            <w:tcBorders>
              <w:top w:val="single" w:sz="6" w:space="0" w:color="auto"/>
              <w:left w:val="single" w:sz="6" w:space="0" w:color="auto"/>
              <w:bottom w:val="single" w:sz="6" w:space="0" w:color="auto"/>
              <w:right w:val="single" w:sz="6" w:space="0" w:color="auto"/>
            </w:tcBorders>
            <w:vAlign w:val="center"/>
          </w:tcPr>
          <w:p w14:paraId="76A9E053"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1 385</w:t>
            </w:r>
          </w:p>
        </w:tc>
        <w:tc>
          <w:tcPr>
            <w:tcW w:w="838" w:type="dxa"/>
            <w:tcBorders>
              <w:top w:val="single" w:sz="6" w:space="0" w:color="auto"/>
              <w:left w:val="single" w:sz="6" w:space="0" w:color="auto"/>
              <w:bottom w:val="single" w:sz="6" w:space="0" w:color="auto"/>
              <w:right w:val="single" w:sz="6" w:space="0" w:color="auto"/>
            </w:tcBorders>
            <w:vAlign w:val="center"/>
          </w:tcPr>
          <w:p w14:paraId="6E0FD081"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579</w:t>
            </w:r>
          </w:p>
        </w:tc>
        <w:tc>
          <w:tcPr>
            <w:tcW w:w="721" w:type="dxa"/>
            <w:tcBorders>
              <w:top w:val="single" w:sz="6" w:space="0" w:color="auto"/>
              <w:left w:val="single" w:sz="6" w:space="0" w:color="auto"/>
              <w:bottom w:val="single" w:sz="6" w:space="0" w:color="auto"/>
              <w:right w:val="single" w:sz="6" w:space="0" w:color="auto"/>
            </w:tcBorders>
            <w:vAlign w:val="center"/>
          </w:tcPr>
          <w:p w14:paraId="6FBEC48B"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677" w:type="dxa"/>
            <w:tcBorders>
              <w:top w:val="single" w:sz="6" w:space="0" w:color="auto"/>
              <w:left w:val="single" w:sz="6" w:space="0" w:color="auto"/>
              <w:bottom w:val="single" w:sz="6" w:space="0" w:color="auto"/>
              <w:right w:val="single" w:sz="6" w:space="0" w:color="auto"/>
            </w:tcBorders>
            <w:vAlign w:val="center"/>
          </w:tcPr>
          <w:p w14:paraId="0487070E"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178</w:t>
            </w:r>
          </w:p>
        </w:tc>
        <w:tc>
          <w:tcPr>
            <w:tcW w:w="807" w:type="dxa"/>
            <w:tcBorders>
              <w:top w:val="single" w:sz="6" w:space="0" w:color="auto"/>
              <w:left w:val="single" w:sz="6" w:space="0" w:color="auto"/>
              <w:bottom w:val="single" w:sz="6" w:space="0" w:color="auto"/>
              <w:right w:val="single" w:sz="6" w:space="0" w:color="auto"/>
            </w:tcBorders>
            <w:vAlign w:val="center"/>
          </w:tcPr>
          <w:p w14:paraId="4B264F9E"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480</w:t>
            </w:r>
          </w:p>
        </w:tc>
        <w:tc>
          <w:tcPr>
            <w:tcW w:w="784" w:type="dxa"/>
            <w:tcBorders>
              <w:top w:val="single" w:sz="6" w:space="0" w:color="auto"/>
              <w:left w:val="single" w:sz="6" w:space="0" w:color="auto"/>
              <w:bottom w:val="single" w:sz="6" w:space="0" w:color="auto"/>
              <w:right w:val="single" w:sz="6" w:space="0" w:color="auto"/>
            </w:tcBorders>
            <w:vAlign w:val="center"/>
          </w:tcPr>
          <w:p w14:paraId="17C94EB2"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306</w:t>
            </w:r>
          </w:p>
        </w:tc>
        <w:tc>
          <w:tcPr>
            <w:tcW w:w="758" w:type="dxa"/>
            <w:tcBorders>
              <w:top w:val="single" w:sz="6" w:space="0" w:color="auto"/>
              <w:left w:val="single" w:sz="6" w:space="0" w:color="auto"/>
              <w:bottom w:val="single" w:sz="6" w:space="0" w:color="auto"/>
              <w:right w:val="single" w:sz="6" w:space="0" w:color="auto"/>
            </w:tcBorders>
            <w:vAlign w:val="center"/>
          </w:tcPr>
          <w:p w14:paraId="20DCC487"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727</w:t>
            </w:r>
          </w:p>
        </w:tc>
        <w:tc>
          <w:tcPr>
            <w:tcW w:w="801" w:type="dxa"/>
            <w:tcBorders>
              <w:top w:val="single" w:sz="6" w:space="0" w:color="auto"/>
              <w:left w:val="single" w:sz="6" w:space="0" w:color="auto"/>
              <w:bottom w:val="single" w:sz="6" w:space="0" w:color="auto"/>
              <w:right w:val="single" w:sz="6" w:space="0" w:color="auto"/>
            </w:tcBorders>
            <w:vAlign w:val="center"/>
          </w:tcPr>
          <w:p w14:paraId="506C3BEB"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401</w:t>
            </w:r>
          </w:p>
        </w:tc>
        <w:tc>
          <w:tcPr>
            <w:tcW w:w="851" w:type="dxa"/>
            <w:tcBorders>
              <w:top w:val="single" w:sz="6" w:space="0" w:color="auto"/>
              <w:left w:val="single" w:sz="6" w:space="0" w:color="auto"/>
              <w:bottom w:val="single" w:sz="6" w:space="0" w:color="auto"/>
              <w:right w:val="single" w:sz="6" w:space="0" w:color="auto"/>
            </w:tcBorders>
            <w:vAlign w:val="center"/>
          </w:tcPr>
          <w:p w14:paraId="63438E25"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w:t>
            </w:r>
          </w:p>
        </w:tc>
        <w:tc>
          <w:tcPr>
            <w:tcW w:w="850" w:type="dxa"/>
            <w:tcBorders>
              <w:top w:val="single" w:sz="6" w:space="0" w:color="auto"/>
              <w:left w:val="single" w:sz="6" w:space="0" w:color="auto"/>
              <w:bottom w:val="single" w:sz="6" w:space="0" w:color="auto"/>
              <w:right w:val="single" w:sz="6" w:space="0" w:color="auto"/>
            </w:tcBorders>
            <w:vAlign w:val="center"/>
          </w:tcPr>
          <w:p w14:paraId="31B1113C" w14:textId="77777777" w:rsidR="00525B1D" w:rsidRPr="003954D9" w:rsidRDefault="00525B1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1 028</w:t>
            </w:r>
          </w:p>
        </w:tc>
      </w:tr>
    </w:tbl>
    <w:p w14:paraId="16F20F99" w14:textId="67ED52D5" w:rsidR="00185E91" w:rsidRPr="003954D9" w:rsidRDefault="00185E91" w:rsidP="00185E91">
      <w:pPr>
        <w:rPr>
          <w:sz w:val="16"/>
          <w:szCs w:val="16"/>
        </w:rPr>
      </w:pPr>
      <w:r w:rsidRPr="00DD227A">
        <w:rPr>
          <w:b/>
          <w:color w:val="FF0000"/>
          <w:sz w:val="16"/>
          <w:szCs w:val="16"/>
        </w:rPr>
        <w:t>Röd färg högsta</w:t>
      </w:r>
      <w:r w:rsidRPr="00DD227A">
        <w:rPr>
          <w:color w:val="FF0000"/>
          <w:sz w:val="16"/>
          <w:szCs w:val="16"/>
        </w:rPr>
        <w:t xml:space="preserve"> </w:t>
      </w:r>
      <w:r w:rsidRPr="003954D9">
        <w:rPr>
          <w:sz w:val="16"/>
          <w:szCs w:val="16"/>
        </w:rPr>
        <w:t xml:space="preserve">och </w:t>
      </w:r>
      <w:r w:rsidRPr="003954D9">
        <w:rPr>
          <w:b/>
          <w:color w:val="548DD4" w:themeColor="text2" w:themeTint="99"/>
          <w:sz w:val="16"/>
          <w:szCs w:val="16"/>
        </w:rPr>
        <w:t>blå färg lägsta</w:t>
      </w:r>
      <w:r w:rsidRPr="003954D9">
        <w:rPr>
          <w:sz w:val="16"/>
          <w:szCs w:val="16"/>
        </w:rPr>
        <w:t xml:space="preserve"> värde i grupp.</w:t>
      </w:r>
    </w:p>
    <w:p w14:paraId="168F918B" w14:textId="24DA0E42" w:rsidR="00814801" w:rsidRPr="003954D9" w:rsidRDefault="00814801" w:rsidP="00185E91">
      <w:pPr>
        <w:rPr>
          <w:sz w:val="16"/>
          <w:szCs w:val="16"/>
        </w:rPr>
      </w:pPr>
    </w:p>
    <w:p w14:paraId="3B7DADF1" w14:textId="6E21AA8C" w:rsidR="00814801" w:rsidRPr="003954D9" w:rsidRDefault="00814801" w:rsidP="00814801">
      <w:pPr>
        <w:pStyle w:val="Rubrik3"/>
      </w:pPr>
      <w:bookmarkStart w:id="134" w:name="_Toc463184416"/>
      <w:bookmarkStart w:id="135" w:name="_Toc464828421"/>
      <w:r w:rsidRPr="003954D9">
        <w:t xml:space="preserve">Hushållstyper - hur mycket har man kvar efter en hyreshöjning på 25 </w:t>
      </w:r>
      <w:r w:rsidR="00475673" w:rsidRPr="003954D9">
        <w:t>procent</w:t>
      </w:r>
      <w:r w:rsidRPr="003954D9">
        <w:t>?</w:t>
      </w:r>
      <w:bookmarkEnd w:id="134"/>
      <w:bookmarkEnd w:id="135"/>
    </w:p>
    <w:p w14:paraId="5C61AE20" w14:textId="538133B2" w:rsidR="00814801" w:rsidRPr="003954D9" w:rsidRDefault="00C455B4" w:rsidP="00C455B4">
      <w:r w:rsidRPr="003954D9">
        <w:t xml:space="preserve">Efter en hyreshöjning med 25 procent upprepar sig mönstret i stora drag hur det ser ut efter en hyreshöjning med 50 procent. Boende i Angered har minst kvar och </w:t>
      </w:r>
      <w:r w:rsidR="00AE6E35">
        <w:t>boende</w:t>
      </w:r>
      <w:r w:rsidRPr="003954D9">
        <w:t xml:space="preserve"> i Majorna-Linné</w:t>
      </w:r>
      <w:r w:rsidR="00CB657C" w:rsidRPr="003954D9">
        <w:t>staden</w:t>
      </w:r>
      <w:r w:rsidRPr="003954D9">
        <w:t xml:space="preserve"> har mest k</w:t>
      </w:r>
      <w:r w:rsidR="00917A16" w:rsidRPr="003954D9">
        <w:t>var. D</w:t>
      </w:r>
      <w:r w:rsidRPr="003954D9">
        <w:t xml:space="preserve">et lägsta överskottet </w:t>
      </w:r>
      <w:r w:rsidR="00AE6E35" w:rsidRPr="003954D9">
        <w:t xml:space="preserve">över skälig levnadsnivå när hyran är betald </w:t>
      </w:r>
      <w:r w:rsidRPr="003954D9">
        <w:t xml:space="preserve">har ensamstående </w:t>
      </w:r>
      <w:r w:rsidR="00AE425A" w:rsidRPr="003954D9">
        <w:t>med</w:t>
      </w:r>
      <w:r w:rsidRPr="003954D9">
        <w:t xml:space="preserve"> barn </w:t>
      </w:r>
      <w:r w:rsidR="00365C66" w:rsidRPr="003954D9">
        <w:t>0–19</w:t>
      </w:r>
      <w:r w:rsidRPr="003954D9">
        <w:t xml:space="preserve"> år i Angered</w:t>
      </w:r>
      <w:r w:rsidR="000B781A" w:rsidRPr="003954D9">
        <w:t xml:space="preserve"> med 270 kronor per person och månad</w:t>
      </w:r>
      <w:r w:rsidRPr="003954D9">
        <w:t>, följd</w:t>
      </w:r>
      <w:r w:rsidR="00AE6E35">
        <w:t>a</w:t>
      </w:r>
      <w:r w:rsidRPr="003954D9">
        <w:t xml:space="preserve"> av samma hushållstyp i</w:t>
      </w:r>
      <w:r w:rsidR="00D27403" w:rsidRPr="003954D9">
        <w:t xml:space="preserve"> Västra Hisingen (350 kronor) och i</w:t>
      </w:r>
      <w:r w:rsidRPr="003954D9">
        <w:t xml:space="preserve"> Östra Göteborg</w:t>
      </w:r>
      <w:r w:rsidR="000B781A" w:rsidRPr="003954D9">
        <w:t xml:space="preserve"> (470 kronor)</w:t>
      </w:r>
      <w:r w:rsidRPr="003954D9">
        <w:t xml:space="preserve">. </w:t>
      </w:r>
      <w:r w:rsidR="00420515" w:rsidRPr="003954D9">
        <w:t>Även m</w:t>
      </w:r>
      <w:r w:rsidRPr="003954D9">
        <w:t xml:space="preserve">ed denna lägre hyreshöjning klarar sig </w:t>
      </w:r>
      <w:r w:rsidR="000B781A" w:rsidRPr="003954D9">
        <w:t xml:space="preserve">ensamboende ålderspensionärer utan barn lite bättre än ensamstående med barn. Som förut har samboende utan barn i åldern </w:t>
      </w:r>
      <w:r w:rsidR="00365C66" w:rsidRPr="003954D9">
        <w:t>18–64</w:t>
      </w:r>
      <w:r w:rsidR="000B781A" w:rsidRPr="003954D9">
        <w:t xml:space="preserve"> år i Majorna-Linné</w:t>
      </w:r>
      <w:r w:rsidR="00CB657C" w:rsidRPr="003954D9">
        <w:t>staden</w:t>
      </w:r>
      <w:r w:rsidR="000B781A" w:rsidRPr="003954D9">
        <w:t xml:space="preserve"> </w:t>
      </w:r>
      <w:r w:rsidR="00AE6E35">
        <w:t xml:space="preserve">mest kvar </w:t>
      </w:r>
      <w:r w:rsidR="000B781A" w:rsidRPr="003954D9">
        <w:t>med nästan 10 300 kronor per månad och person utöver skälig levnadsnivå.</w:t>
      </w:r>
      <w:r w:rsidR="00DD227A">
        <w:t xml:space="preserve"> Se tabell 5:5.</w:t>
      </w:r>
    </w:p>
    <w:p w14:paraId="2E33A697" w14:textId="77777777" w:rsidR="00523800" w:rsidRDefault="00523800" w:rsidP="00814801">
      <w:pPr>
        <w:pStyle w:val="Rubrik5"/>
        <w:rPr>
          <w:lang w:eastAsia="en-US"/>
        </w:rPr>
      </w:pPr>
      <w:r>
        <w:rPr>
          <w:lang w:eastAsia="en-US"/>
        </w:rPr>
        <w:br w:type="page"/>
      </w:r>
    </w:p>
    <w:p w14:paraId="3E1627AE" w14:textId="50F3A5FC" w:rsidR="00814801" w:rsidRPr="003954D9" w:rsidRDefault="00814801" w:rsidP="00814801">
      <w:pPr>
        <w:pStyle w:val="Rubrik5"/>
        <w:rPr>
          <w:lang w:eastAsia="en-US"/>
        </w:rPr>
      </w:pPr>
      <w:r w:rsidRPr="003954D9">
        <w:rPr>
          <w:lang w:eastAsia="en-US"/>
        </w:rPr>
        <w:lastRenderedPageBreak/>
        <w:t>Tabell 5:</w:t>
      </w:r>
      <w:r w:rsidR="00C455B4" w:rsidRPr="003954D9">
        <w:rPr>
          <w:lang w:eastAsia="en-US"/>
        </w:rPr>
        <w:t>5</w:t>
      </w:r>
      <w:r w:rsidRPr="003954D9">
        <w:rPr>
          <w:lang w:eastAsia="en-US"/>
        </w:rPr>
        <w:t xml:space="preserve">: Kvar utöver skälig levnadsnivå efter en hyreshöjning på 25 procent - medelvärden </w:t>
      </w:r>
      <w:r w:rsidR="00C455B4" w:rsidRPr="003954D9">
        <w:rPr>
          <w:lang w:eastAsia="en-US"/>
        </w:rPr>
        <w:t xml:space="preserve">i </w:t>
      </w:r>
      <w:r w:rsidRPr="003954D9">
        <w:rPr>
          <w:lang w:eastAsia="en-US"/>
        </w:rPr>
        <w:t>kronor per månad per person i olika hushållstyper och stadsdel</w:t>
      </w:r>
    </w:p>
    <w:tbl>
      <w:tblPr>
        <w:tblW w:w="10129" w:type="dxa"/>
        <w:tblInd w:w="-38" w:type="dxa"/>
        <w:tblLayout w:type="fixed"/>
        <w:tblLook w:val="0000" w:firstRow="0" w:lastRow="0" w:firstColumn="0" w:lastColumn="0" w:noHBand="0" w:noVBand="0"/>
      </w:tblPr>
      <w:tblGrid>
        <w:gridCol w:w="1730"/>
        <w:gridCol w:w="806"/>
        <w:gridCol w:w="885"/>
        <w:gridCol w:w="822"/>
        <w:gridCol w:w="822"/>
        <w:gridCol w:w="821"/>
        <w:gridCol w:w="822"/>
        <w:gridCol w:w="822"/>
        <w:gridCol w:w="864"/>
        <w:gridCol w:w="850"/>
        <w:gridCol w:w="885"/>
      </w:tblGrid>
      <w:tr w:rsidR="00814801" w:rsidRPr="003954D9" w14:paraId="09D5F0A0" w14:textId="77777777" w:rsidTr="00C455B4">
        <w:trPr>
          <w:trHeight w:val="653"/>
        </w:trPr>
        <w:tc>
          <w:tcPr>
            <w:tcW w:w="1730" w:type="dxa"/>
            <w:tcBorders>
              <w:top w:val="single" w:sz="6" w:space="0" w:color="auto"/>
              <w:left w:val="single" w:sz="6" w:space="0" w:color="auto"/>
              <w:bottom w:val="single" w:sz="6" w:space="0" w:color="auto"/>
              <w:right w:val="single" w:sz="6" w:space="0" w:color="auto"/>
            </w:tcBorders>
          </w:tcPr>
          <w:p w14:paraId="640C443C" w14:textId="77777777" w:rsidR="00814801" w:rsidRPr="003954D9" w:rsidRDefault="00814801">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Hushållstyp</w:t>
            </w:r>
          </w:p>
        </w:tc>
        <w:tc>
          <w:tcPr>
            <w:tcW w:w="806" w:type="dxa"/>
            <w:tcBorders>
              <w:top w:val="single" w:sz="6" w:space="0" w:color="auto"/>
              <w:left w:val="single" w:sz="6" w:space="0" w:color="auto"/>
              <w:bottom w:val="single" w:sz="6" w:space="0" w:color="auto"/>
              <w:right w:val="single" w:sz="6" w:space="0" w:color="auto"/>
            </w:tcBorders>
          </w:tcPr>
          <w:p w14:paraId="45A28BF0" w14:textId="77777777" w:rsidR="00814801" w:rsidRPr="003954D9" w:rsidRDefault="00814801">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85" w:type="dxa"/>
            <w:tcBorders>
              <w:top w:val="single" w:sz="6" w:space="0" w:color="auto"/>
              <w:left w:val="single" w:sz="6" w:space="0" w:color="auto"/>
              <w:bottom w:val="single" w:sz="6" w:space="0" w:color="auto"/>
              <w:right w:val="single" w:sz="6" w:space="0" w:color="auto"/>
            </w:tcBorders>
          </w:tcPr>
          <w:p w14:paraId="07DF3D60" w14:textId="77777777" w:rsidR="00814801" w:rsidRPr="003954D9" w:rsidRDefault="00814801">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22" w:type="dxa"/>
            <w:tcBorders>
              <w:top w:val="single" w:sz="6" w:space="0" w:color="auto"/>
              <w:left w:val="single" w:sz="6" w:space="0" w:color="auto"/>
              <w:bottom w:val="single" w:sz="6" w:space="0" w:color="auto"/>
              <w:right w:val="single" w:sz="6" w:space="0" w:color="auto"/>
            </w:tcBorders>
          </w:tcPr>
          <w:p w14:paraId="1A422E6B" w14:textId="77777777" w:rsidR="00814801" w:rsidRPr="003954D9" w:rsidRDefault="00814801">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822" w:type="dxa"/>
            <w:tcBorders>
              <w:top w:val="single" w:sz="6" w:space="0" w:color="auto"/>
              <w:left w:val="single" w:sz="6" w:space="0" w:color="auto"/>
              <w:bottom w:val="single" w:sz="6" w:space="0" w:color="auto"/>
              <w:right w:val="single" w:sz="6" w:space="0" w:color="auto"/>
            </w:tcBorders>
          </w:tcPr>
          <w:p w14:paraId="77FB8E97" w14:textId="77777777" w:rsidR="00814801" w:rsidRPr="003954D9" w:rsidRDefault="00814801">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21" w:type="dxa"/>
            <w:tcBorders>
              <w:top w:val="single" w:sz="6" w:space="0" w:color="auto"/>
              <w:left w:val="single" w:sz="6" w:space="0" w:color="auto"/>
              <w:bottom w:val="single" w:sz="6" w:space="0" w:color="auto"/>
              <w:right w:val="single" w:sz="6" w:space="0" w:color="auto"/>
            </w:tcBorders>
          </w:tcPr>
          <w:p w14:paraId="089A4140" w14:textId="77777777" w:rsidR="00814801" w:rsidRPr="003954D9" w:rsidRDefault="00814801">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 Linne</w:t>
            </w:r>
          </w:p>
        </w:tc>
        <w:tc>
          <w:tcPr>
            <w:tcW w:w="822" w:type="dxa"/>
            <w:tcBorders>
              <w:top w:val="single" w:sz="6" w:space="0" w:color="auto"/>
              <w:left w:val="single" w:sz="6" w:space="0" w:color="auto"/>
              <w:bottom w:val="single" w:sz="6" w:space="0" w:color="auto"/>
              <w:right w:val="single" w:sz="6" w:space="0" w:color="auto"/>
            </w:tcBorders>
          </w:tcPr>
          <w:p w14:paraId="20C5FA9C" w14:textId="77777777" w:rsidR="00814801" w:rsidRPr="003954D9" w:rsidRDefault="00814801">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22" w:type="dxa"/>
            <w:tcBorders>
              <w:top w:val="single" w:sz="6" w:space="0" w:color="auto"/>
              <w:left w:val="single" w:sz="6" w:space="0" w:color="auto"/>
              <w:bottom w:val="single" w:sz="6" w:space="0" w:color="auto"/>
              <w:right w:val="single" w:sz="6" w:space="0" w:color="auto"/>
            </w:tcBorders>
          </w:tcPr>
          <w:p w14:paraId="662BFBA6" w14:textId="77777777" w:rsidR="00814801" w:rsidRPr="003954D9" w:rsidRDefault="00814801">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64" w:type="dxa"/>
            <w:tcBorders>
              <w:top w:val="single" w:sz="6" w:space="0" w:color="auto"/>
              <w:left w:val="single" w:sz="6" w:space="0" w:color="auto"/>
              <w:bottom w:val="single" w:sz="6" w:space="0" w:color="auto"/>
              <w:right w:val="single" w:sz="6" w:space="0" w:color="auto"/>
            </w:tcBorders>
          </w:tcPr>
          <w:p w14:paraId="40620C5C" w14:textId="77777777" w:rsidR="00814801" w:rsidRPr="003954D9" w:rsidRDefault="00814801">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0" w:type="dxa"/>
            <w:tcBorders>
              <w:top w:val="single" w:sz="6" w:space="0" w:color="auto"/>
              <w:left w:val="single" w:sz="6" w:space="0" w:color="auto"/>
              <w:bottom w:val="single" w:sz="6" w:space="0" w:color="auto"/>
              <w:right w:val="single" w:sz="6" w:space="0" w:color="auto"/>
            </w:tcBorders>
          </w:tcPr>
          <w:p w14:paraId="0C810555" w14:textId="77777777" w:rsidR="00814801" w:rsidRPr="003954D9" w:rsidRDefault="00814801">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85" w:type="dxa"/>
            <w:tcBorders>
              <w:top w:val="single" w:sz="6" w:space="0" w:color="auto"/>
              <w:left w:val="single" w:sz="6" w:space="0" w:color="auto"/>
              <w:bottom w:val="single" w:sz="6" w:space="0" w:color="auto"/>
              <w:right w:val="single" w:sz="6" w:space="0" w:color="auto"/>
            </w:tcBorders>
          </w:tcPr>
          <w:p w14:paraId="4CB65489" w14:textId="77777777" w:rsidR="00814801" w:rsidRPr="003954D9" w:rsidRDefault="00814801">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814801" w:rsidRPr="003954D9" w14:paraId="349391ED" w14:textId="77777777" w:rsidTr="00C455B4">
        <w:trPr>
          <w:trHeight w:val="290"/>
        </w:trPr>
        <w:tc>
          <w:tcPr>
            <w:tcW w:w="1730" w:type="dxa"/>
            <w:tcBorders>
              <w:top w:val="single" w:sz="6" w:space="0" w:color="auto"/>
              <w:left w:val="single" w:sz="6" w:space="0" w:color="auto"/>
              <w:bottom w:val="single" w:sz="6" w:space="0" w:color="auto"/>
              <w:right w:val="single" w:sz="6" w:space="0" w:color="auto"/>
            </w:tcBorders>
          </w:tcPr>
          <w:p w14:paraId="6F7CF055" w14:textId="51AE0CC6" w:rsidR="00814801" w:rsidRPr="003954D9" w:rsidRDefault="00814801">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271CCE4A" w14:textId="77777777" w:rsidR="00814801" w:rsidRPr="003954D9" w:rsidRDefault="00814801">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2 568</w:t>
            </w:r>
          </w:p>
        </w:tc>
        <w:tc>
          <w:tcPr>
            <w:tcW w:w="885" w:type="dxa"/>
            <w:tcBorders>
              <w:top w:val="single" w:sz="6" w:space="0" w:color="auto"/>
              <w:left w:val="single" w:sz="6" w:space="0" w:color="auto"/>
              <w:bottom w:val="single" w:sz="6" w:space="0" w:color="auto"/>
              <w:right w:val="single" w:sz="6" w:space="0" w:color="auto"/>
            </w:tcBorders>
          </w:tcPr>
          <w:p w14:paraId="1722A575"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4 894</w:t>
            </w:r>
          </w:p>
        </w:tc>
        <w:tc>
          <w:tcPr>
            <w:tcW w:w="822" w:type="dxa"/>
            <w:tcBorders>
              <w:top w:val="single" w:sz="6" w:space="0" w:color="auto"/>
              <w:left w:val="single" w:sz="6" w:space="0" w:color="auto"/>
              <w:bottom w:val="single" w:sz="6" w:space="0" w:color="auto"/>
              <w:right w:val="single" w:sz="6" w:space="0" w:color="auto"/>
            </w:tcBorders>
          </w:tcPr>
          <w:p w14:paraId="2732324D"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5 972</w:t>
            </w:r>
          </w:p>
        </w:tc>
        <w:tc>
          <w:tcPr>
            <w:tcW w:w="822" w:type="dxa"/>
            <w:tcBorders>
              <w:top w:val="single" w:sz="6" w:space="0" w:color="auto"/>
              <w:left w:val="single" w:sz="6" w:space="0" w:color="auto"/>
              <w:bottom w:val="single" w:sz="6" w:space="0" w:color="auto"/>
              <w:right w:val="single" w:sz="6" w:space="0" w:color="auto"/>
            </w:tcBorders>
          </w:tcPr>
          <w:p w14:paraId="4BC081AC"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5 617</w:t>
            </w:r>
          </w:p>
        </w:tc>
        <w:tc>
          <w:tcPr>
            <w:tcW w:w="821" w:type="dxa"/>
            <w:tcBorders>
              <w:top w:val="single" w:sz="6" w:space="0" w:color="auto"/>
              <w:left w:val="single" w:sz="6" w:space="0" w:color="auto"/>
              <w:bottom w:val="single" w:sz="6" w:space="0" w:color="auto"/>
              <w:right w:val="single" w:sz="6" w:space="0" w:color="auto"/>
            </w:tcBorders>
          </w:tcPr>
          <w:p w14:paraId="333B8B30" w14:textId="77777777" w:rsidR="00814801" w:rsidRPr="003954D9" w:rsidRDefault="00814801">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6 435</w:t>
            </w:r>
          </w:p>
        </w:tc>
        <w:tc>
          <w:tcPr>
            <w:tcW w:w="822" w:type="dxa"/>
            <w:tcBorders>
              <w:top w:val="single" w:sz="6" w:space="0" w:color="auto"/>
              <w:left w:val="single" w:sz="6" w:space="0" w:color="auto"/>
              <w:bottom w:val="single" w:sz="6" w:space="0" w:color="auto"/>
              <w:right w:val="single" w:sz="6" w:space="0" w:color="auto"/>
            </w:tcBorders>
          </w:tcPr>
          <w:p w14:paraId="0E5772E7"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5 234</w:t>
            </w:r>
          </w:p>
        </w:tc>
        <w:tc>
          <w:tcPr>
            <w:tcW w:w="822" w:type="dxa"/>
            <w:tcBorders>
              <w:top w:val="single" w:sz="6" w:space="0" w:color="auto"/>
              <w:left w:val="single" w:sz="6" w:space="0" w:color="auto"/>
              <w:bottom w:val="single" w:sz="6" w:space="0" w:color="auto"/>
              <w:right w:val="single" w:sz="6" w:space="0" w:color="auto"/>
            </w:tcBorders>
          </w:tcPr>
          <w:p w14:paraId="4BDFBFD0"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3 361</w:t>
            </w:r>
          </w:p>
        </w:tc>
        <w:tc>
          <w:tcPr>
            <w:tcW w:w="864" w:type="dxa"/>
            <w:tcBorders>
              <w:top w:val="single" w:sz="6" w:space="0" w:color="auto"/>
              <w:left w:val="single" w:sz="6" w:space="0" w:color="auto"/>
              <w:bottom w:val="single" w:sz="6" w:space="0" w:color="auto"/>
              <w:right w:val="single" w:sz="6" w:space="0" w:color="auto"/>
            </w:tcBorders>
          </w:tcPr>
          <w:p w14:paraId="61CE7BBB"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6 417</w:t>
            </w:r>
          </w:p>
        </w:tc>
        <w:tc>
          <w:tcPr>
            <w:tcW w:w="850" w:type="dxa"/>
            <w:tcBorders>
              <w:top w:val="single" w:sz="6" w:space="0" w:color="auto"/>
              <w:left w:val="single" w:sz="6" w:space="0" w:color="auto"/>
              <w:bottom w:val="single" w:sz="6" w:space="0" w:color="auto"/>
              <w:right w:val="single" w:sz="6" w:space="0" w:color="auto"/>
            </w:tcBorders>
          </w:tcPr>
          <w:p w14:paraId="496DA7B9"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6 388</w:t>
            </w:r>
          </w:p>
        </w:tc>
        <w:tc>
          <w:tcPr>
            <w:tcW w:w="885" w:type="dxa"/>
            <w:tcBorders>
              <w:top w:val="single" w:sz="6" w:space="0" w:color="auto"/>
              <w:left w:val="single" w:sz="6" w:space="0" w:color="auto"/>
              <w:bottom w:val="single" w:sz="6" w:space="0" w:color="auto"/>
              <w:right w:val="single" w:sz="6" w:space="0" w:color="auto"/>
            </w:tcBorders>
          </w:tcPr>
          <w:p w14:paraId="0EC8488A"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3 427</w:t>
            </w:r>
          </w:p>
        </w:tc>
      </w:tr>
      <w:tr w:rsidR="00814801" w:rsidRPr="003954D9" w14:paraId="59D675CA" w14:textId="77777777" w:rsidTr="00C455B4">
        <w:trPr>
          <w:trHeight w:val="290"/>
        </w:trPr>
        <w:tc>
          <w:tcPr>
            <w:tcW w:w="1730" w:type="dxa"/>
            <w:tcBorders>
              <w:top w:val="single" w:sz="6" w:space="0" w:color="auto"/>
              <w:left w:val="single" w:sz="6" w:space="0" w:color="auto"/>
              <w:bottom w:val="single" w:sz="6" w:space="0" w:color="auto"/>
              <w:right w:val="single" w:sz="6" w:space="0" w:color="auto"/>
            </w:tcBorders>
          </w:tcPr>
          <w:p w14:paraId="1C5208FE" w14:textId="2D938B7C" w:rsidR="00814801" w:rsidRPr="003954D9" w:rsidRDefault="00814801">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65-år</w:t>
            </w:r>
          </w:p>
        </w:tc>
        <w:tc>
          <w:tcPr>
            <w:tcW w:w="806" w:type="dxa"/>
            <w:tcBorders>
              <w:top w:val="single" w:sz="6" w:space="0" w:color="auto"/>
              <w:left w:val="single" w:sz="6" w:space="0" w:color="auto"/>
              <w:bottom w:val="single" w:sz="6" w:space="0" w:color="auto"/>
              <w:right w:val="single" w:sz="6" w:space="0" w:color="auto"/>
            </w:tcBorders>
          </w:tcPr>
          <w:p w14:paraId="122FAE3A" w14:textId="77777777" w:rsidR="00814801" w:rsidRPr="003954D9" w:rsidRDefault="00814801">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826</w:t>
            </w:r>
          </w:p>
        </w:tc>
        <w:tc>
          <w:tcPr>
            <w:tcW w:w="885" w:type="dxa"/>
            <w:tcBorders>
              <w:top w:val="single" w:sz="6" w:space="0" w:color="auto"/>
              <w:left w:val="single" w:sz="6" w:space="0" w:color="auto"/>
              <w:bottom w:val="single" w:sz="6" w:space="0" w:color="auto"/>
              <w:right w:val="single" w:sz="6" w:space="0" w:color="auto"/>
            </w:tcBorders>
          </w:tcPr>
          <w:p w14:paraId="4A3B9227"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1 550</w:t>
            </w:r>
          </w:p>
        </w:tc>
        <w:tc>
          <w:tcPr>
            <w:tcW w:w="822" w:type="dxa"/>
            <w:tcBorders>
              <w:top w:val="single" w:sz="6" w:space="0" w:color="auto"/>
              <w:left w:val="single" w:sz="6" w:space="0" w:color="auto"/>
              <w:bottom w:val="single" w:sz="6" w:space="0" w:color="auto"/>
              <w:right w:val="single" w:sz="6" w:space="0" w:color="auto"/>
            </w:tcBorders>
          </w:tcPr>
          <w:p w14:paraId="6A62CD03"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3 402</w:t>
            </w:r>
          </w:p>
        </w:tc>
        <w:tc>
          <w:tcPr>
            <w:tcW w:w="822" w:type="dxa"/>
            <w:tcBorders>
              <w:top w:val="single" w:sz="6" w:space="0" w:color="auto"/>
              <w:left w:val="single" w:sz="6" w:space="0" w:color="auto"/>
              <w:bottom w:val="single" w:sz="6" w:space="0" w:color="auto"/>
              <w:right w:val="single" w:sz="6" w:space="0" w:color="auto"/>
            </w:tcBorders>
          </w:tcPr>
          <w:p w14:paraId="6B5FED0A"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3 142</w:t>
            </w:r>
          </w:p>
        </w:tc>
        <w:tc>
          <w:tcPr>
            <w:tcW w:w="821" w:type="dxa"/>
            <w:tcBorders>
              <w:top w:val="single" w:sz="6" w:space="0" w:color="auto"/>
              <w:left w:val="single" w:sz="6" w:space="0" w:color="auto"/>
              <w:bottom w:val="single" w:sz="6" w:space="0" w:color="auto"/>
              <w:right w:val="single" w:sz="6" w:space="0" w:color="auto"/>
            </w:tcBorders>
          </w:tcPr>
          <w:p w14:paraId="5A1589A0"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3 746</w:t>
            </w:r>
          </w:p>
        </w:tc>
        <w:tc>
          <w:tcPr>
            <w:tcW w:w="822" w:type="dxa"/>
            <w:tcBorders>
              <w:top w:val="single" w:sz="6" w:space="0" w:color="auto"/>
              <w:left w:val="single" w:sz="6" w:space="0" w:color="auto"/>
              <w:bottom w:val="single" w:sz="6" w:space="0" w:color="auto"/>
              <w:right w:val="single" w:sz="6" w:space="0" w:color="auto"/>
            </w:tcBorders>
          </w:tcPr>
          <w:p w14:paraId="074D95AC"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1 656</w:t>
            </w:r>
          </w:p>
        </w:tc>
        <w:tc>
          <w:tcPr>
            <w:tcW w:w="822" w:type="dxa"/>
            <w:tcBorders>
              <w:top w:val="single" w:sz="6" w:space="0" w:color="auto"/>
              <w:left w:val="single" w:sz="6" w:space="0" w:color="auto"/>
              <w:bottom w:val="single" w:sz="6" w:space="0" w:color="auto"/>
              <w:right w:val="single" w:sz="6" w:space="0" w:color="auto"/>
            </w:tcBorders>
          </w:tcPr>
          <w:p w14:paraId="46739318"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1 657</w:t>
            </w:r>
          </w:p>
        </w:tc>
        <w:tc>
          <w:tcPr>
            <w:tcW w:w="864" w:type="dxa"/>
            <w:tcBorders>
              <w:top w:val="single" w:sz="6" w:space="0" w:color="auto"/>
              <w:left w:val="single" w:sz="6" w:space="0" w:color="auto"/>
              <w:bottom w:val="single" w:sz="6" w:space="0" w:color="auto"/>
              <w:right w:val="single" w:sz="6" w:space="0" w:color="auto"/>
            </w:tcBorders>
          </w:tcPr>
          <w:p w14:paraId="5ADECE9E" w14:textId="77777777" w:rsidR="00814801" w:rsidRPr="003954D9" w:rsidRDefault="00814801">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4 315</w:t>
            </w:r>
          </w:p>
        </w:tc>
        <w:tc>
          <w:tcPr>
            <w:tcW w:w="850" w:type="dxa"/>
            <w:tcBorders>
              <w:top w:val="single" w:sz="6" w:space="0" w:color="auto"/>
              <w:left w:val="single" w:sz="6" w:space="0" w:color="auto"/>
              <w:bottom w:val="single" w:sz="6" w:space="0" w:color="auto"/>
              <w:right w:val="single" w:sz="6" w:space="0" w:color="auto"/>
            </w:tcBorders>
          </w:tcPr>
          <w:p w14:paraId="30A96781"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2 484</w:t>
            </w:r>
          </w:p>
        </w:tc>
        <w:tc>
          <w:tcPr>
            <w:tcW w:w="885" w:type="dxa"/>
            <w:tcBorders>
              <w:top w:val="single" w:sz="6" w:space="0" w:color="auto"/>
              <w:left w:val="single" w:sz="6" w:space="0" w:color="auto"/>
              <w:bottom w:val="single" w:sz="6" w:space="0" w:color="auto"/>
              <w:right w:val="single" w:sz="6" w:space="0" w:color="auto"/>
            </w:tcBorders>
          </w:tcPr>
          <w:p w14:paraId="6DF48D1D"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1 293</w:t>
            </w:r>
          </w:p>
        </w:tc>
      </w:tr>
      <w:tr w:rsidR="00814801" w:rsidRPr="003954D9" w14:paraId="7DCDC116" w14:textId="77777777" w:rsidTr="00C455B4">
        <w:trPr>
          <w:trHeight w:val="290"/>
        </w:trPr>
        <w:tc>
          <w:tcPr>
            <w:tcW w:w="1730" w:type="dxa"/>
            <w:tcBorders>
              <w:top w:val="single" w:sz="6" w:space="0" w:color="auto"/>
              <w:left w:val="single" w:sz="6" w:space="0" w:color="auto"/>
              <w:bottom w:val="single" w:sz="6" w:space="0" w:color="auto"/>
              <w:right w:val="single" w:sz="6" w:space="0" w:color="auto"/>
            </w:tcBorders>
          </w:tcPr>
          <w:p w14:paraId="1371A1B9" w14:textId="31C6F412" w:rsidR="00814801" w:rsidRPr="003954D9" w:rsidRDefault="00814801">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Ensamst. m.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0955F9CC" w14:textId="77777777" w:rsidR="00814801" w:rsidRPr="003954D9" w:rsidRDefault="00814801">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272</w:t>
            </w:r>
          </w:p>
        </w:tc>
        <w:tc>
          <w:tcPr>
            <w:tcW w:w="885" w:type="dxa"/>
            <w:tcBorders>
              <w:top w:val="single" w:sz="6" w:space="0" w:color="auto"/>
              <w:left w:val="single" w:sz="6" w:space="0" w:color="auto"/>
              <w:bottom w:val="single" w:sz="6" w:space="0" w:color="auto"/>
              <w:right w:val="single" w:sz="6" w:space="0" w:color="auto"/>
            </w:tcBorders>
          </w:tcPr>
          <w:p w14:paraId="425CB471"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1 054</w:t>
            </w:r>
          </w:p>
        </w:tc>
        <w:tc>
          <w:tcPr>
            <w:tcW w:w="822" w:type="dxa"/>
            <w:tcBorders>
              <w:top w:val="single" w:sz="6" w:space="0" w:color="auto"/>
              <w:left w:val="single" w:sz="6" w:space="0" w:color="auto"/>
              <w:bottom w:val="single" w:sz="6" w:space="0" w:color="auto"/>
              <w:right w:val="single" w:sz="6" w:space="0" w:color="auto"/>
            </w:tcBorders>
          </w:tcPr>
          <w:p w14:paraId="798328C4" w14:textId="77777777" w:rsidR="00814801" w:rsidRPr="003954D9" w:rsidRDefault="00814801">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2 390</w:t>
            </w:r>
          </w:p>
        </w:tc>
        <w:tc>
          <w:tcPr>
            <w:tcW w:w="822" w:type="dxa"/>
            <w:tcBorders>
              <w:top w:val="single" w:sz="6" w:space="0" w:color="auto"/>
              <w:left w:val="single" w:sz="6" w:space="0" w:color="auto"/>
              <w:bottom w:val="single" w:sz="6" w:space="0" w:color="auto"/>
              <w:right w:val="single" w:sz="6" w:space="0" w:color="auto"/>
            </w:tcBorders>
          </w:tcPr>
          <w:p w14:paraId="37BFDF9D"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873</w:t>
            </w:r>
          </w:p>
        </w:tc>
        <w:tc>
          <w:tcPr>
            <w:tcW w:w="821" w:type="dxa"/>
            <w:tcBorders>
              <w:top w:val="single" w:sz="6" w:space="0" w:color="auto"/>
              <w:left w:val="single" w:sz="6" w:space="0" w:color="auto"/>
              <w:bottom w:val="single" w:sz="6" w:space="0" w:color="auto"/>
              <w:right w:val="single" w:sz="6" w:space="0" w:color="auto"/>
            </w:tcBorders>
          </w:tcPr>
          <w:p w14:paraId="56F25FFA"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2 158</w:t>
            </w:r>
          </w:p>
        </w:tc>
        <w:tc>
          <w:tcPr>
            <w:tcW w:w="822" w:type="dxa"/>
            <w:tcBorders>
              <w:top w:val="single" w:sz="6" w:space="0" w:color="auto"/>
              <w:left w:val="single" w:sz="6" w:space="0" w:color="auto"/>
              <w:bottom w:val="single" w:sz="6" w:space="0" w:color="auto"/>
              <w:right w:val="single" w:sz="6" w:space="0" w:color="auto"/>
            </w:tcBorders>
          </w:tcPr>
          <w:p w14:paraId="2B58E0C6"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1 179</w:t>
            </w:r>
          </w:p>
        </w:tc>
        <w:tc>
          <w:tcPr>
            <w:tcW w:w="822" w:type="dxa"/>
            <w:tcBorders>
              <w:top w:val="single" w:sz="6" w:space="0" w:color="auto"/>
              <w:left w:val="single" w:sz="6" w:space="0" w:color="auto"/>
              <w:bottom w:val="single" w:sz="6" w:space="0" w:color="auto"/>
              <w:right w:val="single" w:sz="6" w:space="0" w:color="auto"/>
            </w:tcBorders>
          </w:tcPr>
          <w:p w14:paraId="0BB3D570"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354</w:t>
            </w:r>
          </w:p>
        </w:tc>
        <w:tc>
          <w:tcPr>
            <w:tcW w:w="864" w:type="dxa"/>
            <w:tcBorders>
              <w:top w:val="single" w:sz="6" w:space="0" w:color="auto"/>
              <w:left w:val="single" w:sz="6" w:space="0" w:color="auto"/>
              <w:bottom w:val="single" w:sz="6" w:space="0" w:color="auto"/>
              <w:right w:val="single" w:sz="6" w:space="0" w:color="auto"/>
            </w:tcBorders>
          </w:tcPr>
          <w:p w14:paraId="0D0FE46F"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1 884</w:t>
            </w:r>
          </w:p>
        </w:tc>
        <w:tc>
          <w:tcPr>
            <w:tcW w:w="850" w:type="dxa"/>
            <w:tcBorders>
              <w:top w:val="single" w:sz="6" w:space="0" w:color="auto"/>
              <w:left w:val="single" w:sz="6" w:space="0" w:color="auto"/>
              <w:bottom w:val="single" w:sz="6" w:space="0" w:color="auto"/>
              <w:right w:val="single" w:sz="6" w:space="0" w:color="auto"/>
            </w:tcBorders>
          </w:tcPr>
          <w:p w14:paraId="35BB3963"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1 587</w:t>
            </w:r>
          </w:p>
        </w:tc>
        <w:tc>
          <w:tcPr>
            <w:tcW w:w="885" w:type="dxa"/>
            <w:tcBorders>
              <w:top w:val="single" w:sz="6" w:space="0" w:color="auto"/>
              <w:left w:val="single" w:sz="6" w:space="0" w:color="auto"/>
              <w:bottom w:val="single" w:sz="6" w:space="0" w:color="auto"/>
              <w:right w:val="single" w:sz="6" w:space="0" w:color="auto"/>
            </w:tcBorders>
          </w:tcPr>
          <w:p w14:paraId="6A95543E"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471</w:t>
            </w:r>
          </w:p>
        </w:tc>
      </w:tr>
      <w:tr w:rsidR="00814801" w:rsidRPr="003954D9" w14:paraId="757106AD" w14:textId="77777777" w:rsidTr="00C455B4">
        <w:trPr>
          <w:trHeight w:val="290"/>
        </w:trPr>
        <w:tc>
          <w:tcPr>
            <w:tcW w:w="1730" w:type="dxa"/>
            <w:tcBorders>
              <w:top w:val="single" w:sz="6" w:space="0" w:color="auto"/>
              <w:left w:val="single" w:sz="6" w:space="0" w:color="auto"/>
              <w:bottom w:val="single" w:sz="6" w:space="0" w:color="auto"/>
              <w:right w:val="single" w:sz="6" w:space="0" w:color="auto"/>
            </w:tcBorders>
          </w:tcPr>
          <w:p w14:paraId="59755EC7" w14:textId="45C086A9" w:rsidR="00814801" w:rsidRPr="003954D9" w:rsidRDefault="00814801">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06C1E6D1" w14:textId="77777777" w:rsidR="00814801" w:rsidRPr="003954D9" w:rsidRDefault="00814801">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4 371</w:t>
            </w:r>
          </w:p>
        </w:tc>
        <w:tc>
          <w:tcPr>
            <w:tcW w:w="885" w:type="dxa"/>
            <w:tcBorders>
              <w:top w:val="single" w:sz="6" w:space="0" w:color="auto"/>
              <w:left w:val="single" w:sz="6" w:space="0" w:color="auto"/>
              <w:bottom w:val="single" w:sz="6" w:space="0" w:color="auto"/>
              <w:right w:val="single" w:sz="6" w:space="0" w:color="auto"/>
            </w:tcBorders>
          </w:tcPr>
          <w:p w14:paraId="57C09054"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7 749</w:t>
            </w:r>
          </w:p>
        </w:tc>
        <w:tc>
          <w:tcPr>
            <w:tcW w:w="822" w:type="dxa"/>
            <w:tcBorders>
              <w:top w:val="single" w:sz="6" w:space="0" w:color="auto"/>
              <w:left w:val="single" w:sz="6" w:space="0" w:color="auto"/>
              <w:bottom w:val="single" w:sz="6" w:space="0" w:color="auto"/>
              <w:right w:val="single" w:sz="6" w:space="0" w:color="auto"/>
            </w:tcBorders>
          </w:tcPr>
          <w:p w14:paraId="116DCD65"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10 074</w:t>
            </w:r>
          </w:p>
        </w:tc>
        <w:tc>
          <w:tcPr>
            <w:tcW w:w="822" w:type="dxa"/>
            <w:tcBorders>
              <w:top w:val="single" w:sz="6" w:space="0" w:color="auto"/>
              <w:left w:val="single" w:sz="6" w:space="0" w:color="auto"/>
              <w:bottom w:val="single" w:sz="6" w:space="0" w:color="auto"/>
              <w:right w:val="single" w:sz="6" w:space="0" w:color="auto"/>
            </w:tcBorders>
          </w:tcPr>
          <w:p w14:paraId="3C6D5E3A"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7 242</w:t>
            </w:r>
          </w:p>
        </w:tc>
        <w:tc>
          <w:tcPr>
            <w:tcW w:w="821" w:type="dxa"/>
            <w:tcBorders>
              <w:top w:val="single" w:sz="6" w:space="0" w:color="auto"/>
              <w:left w:val="single" w:sz="6" w:space="0" w:color="auto"/>
              <w:bottom w:val="single" w:sz="6" w:space="0" w:color="auto"/>
              <w:right w:val="single" w:sz="6" w:space="0" w:color="auto"/>
            </w:tcBorders>
          </w:tcPr>
          <w:p w14:paraId="4AC4BC4C" w14:textId="77777777" w:rsidR="00814801" w:rsidRPr="003954D9" w:rsidRDefault="00814801">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10 259</w:t>
            </w:r>
          </w:p>
        </w:tc>
        <w:tc>
          <w:tcPr>
            <w:tcW w:w="822" w:type="dxa"/>
            <w:tcBorders>
              <w:top w:val="single" w:sz="6" w:space="0" w:color="auto"/>
              <w:left w:val="single" w:sz="6" w:space="0" w:color="auto"/>
              <w:bottom w:val="single" w:sz="6" w:space="0" w:color="auto"/>
              <w:right w:val="single" w:sz="6" w:space="0" w:color="auto"/>
            </w:tcBorders>
          </w:tcPr>
          <w:p w14:paraId="787898A8"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6 127</w:t>
            </w:r>
          </w:p>
        </w:tc>
        <w:tc>
          <w:tcPr>
            <w:tcW w:w="822" w:type="dxa"/>
            <w:tcBorders>
              <w:top w:val="single" w:sz="6" w:space="0" w:color="auto"/>
              <w:left w:val="single" w:sz="6" w:space="0" w:color="auto"/>
              <w:bottom w:val="single" w:sz="6" w:space="0" w:color="auto"/>
              <w:right w:val="single" w:sz="6" w:space="0" w:color="auto"/>
            </w:tcBorders>
          </w:tcPr>
          <w:p w14:paraId="45855832"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5 199</w:t>
            </w:r>
          </w:p>
        </w:tc>
        <w:tc>
          <w:tcPr>
            <w:tcW w:w="864" w:type="dxa"/>
            <w:tcBorders>
              <w:top w:val="single" w:sz="6" w:space="0" w:color="auto"/>
              <w:left w:val="single" w:sz="6" w:space="0" w:color="auto"/>
              <w:bottom w:val="single" w:sz="6" w:space="0" w:color="auto"/>
              <w:right w:val="single" w:sz="6" w:space="0" w:color="auto"/>
            </w:tcBorders>
          </w:tcPr>
          <w:p w14:paraId="2795570C"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9 361</w:t>
            </w:r>
          </w:p>
        </w:tc>
        <w:tc>
          <w:tcPr>
            <w:tcW w:w="850" w:type="dxa"/>
            <w:tcBorders>
              <w:top w:val="single" w:sz="6" w:space="0" w:color="auto"/>
              <w:left w:val="single" w:sz="6" w:space="0" w:color="auto"/>
              <w:bottom w:val="single" w:sz="6" w:space="0" w:color="auto"/>
              <w:right w:val="single" w:sz="6" w:space="0" w:color="auto"/>
            </w:tcBorders>
          </w:tcPr>
          <w:p w14:paraId="27393BE1"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9 074</w:t>
            </w:r>
          </w:p>
        </w:tc>
        <w:tc>
          <w:tcPr>
            <w:tcW w:w="885" w:type="dxa"/>
            <w:tcBorders>
              <w:top w:val="single" w:sz="6" w:space="0" w:color="auto"/>
              <w:left w:val="single" w:sz="6" w:space="0" w:color="auto"/>
              <w:bottom w:val="single" w:sz="6" w:space="0" w:color="auto"/>
              <w:right w:val="single" w:sz="6" w:space="0" w:color="auto"/>
            </w:tcBorders>
          </w:tcPr>
          <w:p w14:paraId="59BAFC61"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5 091</w:t>
            </w:r>
          </w:p>
        </w:tc>
      </w:tr>
      <w:tr w:rsidR="00814801" w:rsidRPr="003954D9" w14:paraId="6B8A5EDE" w14:textId="77777777" w:rsidTr="00C455B4">
        <w:trPr>
          <w:trHeight w:val="290"/>
        </w:trPr>
        <w:tc>
          <w:tcPr>
            <w:tcW w:w="1730" w:type="dxa"/>
            <w:tcBorders>
              <w:top w:val="single" w:sz="6" w:space="0" w:color="auto"/>
              <w:left w:val="single" w:sz="6" w:space="0" w:color="auto"/>
              <w:bottom w:val="single" w:sz="6" w:space="0" w:color="auto"/>
              <w:right w:val="single" w:sz="6" w:space="0" w:color="auto"/>
            </w:tcBorders>
          </w:tcPr>
          <w:p w14:paraId="0C1A1B34" w14:textId="7B08A989" w:rsidR="00814801" w:rsidRPr="003954D9" w:rsidRDefault="00814801">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65-år</w:t>
            </w:r>
          </w:p>
        </w:tc>
        <w:tc>
          <w:tcPr>
            <w:tcW w:w="806" w:type="dxa"/>
            <w:tcBorders>
              <w:top w:val="single" w:sz="6" w:space="0" w:color="auto"/>
              <w:left w:val="single" w:sz="6" w:space="0" w:color="auto"/>
              <w:bottom w:val="single" w:sz="6" w:space="0" w:color="auto"/>
              <w:right w:val="single" w:sz="6" w:space="0" w:color="auto"/>
            </w:tcBorders>
          </w:tcPr>
          <w:p w14:paraId="60925336" w14:textId="77777777" w:rsidR="00814801" w:rsidRPr="003954D9" w:rsidRDefault="00814801">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2 108</w:t>
            </w:r>
          </w:p>
        </w:tc>
        <w:tc>
          <w:tcPr>
            <w:tcW w:w="885" w:type="dxa"/>
            <w:tcBorders>
              <w:top w:val="single" w:sz="6" w:space="0" w:color="auto"/>
              <w:left w:val="single" w:sz="6" w:space="0" w:color="auto"/>
              <w:bottom w:val="single" w:sz="6" w:space="0" w:color="auto"/>
              <w:right w:val="single" w:sz="6" w:space="0" w:color="auto"/>
            </w:tcBorders>
          </w:tcPr>
          <w:p w14:paraId="688F16BB"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4 565</w:t>
            </w:r>
          </w:p>
        </w:tc>
        <w:tc>
          <w:tcPr>
            <w:tcW w:w="822" w:type="dxa"/>
            <w:tcBorders>
              <w:top w:val="single" w:sz="6" w:space="0" w:color="auto"/>
              <w:left w:val="single" w:sz="6" w:space="0" w:color="auto"/>
              <w:bottom w:val="single" w:sz="6" w:space="0" w:color="auto"/>
              <w:right w:val="single" w:sz="6" w:space="0" w:color="auto"/>
            </w:tcBorders>
          </w:tcPr>
          <w:p w14:paraId="5467F526"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7 146</w:t>
            </w:r>
          </w:p>
        </w:tc>
        <w:tc>
          <w:tcPr>
            <w:tcW w:w="822" w:type="dxa"/>
            <w:tcBorders>
              <w:top w:val="single" w:sz="6" w:space="0" w:color="auto"/>
              <w:left w:val="single" w:sz="6" w:space="0" w:color="auto"/>
              <w:bottom w:val="single" w:sz="6" w:space="0" w:color="auto"/>
              <w:right w:val="single" w:sz="6" w:space="0" w:color="auto"/>
            </w:tcBorders>
          </w:tcPr>
          <w:p w14:paraId="33349E41"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3 825</w:t>
            </w:r>
          </w:p>
        </w:tc>
        <w:tc>
          <w:tcPr>
            <w:tcW w:w="821" w:type="dxa"/>
            <w:tcBorders>
              <w:top w:val="single" w:sz="6" w:space="0" w:color="auto"/>
              <w:left w:val="single" w:sz="6" w:space="0" w:color="auto"/>
              <w:bottom w:val="single" w:sz="6" w:space="0" w:color="auto"/>
              <w:right w:val="single" w:sz="6" w:space="0" w:color="auto"/>
            </w:tcBorders>
          </w:tcPr>
          <w:p w14:paraId="04A7E93A" w14:textId="77777777" w:rsidR="00814801" w:rsidRPr="003954D9" w:rsidRDefault="00814801">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8 809</w:t>
            </w:r>
          </w:p>
        </w:tc>
        <w:tc>
          <w:tcPr>
            <w:tcW w:w="822" w:type="dxa"/>
            <w:tcBorders>
              <w:top w:val="single" w:sz="6" w:space="0" w:color="auto"/>
              <w:left w:val="single" w:sz="6" w:space="0" w:color="auto"/>
              <w:bottom w:val="single" w:sz="6" w:space="0" w:color="auto"/>
              <w:right w:val="single" w:sz="6" w:space="0" w:color="auto"/>
            </w:tcBorders>
          </w:tcPr>
          <w:p w14:paraId="38AAFFBB"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4 496</w:t>
            </w:r>
          </w:p>
        </w:tc>
        <w:tc>
          <w:tcPr>
            <w:tcW w:w="822" w:type="dxa"/>
            <w:tcBorders>
              <w:top w:val="single" w:sz="6" w:space="0" w:color="auto"/>
              <w:left w:val="single" w:sz="6" w:space="0" w:color="auto"/>
              <w:bottom w:val="single" w:sz="6" w:space="0" w:color="auto"/>
              <w:right w:val="single" w:sz="6" w:space="0" w:color="auto"/>
            </w:tcBorders>
          </w:tcPr>
          <w:p w14:paraId="1321827A"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3 226</w:t>
            </w:r>
          </w:p>
        </w:tc>
        <w:tc>
          <w:tcPr>
            <w:tcW w:w="864" w:type="dxa"/>
            <w:tcBorders>
              <w:top w:val="single" w:sz="6" w:space="0" w:color="auto"/>
              <w:left w:val="single" w:sz="6" w:space="0" w:color="auto"/>
              <w:bottom w:val="single" w:sz="6" w:space="0" w:color="auto"/>
              <w:right w:val="single" w:sz="6" w:space="0" w:color="auto"/>
            </w:tcBorders>
          </w:tcPr>
          <w:p w14:paraId="0797381F"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7 349</w:t>
            </w:r>
          </w:p>
        </w:tc>
        <w:tc>
          <w:tcPr>
            <w:tcW w:w="850" w:type="dxa"/>
            <w:tcBorders>
              <w:top w:val="single" w:sz="6" w:space="0" w:color="auto"/>
              <w:left w:val="single" w:sz="6" w:space="0" w:color="auto"/>
              <w:bottom w:val="single" w:sz="6" w:space="0" w:color="auto"/>
              <w:right w:val="single" w:sz="6" w:space="0" w:color="auto"/>
            </w:tcBorders>
          </w:tcPr>
          <w:p w14:paraId="4F50C0C6"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6 113</w:t>
            </w:r>
          </w:p>
        </w:tc>
        <w:tc>
          <w:tcPr>
            <w:tcW w:w="885" w:type="dxa"/>
            <w:tcBorders>
              <w:top w:val="single" w:sz="6" w:space="0" w:color="auto"/>
              <w:left w:val="single" w:sz="6" w:space="0" w:color="auto"/>
              <w:bottom w:val="single" w:sz="6" w:space="0" w:color="auto"/>
              <w:right w:val="single" w:sz="6" w:space="0" w:color="auto"/>
            </w:tcBorders>
          </w:tcPr>
          <w:p w14:paraId="680038A7"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2 926</w:t>
            </w:r>
          </w:p>
        </w:tc>
      </w:tr>
      <w:tr w:rsidR="00814801" w:rsidRPr="003954D9" w14:paraId="7B2CA549" w14:textId="77777777" w:rsidTr="00C455B4">
        <w:trPr>
          <w:trHeight w:val="290"/>
        </w:trPr>
        <w:tc>
          <w:tcPr>
            <w:tcW w:w="1730" w:type="dxa"/>
            <w:tcBorders>
              <w:top w:val="single" w:sz="6" w:space="0" w:color="auto"/>
              <w:left w:val="single" w:sz="6" w:space="0" w:color="auto"/>
              <w:bottom w:val="single" w:sz="6" w:space="0" w:color="auto"/>
              <w:right w:val="single" w:sz="6" w:space="0" w:color="auto"/>
            </w:tcBorders>
          </w:tcPr>
          <w:p w14:paraId="366662AF" w14:textId="497F728C" w:rsidR="00814801" w:rsidRPr="003954D9" w:rsidRDefault="00814801">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1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10E4AD1E"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2 799</w:t>
            </w:r>
          </w:p>
        </w:tc>
        <w:tc>
          <w:tcPr>
            <w:tcW w:w="885" w:type="dxa"/>
            <w:tcBorders>
              <w:top w:val="single" w:sz="6" w:space="0" w:color="auto"/>
              <w:left w:val="single" w:sz="6" w:space="0" w:color="auto"/>
              <w:bottom w:val="single" w:sz="6" w:space="0" w:color="auto"/>
              <w:right w:val="single" w:sz="6" w:space="0" w:color="auto"/>
            </w:tcBorders>
          </w:tcPr>
          <w:p w14:paraId="2FD20DB3"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4 833</w:t>
            </w:r>
          </w:p>
        </w:tc>
        <w:tc>
          <w:tcPr>
            <w:tcW w:w="822" w:type="dxa"/>
            <w:tcBorders>
              <w:top w:val="single" w:sz="6" w:space="0" w:color="auto"/>
              <w:left w:val="single" w:sz="6" w:space="0" w:color="auto"/>
              <w:bottom w:val="single" w:sz="6" w:space="0" w:color="auto"/>
              <w:right w:val="single" w:sz="6" w:space="0" w:color="auto"/>
            </w:tcBorders>
          </w:tcPr>
          <w:p w14:paraId="28644F8A" w14:textId="77777777" w:rsidR="00814801" w:rsidRPr="003954D9" w:rsidRDefault="00814801">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6 465</w:t>
            </w:r>
          </w:p>
        </w:tc>
        <w:tc>
          <w:tcPr>
            <w:tcW w:w="822" w:type="dxa"/>
            <w:tcBorders>
              <w:top w:val="single" w:sz="6" w:space="0" w:color="auto"/>
              <w:left w:val="single" w:sz="6" w:space="0" w:color="auto"/>
              <w:bottom w:val="single" w:sz="6" w:space="0" w:color="auto"/>
              <w:right w:val="single" w:sz="6" w:space="0" w:color="auto"/>
            </w:tcBorders>
          </w:tcPr>
          <w:p w14:paraId="2B4C2DDC"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3 019</w:t>
            </w:r>
          </w:p>
        </w:tc>
        <w:tc>
          <w:tcPr>
            <w:tcW w:w="821" w:type="dxa"/>
            <w:tcBorders>
              <w:top w:val="single" w:sz="6" w:space="0" w:color="auto"/>
              <w:left w:val="single" w:sz="6" w:space="0" w:color="auto"/>
              <w:bottom w:val="single" w:sz="6" w:space="0" w:color="auto"/>
              <w:right w:val="single" w:sz="6" w:space="0" w:color="auto"/>
            </w:tcBorders>
          </w:tcPr>
          <w:p w14:paraId="24882AC3"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6 003</w:t>
            </w:r>
          </w:p>
        </w:tc>
        <w:tc>
          <w:tcPr>
            <w:tcW w:w="822" w:type="dxa"/>
            <w:tcBorders>
              <w:top w:val="single" w:sz="6" w:space="0" w:color="auto"/>
              <w:left w:val="single" w:sz="6" w:space="0" w:color="auto"/>
              <w:bottom w:val="single" w:sz="6" w:space="0" w:color="auto"/>
              <w:right w:val="single" w:sz="6" w:space="0" w:color="auto"/>
            </w:tcBorders>
          </w:tcPr>
          <w:p w14:paraId="16DD4C84"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3 393</w:t>
            </w:r>
          </w:p>
        </w:tc>
        <w:tc>
          <w:tcPr>
            <w:tcW w:w="822" w:type="dxa"/>
            <w:tcBorders>
              <w:top w:val="single" w:sz="6" w:space="0" w:color="auto"/>
              <w:left w:val="single" w:sz="6" w:space="0" w:color="auto"/>
              <w:bottom w:val="single" w:sz="6" w:space="0" w:color="auto"/>
              <w:right w:val="single" w:sz="6" w:space="0" w:color="auto"/>
            </w:tcBorders>
          </w:tcPr>
          <w:p w14:paraId="42CD16FB"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2 580</w:t>
            </w:r>
          </w:p>
        </w:tc>
        <w:tc>
          <w:tcPr>
            <w:tcW w:w="864" w:type="dxa"/>
            <w:tcBorders>
              <w:top w:val="single" w:sz="6" w:space="0" w:color="auto"/>
              <w:left w:val="single" w:sz="6" w:space="0" w:color="auto"/>
              <w:bottom w:val="single" w:sz="6" w:space="0" w:color="auto"/>
              <w:right w:val="single" w:sz="6" w:space="0" w:color="auto"/>
            </w:tcBorders>
          </w:tcPr>
          <w:p w14:paraId="50F76968"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5 840</w:t>
            </w:r>
          </w:p>
        </w:tc>
        <w:tc>
          <w:tcPr>
            <w:tcW w:w="850" w:type="dxa"/>
            <w:tcBorders>
              <w:top w:val="single" w:sz="6" w:space="0" w:color="auto"/>
              <w:left w:val="single" w:sz="6" w:space="0" w:color="auto"/>
              <w:bottom w:val="single" w:sz="6" w:space="0" w:color="auto"/>
              <w:right w:val="single" w:sz="6" w:space="0" w:color="auto"/>
            </w:tcBorders>
          </w:tcPr>
          <w:p w14:paraId="3E93ACE6"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4 843</w:t>
            </w:r>
          </w:p>
        </w:tc>
        <w:tc>
          <w:tcPr>
            <w:tcW w:w="885" w:type="dxa"/>
            <w:tcBorders>
              <w:top w:val="single" w:sz="6" w:space="0" w:color="auto"/>
              <w:left w:val="single" w:sz="6" w:space="0" w:color="auto"/>
              <w:bottom w:val="single" w:sz="6" w:space="0" w:color="auto"/>
              <w:right w:val="single" w:sz="6" w:space="0" w:color="auto"/>
            </w:tcBorders>
          </w:tcPr>
          <w:p w14:paraId="425CBF88" w14:textId="77777777" w:rsidR="00814801" w:rsidRPr="003954D9" w:rsidRDefault="00814801">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2 308</w:t>
            </w:r>
          </w:p>
        </w:tc>
      </w:tr>
      <w:tr w:rsidR="00814801" w:rsidRPr="003954D9" w14:paraId="33EC1D0A" w14:textId="77777777" w:rsidTr="00C455B4">
        <w:trPr>
          <w:trHeight w:val="290"/>
        </w:trPr>
        <w:tc>
          <w:tcPr>
            <w:tcW w:w="1730" w:type="dxa"/>
            <w:tcBorders>
              <w:top w:val="single" w:sz="6" w:space="0" w:color="auto"/>
              <w:left w:val="single" w:sz="6" w:space="0" w:color="auto"/>
              <w:bottom w:val="single" w:sz="6" w:space="0" w:color="auto"/>
              <w:right w:val="single" w:sz="6" w:space="0" w:color="auto"/>
            </w:tcBorders>
          </w:tcPr>
          <w:p w14:paraId="7ACDDC66" w14:textId="2A538A74" w:rsidR="00814801" w:rsidRPr="003954D9" w:rsidRDefault="00814801">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2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468D3110" w14:textId="77777777" w:rsidR="00814801" w:rsidRPr="003954D9" w:rsidRDefault="00814801">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1 604</w:t>
            </w:r>
          </w:p>
        </w:tc>
        <w:tc>
          <w:tcPr>
            <w:tcW w:w="885" w:type="dxa"/>
            <w:tcBorders>
              <w:top w:val="single" w:sz="6" w:space="0" w:color="auto"/>
              <w:left w:val="single" w:sz="6" w:space="0" w:color="auto"/>
              <w:bottom w:val="single" w:sz="6" w:space="0" w:color="auto"/>
              <w:right w:val="single" w:sz="6" w:space="0" w:color="auto"/>
            </w:tcBorders>
          </w:tcPr>
          <w:p w14:paraId="319FFDF7"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2 713</w:t>
            </w:r>
          </w:p>
        </w:tc>
        <w:tc>
          <w:tcPr>
            <w:tcW w:w="822" w:type="dxa"/>
            <w:tcBorders>
              <w:top w:val="single" w:sz="6" w:space="0" w:color="auto"/>
              <w:left w:val="single" w:sz="6" w:space="0" w:color="auto"/>
              <w:bottom w:val="single" w:sz="6" w:space="0" w:color="auto"/>
              <w:right w:val="single" w:sz="6" w:space="0" w:color="auto"/>
            </w:tcBorders>
          </w:tcPr>
          <w:p w14:paraId="61DECDB0" w14:textId="77777777" w:rsidR="00814801" w:rsidRPr="003954D9" w:rsidRDefault="00814801">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5 091</w:t>
            </w:r>
          </w:p>
        </w:tc>
        <w:tc>
          <w:tcPr>
            <w:tcW w:w="822" w:type="dxa"/>
            <w:tcBorders>
              <w:top w:val="single" w:sz="6" w:space="0" w:color="auto"/>
              <w:left w:val="single" w:sz="6" w:space="0" w:color="auto"/>
              <w:bottom w:val="single" w:sz="6" w:space="0" w:color="auto"/>
              <w:right w:val="single" w:sz="6" w:space="0" w:color="auto"/>
            </w:tcBorders>
          </w:tcPr>
          <w:p w14:paraId="3B85B46D"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2 370</w:t>
            </w:r>
          </w:p>
        </w:tc>
        <w:tc>
          <w:tcPr>
            <w:tcW w:w="821" w:type="dxa"/>
            <w:tcBorders>
              <w:top w:val="single" w:sz="6" w:space="0" w:color="auto"/>
              <w:left w:val="single" w:sz="6" w:space="0" w:color="auto"/>
              <w:bottom w:val="single" w:sz="6" w:space="0" w:color="auto"/>
              <w:right w:val="single" w:sz="6" w:space="0" w:color="auto"/>
            </w:tcBorders>
          </w:tcPr>
          <w:p w14:paraId="13678B1F"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4 362</w:t>
            </w:r>
          </w:p>
        </w:tc>
        <w:tc>
          <w:tcPr>
            <w:tcW w:w="822" w:type="dxa"/>
            <w:tcBorders>
              <w:top w:val="single" w:sz="6" w:space="0" w:color="auto"/>
              <w:left w:val="single" w:sz="6" w:space="0" w:color="auto"/>
              <w:bottom w:val="single" w:sz="6" w:space="0" w:color="auto"/>
              <w:right w:val="single" w:sz="6" w:space="0" w:color="auto"/>
            </w:tcBorders>
          </w:tcPr>
          <w:p w14:paraId="0650EFB8"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2 610</w:t>
            </w:r>
          </w:p>
        </w:tc>
        <w:tc>
          <w:tcPr>
            <w:tcW w:w="822" w:type="dxa"/>
            <w:tcBorders>
              <w:top w:val="single" w:sz="6" w:space="0" w:color="auto"/>
              <w:left w:val="single" w:sz="6" w:space="0" w:color="auto"/>
              <w:bottom w:val="single" w:sz="6" w:space="0" w:color="auto"/>
              <w:right w:val="single" w:sz="6" w:space="0" w:color="auto"/>
            </w:tcBorders>
          </w:tcPr>
          <w:p w14:paraId="6A0915F2"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1 740</w:t>
            </w:r>
          </w:p>
        </w:tc>
        <w:tc>
          <w:tcPr>
            <w:tcW w:w="864" w:type="dxa"/>
            <w:tcBorders>
              <w:top w:val="single" w:sz="6" w:space="0" w:color="auto"/>
              <w:left w:val="single" w:sz="6" w:space="0" w:color="auto"/>
              <w:bottom w:val="single" w:sz="6" w:space="0" w:color="auto"/>
              <w:right w:val="single" w:sz="6" w:space="0" w:color="auto"/>
            </w:tcBorders>
          </w:tcPr>
          <w:p w14:paraId="799BD647"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4 409</w:t>
            </w:r>
          </w:p>
        </w:tc>
        <w:tc>
          <w:tcPr>
            <w:tcW w:w="850" w:type="dxa"/>
            <w:tcBorders>
              <w:top w:val="single" w:sz="6" w:space="0" w:color="auto"/>
              <w:left w:val="single" w:sz="6" w:space="0" w:color="auto"/>
              <w:bottom w:val="single" w:sz="6" w:space="0" w:color="auto"/>
              <w:right w:val="single" w:sz="6" w:space="0" w:color="auto"/>
            </w:tcBorders>
          </w:tcPr>
          <w:p w14:paraId="6A785B2D"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4 992</w:t>
            </w:r>
          </w:p>
        </w:tc>
        <w:tc>
          <w:tcPr>
            <w:tcW w:w="885" w:type="dxa"/>
            <w:tcBorders>
              <w:top w:val="single" w:sz="6" w:space="0" w:color="auto"/>
              <w:left w:val="single" w:sz="6" w:space="0" w:color="auto"/>
              <w:bottom w:val="single" w:sz="6" w:space="0" w:color="auto"/>
              <w:right w:val="single" w:sz="6" w:space="0" w:color="auto"/>
            </w:tcBorders>
          </w:tcPr>
          <w:p w14:paraId="264EB114"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1 724</w:t>
            </w:r>
          </w:p>
        </w:tc>
      </w:tr>
      <w:tr w:rsidR="00814801" w:rsidRPr="003954D9" w14:paraId="389CB298" w14:textId="77777777" w:rsidTr="00C455B4">
        <w:trPr>
          <w:trHeight w:val="290"/>
        </w:trPr>
        <w:tc>
          <w:tcPr>
            <w:tcW w:w="1730" w:type="dxa"/>
            <w:tcBorders>
              <w:top w:val="single" w:sz="6" w:space="0" w:color="auto"/>
              <w:left w:val="single" w:sz="6" w:space="0" w:color="auto"/>
              <w:bottom w:val="single" w:sz="6" w:space="0" w:color="auto"/>
              <w:right w:val="single" w:sz="6" w:space="0" w:color="auto"/>
            </w:tcBorders>
          </w:tcPr>
          <w:p w14:paraId="0422DB22" w14:textId="42245765" w:rsidR="00814801" w:rsidRPr="003954D9" w:rsidRDefault="00814801">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3-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483D5A4D"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788</w:t>
            </w:r>
          </w:p>
        </w:tc>
        <w:tc>
          <w:tcPr>
            <w:tcW w:w="885" w:type="dxa"/>
            <w:tcBorders>
              <w:top w:val="single" w:sz="6" w:space="0" w:color="auto"/>
              <w:left w:val="single" w:sz="6" w:space="0" w:color="auto"/>
              <w:bottom w:val="single" w:sz="6" w:space="0" w:color="auto"/>
              <w:right w:val="single" w:sz="6" w:space="0" w:color="auto"/>
            </w:tcBorders>
          </w:tcPr>
          <w:p w14:paraId="74BE2997"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1 132</w:t>
            </w:r>
          </w:p>
        </w:tc>
        <w:tc>
          <w:tcPr>
            <w:tcW w:w="822" w:type="dxa"/>
            <w:tcBorders>
              <w:top w:val="single" w:sz="6" w:space="0" w:color="auto"/>
              <w:left w:val="single" w:sz="6" w:space="0" w:color="auto"/>
              <w:bottom w:val="single" w:sz="6" w:space="0" w:color="auto"/>
              <w:right w:val="single" w:sz="6" w:space="0" w:color="auto"/>
            </w:tcBorders>
          </w:tcPr>
          <w:p w14:paraId="3E4E7C18"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2 582</w:t>
            </w:r>
          </w:p>
        </w:tc>
        <w:tc>
          <w:tcPr>
            <w:tcW w:w="822" w:type="dxa"/>
            <w:tcBorders>
              <w:top w:val="single" w:sz="6" w:space="0" w:color="auto"/>
              <w:left w:val="single" w:sz="6" w:space="0" w:color="auto"/>
              <w:bottom w:val="single" w:sz="6" w:space="0" w:color="auto"/>
              <w:right w:val="single" w:sz="6" w:space="0" w:color="auto"/>
            </w:tcBorders>
          </w:tcPr>
          <w:p w14:paraId="63FB7078"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1 158</w:t>
            </w:r>
          </w:p>
        </w:tc>
        <w:tc>
          <w:tcPr>
            <w:tcW w:w="821" w:type="dxa"/>
            <w:tcBorders>
              <w:top w:val="single" w:sz="6" w:space="0" w:color="auto"/>
              <w:left w:val="single" w:sz="6" w:space="0" w:color="auto"/>
              <w:bottom w:val="single" w:sz="6" w:space="0" w:color="auto"/>
              <w:right w:val="single" w:sz="6" w:space="0" w:color="auto"/>
            </w:tcBorders>
          </w:tcPr>
          <w:p w14:paraId="40169DEF" w14:textId="77777777" w:rsidR="00814801" w:rsidRPr="003954D9" w:rsidRDefault="00814801">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2 988</w:t>
            </w:r>
          </w:p>
        </w:tc>
        <w:tc>
          <w:tcPr>
            <w:tcW w:w="822" w:type="dxa"/>
            <w:tcBorders>
              <w:top w:val="single" w:sz="6" w:space="0" w:color="auto"/>
              <w:left w:val="single" w:sz="6" w:space="0" w:color="auto"/>
              <w:bottom w:val="single" w:sz="6" w:space="0" w:color="auto"/>
              <w:right w:val="single" w:sz="6" w:space="0" w:color="auto"/>
            </w:tcBorders>
          </w:tcPr>
          <w:p w14:paraId="3EB5BAB5"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1 653</w:t>
            </w:r>
          </w:p>
        </w:tc>
        <w:tc>
          <w:tcPr>
            <w:tcW w:w="822" w:type="dxa"/>
            <w:tcBorders>
              <w:top w:val="single" w:sz="6" w:space="0" w:color="auto"/>
              <w:left w:val="single" w:sz="6" w:space="0" w:color="auto"/>
              <w:bottom w:val="single" w:sz="6" w:space="0" w:color="auto"/>
              <w:right w:val="single" w:sz="6" w:space="0" w:color="auto"/>
            </w:tcBorders>
          </w:tcPr>
          <w:p w14:paraId="5CC88646"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808</w:t>
            </w:r>
          </w:p>
        </w:tc>
        <w:tc>
          <w:tcPr>
            <w:tcW w:w="864" w:type="dxa"/>
            <w:tcBorders>
              <w:top w:val="single" w:sz="6" w:space="0" w:color="auto"/>
              <w:left w:val="single" w:sz="6" w:space="0" w:color="auto"/>
              <w:bottom w:val="single" w:sz="6" w:space="0" w:color="auto"/>
              <w:right w:val="single" w:sz="6" w:space="0" w:color="auto"/>
            </w:tcBorders>
          </w:tcPr>
          <w:p w14:paraId="13D40113"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2 632</w:t>
            </w:r>
          </w:p>
        </w:tc>
        <w:tc>
          <w:tcPr>
            <w:tcW w:w="850" w:type="dxa"/>
            <w:tcBorders>
              <w:top w:val="single" w:sz="6" w:space="0" w:color="auto"/>
              <w:left w:val="single" w:sz="6" w:space="0" w:color="auto"/>
              <w:bottom w:val="single" w:sz="6" w:space="0" w:color="auto"/>
              <w:right w:val="single" w:sz="6" w:space="0" w:color="auto"/>
            </w:tcBorders>
          </w:tcPr>
          <w:p w14:paraId="473A00FB"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1 925</w:t>
            </w:r>
          </w:p>
        </w:tc>
        <w:tc>
          <w:tcPr>
            <w:tcW w:w="885" w:type="dxa"/>
            <w:tcBorders>
              <w:top w:val="single" w:sz="6" w:space="0" w:color="auto"/>
              <w:left w:val="single" w:sz="6" w:space="0" w:color="auto"/>
              <w:bottom w:val="single" w:sz="6" w:space="0" w:color="auto"/>
              <w:right w:val="single" w:sz="6" w:space="0" w:color="auto"/>
            </w:tcBorders>
          </w:tcPr>
          <w:p w14:paraId="1744772D" w14:textId="77777777" w:rsidR="00814801" w:rsidRPr="003954D9" w:rsidRDefault="00814801">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751</w:t>
            </w:r>
          </w:p>
        </w:tc>
      </w:tr>
      <w:tr w:rsidR="00814801" w:rsidRPr="003954D9" w14:paraId="3CF4DFF3" w14:textId="77777777" w:rsidTr="00C455B4">
        <w:trPr>
          <w:trHeight w:val="290"/>
        </w:trPr>
        <w:tc>
          <w:tcPr>
            <w:tcW w:w="1730" w:type="dxa"/>
            <w:tcBorders>
              <w:top w:val="single" w:sz="6" w:space="0" w:color="auto"/>
              <w:left w:val="single" w:sz="6" w:space="0" w:color="auto"/>
              <w:bottom w:val="single" w:sz="6" w:space="0" w:color="auto"/>
              <w:right w:val="single" w:sz="6" w:space="0" w:color="auto"/>
            </w:tcBorders>
          </w:tcPr>
          <w:p w14:paraId="6E7C425D" w14:textId="56E271E7" w:rsidR="00814801" w:rsidRPr="003954D9" w:rsidRDefault="00DD3DF3">
            <w:pPr>
              <w:autoSpaceDE w:val="0"/>
              <w:autoSpaceDN w:val="0"/>
              <w:adjustRightInd w:val="0"/>
              <w:rPr>
                <w:rFonts w:ascii="Calibri" w:hAnsi="Calibri" w:cs="Calibri"/>
                <w:b/>
                <w:color w:val="000000"/>
                <w:sz w:val="16"/>
                <w:szCs w:val="16"/>
              </w:rPr>
            </w:pPr>
            <w:r>
              <w:rPr>
                <w:rFonts w:ascii="Calibri" w:hAnsi="Calibri" w:cs="Calibri"/>
                <w:b/>
                <w:color w:val="000000"/>
                <w:sz w:val="16"/>
                <w:szCs w:val="16"/>
              </w:rPr>
              <w:t>Övr.</w:t>
            </w:r>
            <w:r w:rsidR="00814801" w:rsidRPr="003954D9">
              <w:rPr>
                <w:rFonts w:ascii="Calibri" w:hAnsi="Calibri" w:cs="Calibri"/>
                <w:b/>
                <w:color w:val="000000"/>
                <w:sz w:val="16"/>
                <w:szCs w:val="16"/>
              </w:rPr>
              <w:t xml:space="preserve"> hushåll u. barn </w:t>
            </w:r>
          </w:p>
        </w:tc>
        <w:tc>
          <w:tcPr>
            <w:tcW w:w="806" w:type="dxa"/>
            <w:tcBorders>
              <w:top w:val="single" w:sz="6" w:space="0" w:color="auto"/>
              <w:left w:val="single" w:sz="6" w:space="0" w:color="auto"/>
              <w:bottom w:val="single" w:sz="6" w:space="0" w:color="auto"/>
              <w:right w:val="single" w:sz="6" w:space="0" w:color="auto"/>
            </w:tcBorders>
          </w:tcPr>
          <w:p w14:paraId="300ADF20"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4 676</w:t>
            </w:r>
          </w:p>
        </w:tc>
        <w:tc>
          <w:tcPr>
            <w:tcW w:w="885" w:type="dxa"/>
            <w:tcBorders>
              <w:top w:val="single" w:sz="6" w:space="0" w:color="auto"/>
              <w:left w:val="single" w:sz="6" w:space="0" w:color="auto"/>
              <w:bottom w:val="single" w:sz="6" w:space="0" w:color="auto"/>
              <w:right w:val="single" w:sz="6" w:space="0" w:color="auto"/>
            </w:tcBorders>
          </w:tcPr>
          <w:p w14:paraId="2C1E937C"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5 109</w:t>
            </w:r>
          </w:p>
        </w:tc>
        <w:tc>
          <w:tcPr>
            <w:tcW w:w="822" w:type="dxa"/>
            <w:tcBorders>
              <w:top w:val="single" w:sz="6" w:space="0" w:color="auto"/>
              <w:left w:val="single" w:sz="6" w:space="0" w:color="auto"/>
              <w:bottom w:val="single" w:sz="6" w:space="0" w:color="auto"/>
              <w:right w:val="single" w:sz="6" w:space="0" w:color="auto"/>
            </w:tcBorders>
          </w:tcPr>
          <w:p w14:paraId="2C0CD31D"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7 493</w:t>
            </w:r>
          </w:p>
        </w:tc>
        <w:tc>
          <w:tcPr>
            <w:tcW w:w="822" w:type="dxa"/>
            <w:tcBorders>
              <w:top w:val="single" w:sz="6" w:space="0" w:color="auto"/>
              <w:left w:val="single" w:sz="6" w:space="0" w:color="auto"/>
              <w:bottom w:val="single" w:sz="6" w:space="0" w:color="auto"/>
              <w:right w:val="single" w:sz="6" w:space="0" w:color="auto"/>
            </w:tcBorders>
          </w:tcPr>
          <w:p w14:paraId="030BDBED"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5 709</w:t>
            </w:r>
          </w:p>
        </w:tc>
        <w:tc>
          <w:tcPr>
            <w:tcW w:w="821" w:type="dxa"/>
            <w:tcBorders>
              <w:top w:val="single" w:sz="6" w:space="0" w:color="auto"/>
              <w:left w:val="single" w:sz="6" w:space="0" w:color="auto"/>
              <w:bottom w:val="single" w:sz="6" w:space="0" w:color="auto"/>
              <w:right w:val="single" w:sz="6" w:space="0" w:color="auto"/>
            </w:tcBorders>
          </w:tcPr>
          <w:p w14:paraId="7900C526" w14:textId="77777777" w:rsidR="00814801" w:rsidRPr="003954D9" w:rsidRDefault="00814801">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7 932</w:t>
            </w:r>
          </w:p>
        </w:tc>
        <w:tc>
          <w:tcPr>
            <w:tcW w:w="822" w:type="dxa"/>
            <w:tcBorders>
              <w:top w:val="single" w:sz="6" w:space="0" w:color="auto"/>
              <w:left w:val="single" w:sz="6" w:space="0" w:color="auto"/>
              <w:bottom w:val="single" w:sz="6" w:space="0" w:color="auto"/>
              <w:right w:val="single" w:sz="6" w:space="0" w:color="auto"/>
            </w:tcBorders>
          </w:tcPr>
          <w:p w14:paraId="2D982989"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5 757</w:t>
            </w:r>
          </w:p>
        </w:tc>
        <w:tc>
          <w:tcPr>
            <w:tcW w:w="822" w:type="dxa"/>
            <w:tcBorders>
              <w:top w:val="single" w:sz="6" w:space="0" w:color="auto"/>
              <w:left w:val="single" w:sz="6" w:space="0" w:color="auto"/>
              <w:bottom w:val="single" w:sz="6" w:space="0" w:color="auto"/>
              <w:right w:val="single" w:sz="6" w:space="0" w:color="auto"/>
            </w:tcBorders>
          </w:tcPr>
          <w:p w14:paraId="417E385F"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4 634</w:t>
            </w:r>
          </w:p>
        </w:tc>
        <w:tc>
          <w:tcPr>
            <w:tcW w:w="864" w:type="dxa"/>
            <w:tcBorders>
              <w:top w:val="single" w:sz="6" w:space="0" w:color="auto"/>
              <w:left w:val="single" w:sz="6" w:space="0" w:color="auto"/>
              <w:bottom w:val="single" w:sz="6" w:space="0" w:color="auto"/>
              <w:right w:val="single" w:sz="6" w:space="0" w:color="auto"/>
            </w:tcBorders>
          </w:tcPr>
          <w:p w14:paraId="224578EB"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6 789</w:t>
            </w:r>
          </w:p>
        </w:tc>
        <w:tc>
          <w:tcPr>
            <w:tcW w:w="850" w:type="dxa"/>
            <w:tcBorders>
              <w:top w:val="single" w:sz="6" w:space="0" w:color="auto"/>
              <w:left w:val="single" w:sz="6" w:space="0" w:color="auto"/>
              <w:bottom w:val="single" w:sz="6" w:space="0" w:color="auto"/>
              <w:right w:val="single" w:sz="6" w:space="0" w:color="auto"/>
            </w:tcBorders>
          </w:tcPr>
          <w:p w14:paraId="5E3C9221"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6 610</w:t>
            </w:r>
          </w:p>
        </w:tc>
        <w:tc>
          <w:tcPr>
            <w:tcW w:w="885" w:type="dxa"/>
            <w:tcBorders>
              <w:top w:val="single" w:sz="6" w:space="0" w:color="auto"/>
              <w:left w:val="single" w:sz="6" w:space="0" w:color="auto"/>
              <w:bottom w:val="single" w:sz="6" w:space="0" w:color="auto"/>
              <w:right w:val="single" w:sz="6" w:space="0" w:color="auto"/>
            </w:tcBorders>
          </w:tcPr>
          <w:p w14:paraId="54BEF61F" w14:textId="77777777" w:rsidR="00814801" w:rsidRPr="003954D9" w:rsidRDefault="00814801">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4 006</w:t>
            </w:r>
          </w:p>
        </w:tc>
      </w:tr>
      <w:tr w:rsidR="00814801" w:rsidRPr="003954D9" w14:paraId="2ED2AE32" w14:textId="77777777" w:rsidTr="00C455B4">
        <w:trPr>
          <w:trHeight w:val="290"/>
        </w:trPr>
        <w:tc>
          <w:tcPr>
            <w:tcW w:w="1730" w:type="dxa"/>
            <w:tcBorders>
              <w:top w:val="single" w:sz="6" w:space="0" w:color="auto"/>
              <w:left w:val="single" w:sz="6" w:space="0" w:color="auto"/>
              <w:bottom w:val="single" w:sz="6" w:space="0" w:color="auto"/>
              <w:right w:val="single" w:sz="6" w:space="0" w:color="auto"/>
            </w:tcBorders>
          </w:tcPr>
          <w:p w14:paraId="19403B35" w14:textId="60986626" w:rsidR="00814801" w:rsidRPr="003954D9" w:rsidRDefault="00DD3DF3">
            <w:pPr>
              <w:autoSpaceDE w:val="0"/>
              <w:autoSpaceDN w:val="0"/>
              <w:adjustRightInd w:val="0"/>
              <w:rPr>
                <w:rFonts w:ascii="Calibri" w:hAnsi="Calibri" w:cs="Calibri"/>
                <w:b/>
                <w:color w:val="000000"/>
                <w:sz w:val="16"/>
                <w:szCs w:val="16"/>
              </w:rPr>
            </w:pPr>
            <w:r>
              <w:rPr>
                <w:rFonts w:ascii="Calibri" w:hAnsi="Calibri" w:cs="Calibri"/>
                <w:b/>
                <w:color w:val="000000"/>
                <w:sz w:val="16"/>
                <w:szCs w:val="16"/>
              </w:rPr>
              <w:t>Övr.</w:t>
            </w:r>
            <w:r w:rsidR="00814801" w:rsidRPr="003954D9">
              <w:rPr>
                <w:rFonts w:ascii="Calibri" w:hAnsi="Calibri" w:cs="Calibri"/>
                <w:b/>
                <w:color w:val="000000"/>
                <w:sz w:val="16"/>
                <w:szCs w:val="16"/>
              </w:rPr>
              <w:t xml:space="preserve"> hushåll m. barn</w:t>
            </w:r>
          </w:p>
        </w:tc>
        <w:tc>
          <w:tcPr>
            <w:tcW w:w="806" w:type="dxa"/>
            <w:tcBorders>
              <w:top w:val="single" w:sz="6" w:space="0" w:color="auto"/>
              <w:left w:val="single" w:sz="6" w:space="0" w:color="auto"/>
              <w:bottom w:val="single" w:sz="6" w:space="0" w:color="auto"/>
              <w:right w:val="single" w:sz="6" w:space="0" w:color="auto"/>
            </w:tcBorders>
          </w:tcPr>
          <w:p w14:paraId="502C1022" w14:textId="77777777" w:rsidR="00814801" w:rsidRPr="003954D9" w:rsidRDefault="00814801">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2 533</w:t>
            </w:r>
          </w:p>
        </w:tc>
        <w:tc>
          <w:tcPr>
            <w:tcW w:w="885" w:type="dxa"/>
            <w:tcBorders>
              <w:top w:val="single" w:sz="6" w:space="0" w:color="auto"/>
              <w:left w:val="single" w:sz="6" w:space="0" w:color="auto"/>
              <w:bottom w:val="single" w:sz="6" w:space="0" w:color="auto"/>
              <w:right w:val="single" w:sz="6" w:space="0" w:color="auto"/>
            </w:tcBorders>
          </w:tcPr>
          <w:p w14:paraId="4573C4D0"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4 680</w:t>
            </w:r>
          </w:p>
        </w:tc>
        <w:tc>
          <w:tcPr>
            <w:tcW w:w="822" w:type="dxa"/>
            <w:tcBorders>
              <w:top w:val="single" w:sz="6" w:space="0" w:color="auto"/>
              <w:left w:val="single" w:sz="6" w:space="0" w:color="auto"/>
              <w:bottom w:val="single" w:sz="6" w:space="0" w:color="auto"/>
              <w:right w:val="single" w:sz="6" w:space="0" w:color="auto"/>
            </w:tcBorders>
          </w:tcPr>
          <w:p w14:paraId="05523EF3"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6 553</w:t>
            </w:r>
          </w:p>
        </w:tc>
        <w:tc>
          <w:tcPr>
            <w:tcW w:w="822" w:type="dxa"/>
            <w:tcBorders>
              <w:top w:val="single" w:sz="6" w:space="0" w:color="auto"/>
              <w:left w:val="single" w:sz="6" w:space="0" w:color="auto"/>
              <w:bottom w:val="single" w:sz="6" w:space="0" w:color="auto"/>
              <w:right w:val="single" w:sz="6" w:space="0" w:color="auto"/>
            </w:tcBorders>
          </w:tcPr>
          <w:p w14:paraId="3F45AC85"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3 825</w:t>
            </w:r>
          </w:p>
        </w:tc>
        <w:tc>
          <w:tcPr>
            <w:tcW w:w="821" w:type="dxa"/>
            <w:tcBorders>
              <w:top w:val="single" w:sz="6" w:space="0" w:color="auto"/>
              <w:left w:val="single" w:sz="6" w:space="0" w:color="auto"/>
              <w:bottom w:val="single" w:sz="6" w:space="0" w:color="auto"/>
              <w:right w:val="single" w:sz="6" w:space="0" w:color="auto"/>
            </w:tcBorders>
          </w:tcPr>
          <w:p w14:paraId="6EF845A7"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6 245</w:t>
            </w:r>
          </w:p>
        </w:tc>
        <w:tc>
          <w:tcPr>
            <w:tcW w:w="822" w:type="dxa"/>
            <w:tcBorders>
              <w:top w:val="single" w:sz="6" w:space="0" w:color="auto"/>
              <w:left w:val="single" w:sz="6" w:space="0" w:color="auto"/>
              <w:bottom w:val="single" w:sz="6" w:space="0" w:color="auto"/>
              <w:right w:val="single" w:sz="6" w:space="0" w:color="auto"/>
            </w:tcBorders>
          </w:tcPr>
          <w:p w14:paraId="4595019E"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3 632</w:t>
            </w:r>
          </w:p>
        </w:tc>
        <w:tc>
          <w:tcPr>
            <w:tcW w:w="822" w:type="dxa"/>
            <w:tcBorders>
              <w:top w:val="single" w:sz="6" w:space="0" w:color="auto"/>
              <w:left w:val="single" w:sz="6" w:space="0" w:color="auto"/>
              <w:bottom w:val="single" w:sz="6" w:space="0" w:color="auto"/>
              <w:right w:val="single" w:sz="6" w:space="0" w:color="auto"/>
            </w:tcBorders>
          </w:tcPr>
          <w:p w14:paraId="006BDE3F"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2 825</w:t>
            </w:r>
          </w:p>
        </w:tc>
        <w:tc>
          <w:tcPr>
            <w:tcW w:w="864" w:type="dxa"/>
            <w:tcBorders>
              <w:top w:val="single" w:sz="6" w:space="0" w:color="auto"/>
              <w:left w:val="single" w:sz="6" w:space="0" w:color="auto"/>
              <w:bottom w:val="single" w:sz="6" w:space="0" w:color="auto"/>
              <w:right w:val="single" w:sz="6" w:space="0" w:color="auto"/>
            </w:tcBorders>
          </w:tcPr>
          <w:p w14:paraId="4539D42E" w14:textId="77777777" w:rsidR="00814801" w:rsidRPr="003954D9" w:rsidRDefault="00814801">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6 583</w:t>
            </w:r>
          </w:p>
        </w:tc>
        <w:tc>
          <w:tcPr>
            <w:tcW w:w="850" w:type="dxa"/>
            <w:tcBorders>
              <w:top w:val="single" w:sz="6" w:space="0" w:color="auto"/>
              <w:left w:val="single" w:sz="6" w:space="0" w:color="auto"/>
              <w:bottom w:val="single" w:sz="6" w:space="0" w:color="auto"/>
              <w:right w:val="single" w:sz="6" w:space="0" w:color="auto"/>
            </w:tcBorders>
          </w:tcPr>
          <w:p w14:paraId="568DB284"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5 398</w:t>
            </w:r>
          </w:p>
        </w:tc>
        <w:tc>
          <w:tcPr>
            <w:tcW w:w="885" w:type="dxa"/>
            <w:tcBorders>
              <w:top w:val="single" w:sz="6" w:space="0" w:color="auto"/>
              <w:left w:val="single" w:sz="6" w:space="0" w:color="auto"/>
              <w:bottom w:val="single" w:sz="6" w:space="0" w:color="auto"/>
              <w:right w:val="single" w:sz="6" w:space="0" w:color="auto"/>
            </w:tcBorders>
          </w:tcPr>
          <w:p w14:paraId="1506540A"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2 634</w:t>
            </w:r>
          </w:p>
        </w:tc>
      </w:tr>
      <w:tr w:rsidR="00814801" w:rsidRPr="003954D9" w14:paraId="074D6DB8" w14:textId="77777777" w:rsidTr="00C455B4">
        <w:trPr>
          <w:trHeight w:val="290"/>
        </w:trPr>
        <w:tc>
          <w:tcPr>
            <w:tcW w:w="1730" w:type="dxa"/>
            <w:tcBorders>
              <w:top w:val="single" w:sz="6" w:space="0" w:color="auto"/>
              <w:left w:val="single" w:sz="6" w:space="0" w:color="auto"/>
              <w:bottom w:val="single" w:sz="6" w:space="0" w:color="auto"/>
              <w:right w:val="single" w:sz="6" w:space="0" w:color="auto"/>
            </w:tcBorders>
          </w:tcPr>
          <w:p w14:paraId="63716E3B" w14:textId="77777777" w:rsidR="00814801" w:rsidRPr="003954D9" w:rsidRDefault="00814801">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Alla</w:t>
            </w:r>
          </w:p>
        </w:tc>
        <w:tc>
          <w:tcPr>
            <w:tcW w:w="806" w:type="dxa"/>
            <w:tcBorders>
              <w:top w:val="single" w:sz="6" w:space="0" w:color="auto"/>
              <w:left w:val="single" w:sz="6" w:space="0" w:color="auto"/>
              <w:bottom w:val="single" w:sz="6" w:space="0" w:color="auto"/>
              <w:right w:val="single" w:sz="6" w:space="0" w:color="auto"/>
            </w:tcBorders>
          </w:tcPr>
          <w:p w14:paraId="119EC4DF" w14:textId="77777777" w:rsidR="00814801" w:rsidRPr="003954D9" w:rsidRDefault="00814801">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2 200</w:t>
            </w:r>
          </w:p>
        </w:tc>
        <w:tc>
          <w:tcPr>
            <w:tcW w:w="885" w:type="dxa"/>
            <w:tcBorders>
              <w:top w:val="single" w:sz="6" w:space="0" w:color="auto"/>
              <w:left w:val="single" w:sz="6" w:space="0" w:color="auto"/>
              <w:bottom w:val="single" w:sz="6" w:space="0" w:color="auto"/>
              <w:right w:val="single" w:sz="6" w:space="0" w:color="auto"/>
            </w:tcBorders>
          </w:tcPr>
          <w:p w14:paraId="12F36705"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4 026</w:t>
            </w:r>
          </w:p>
        </w:tc>
        <w:tc>
          <w:tcPr>
            <w:tcW w:w="822" w:type="dxa"/>
            <w:tcBorders>
              <w:top w:val="single" w:sz="6" w:space="0" w:color="auto"/>
              <w:left w:val="single" w:sz="6" w:space="0" w:color="auto"/>
              <w:bottom w:val="single" w:sz="6" w:space="0" w:color="auto"/>
              <w:right w:val="single" w:sz="6" w:space="0" w:color="auto"/>
            </w:tcBorders>
          </w:tcPr>
          <w:p w14:paraId="1EC3F3A6"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6 056</w:t>
            </w:r>
          </w:p>
        </w:tc>
        <w:tc>
          <w:tcPr>
            <w:tcW w:w="822" w:type="dxa"/>
            <w:tcBorders>
              <w:top w:val="single" w:sz="6" w:space="0" w:color="auto"/>
              <w:left w:val="single" w:sz="6" w:space="0" w:color="auto"/>
              <w:bottom w:val="single" w:sz="6" w:space="0" w:color="auto"/>
              <w:right w:val="single" w:sz="6" w:space="0" w:color="auto"/>
            </w:tcBorders>
          </w:tcPr>
          <w:p w14:paraId="5E66F00F"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4 504</w:t>
            </w:r>
          </w:p>
        </w:tc>
        <w:tc>
          <w:tcPr>
            <w:tcW w:w="821" w:type="dxa"/>
            <w:tcBorders>
              <w:top w:val="single" w:sz="6" w:space="0" w:color="auto"/>
              <w:left w:val="single" w:sz="6" w:space="0" w:color="auto"/>
              <w:bottom w:val="single" w:sz="6" w:space="0" w:color="auto"/>
              <w:right w:val="single" w:sz="6" w:space="0" w:color="auto"/>
            </w:tcBorders>
          </w:tcPr>
          <w:p w14:paraId="2E14579A" w14:textId="77777777" w:rsidR="00814801" w:rsidRPr="003954D9" w:rsidRDefault="00814801">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6 330</w:t>
            </w:r>
          </w:p>
        </w:tc>
        <w:tc>
          <w:tcPr>
            <w:tcW w:w="822" w:type="dxa"/>
            <w:tcBorders>
              <w:top w:val="single" w:sz="6" w:space="0" w:color="auto"/>
              <w:left w:val="single" w:sz="6" w:space="0" w:color="auto"/>
              <w:bottom w:val="single" w:sz="6" w:space="0" w:color="auto"/>
              <w:right w:val="single" w:sz="6" w:space="0" w:color="auto"/>
            </w:tcBorders>
          </w:tcPr>
          <w:p w14:paraId="5D7174DA"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3 656</w:t>
            </w:r>
          </w:p>
        </w:tc>
        <w:tc>
          <w:tcPr>
            <w:tcW w:w="822" w:type="dxa"/>
            <w:tcBorders>
              <w:top w:val="single" w:sz="6" w:space="0" w:color="auto"/>
              <w:left w:val="single" w:sz="6" w:space="0" w:color="auto"/>
              <w:bottom w:val="single" w:sz="6" w:space="0" w:color="auto"/>
              <w:right w:val="single" w:sz="6" w:space="0" w:color="auto"/>
            </w:tcBorders>
          </w:tcPr>
          <w:p w14:paraId="649CBB17"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2 618</w:t>
            </w:r>
          </w:p>
        </w:tc>
        <w:tc>
          <w:tcPr>
            <w:tcW w:w="864" w:type="dxa"/>
            <w:tcBorders>
              <w:top w:val="single" w:sz="6" w:space="0" w:color="auto"/>
              <w:left w:val="single" w:sz="6" w:space="0" w:color="auto"/>
              <w:bottom w:val="single" w:sz="6" w:space="0" w:color="auto"/>
              <w:right w:val="single" w:sz="6" w:space="0" w:color="auto"/>
            </w:tcBorders>
          </w:tcPr>
          <w:p w14:paraId="6BC250C6"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5 858</w:t>
            </w:r>
          </w:p>
        </w:tc>
        <w:tc>
          <w:tcPr>
            <w:tcW w:w="850" w:type="dxa"/>
            <w:tcBorders>
              <w:top w:val="single" w:sz="6" w:space="0" w:color="auto"/>
              <w:left w:val="single" w:sz="6" w:space="0" w:color="auto"/>
              <w:bottom w:val="single" w:sz="6" w:space="0" w:color="auto"/>
              <w:right w:val="single" w:sz="6" w:space="0" w:color="auto"/>
            </w:tcBorders>
          </w:tcPr>
          <w:p w14:paraId="18A19998"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5 125</w:t>
            </w:r>
          </w:p>
        </w:tc>
        <w:tc>
          <w:tcPr>
            <w:tcW w:w="885" w:type="dxa"/>
            <w:tcBorders>
              <w:top w:val="single" w:sz="6" w:space="0" w:color="auto"/>
              <w:left w:val="single" w:sz="6" w:space="0" w:color="auto"/>
              <w:bottom w:val="single" w:sz="6" w:space="0" w:color="auto"/>
              <w:right w:val="single" w:sz="6" w:space="0" w:color="auto"/>
            </w:tcBorders>
          </w:tcPr>
          <w:p w14:paraId="0A8E11CC" w14:textId="77777777" w:rsidR="00814801" w:rsidRPr="003954D9" w:rsidRDefault="00814801">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2 482</w:t>
            </w:r>
          </w:p>
        </w:tc>
      </w:tr>
    </w:tbl>
    <w:p w14:paraId="3BFF7D79" w14:textId="77777777" w:rsidR="00C455B4" w:rsidRPr="003954D9" w:rsidRDefault="00C455B4" w:rsidP="00C455B4">
      <w:pPr>
        <w:rPr>
          <w:sz w:val="16"/>
          <w:szCs w:val="16"/>
        </w:rPr>
      </w:pPr>
      <w:r w:rsidRPr="00DD227A">
        <w:rPr>
          <w:b/>
          <w:color w:val="FF0000"/>
          <w:sz w:val="16"/>
          <w:szCs w:val="16"/>
        </w:rPr>
        <w:t>Röd färg högsta</w:t>
      </w:r>
      <w:r w:rsidRPr="00DD227A">
        <w:rPr>
          <w:color w:val="FF0000"/>
          <w:sz w:val="16"/>
          <w:szCs w:val="16"/>
        </w:rPr>
        <w:t xml:space="preserve"> </w:t>
      </w:r>
      <w:r w:rsidRPr="003954D9">
        <w:rPr>
          <w:sz w:val="16"/>
          <w:szCs w:val="16"/>
        </w:rPr>
        <w:t xml:space="preserve">och </w:t>
      </w:r>
      <w:r w:rsidRPr="00DD227A">
        <w:rPr>
          <w:b/>
          <w:color w:val="0070C0"/>
          <w:sz w:val="16"/>
          <w:szCs w:val="16"/>
        </w:rPr>
        <w:t>blå färg lägsta</w:t>
      </w:r>
      <w:r w:rsidRPr="00DD227A">
        <w:rPr>
          <w:color w:val="0070C0"/>
          <w:sz w:val="16"/>
          <w:szCs w:val="16"/>
        </w:rPr>
        <w:t xml:space="preserve"> </w:t>
      </w:r>
      <w:r w:rsidRPr="003954D9">
        <w:rPr>
          <w:sz w:val="16"/>
          <w:szCs w:val="16"/>
        </w:rPr>
        <w:t>värde i grupp.</w:t>
      </w:r>
    </w:p>
    <w:p w14:paraId="5F9562A3" w14:textId="77777777" w:rsidR="00814801" w:rsidRPr="003954D9" w:rsidRDefault="00814801" w:rsidP="00814801">
      <w:pPr>
        <w:rPr>
          <w:lang w:eastAsia="en-US"/>
        </w:rPr>
      </w:pPr>
    </w:p>
    <w:p w14:paraId="52B86A63" w14:textId="2AA5600B" w:rsidR="002375E3" w:rsidRPr="003954D9" w:rsidRDefault="002375E3" w:rsidP="00540A4D">
      <w:pPr>
        <w:pStyle w:val="Rubrik3"/>
      </w:pPr>
      <w:bookmarkStart w:id="136" w:name="_Toc463184417"/>
      <w:bookmarkStart w:id="137" w:name="_Toc464828422"/>
      <w:r w:rsidRPr="003954D9">
        <w:t xml:space="preserve">Hushållstyper i stadsdelarna - effekterna av en hyreshöjning på 5 </w:t>
      </w:r>
      <w:r w:rsidR="00475673" w:rsidRPr="003954D9">
        <w:t>procent</w:t>
      </w:r>
      <w:bookmarkEnd w:id="136"/>
      <w:bookmarkEnd w:id="137"/>
      <w:r w:rsidRPr="003954D9">
        <w:t xml:space="preserve"> </w:t>
      </w:r>
    </w:p>
    <w:p w14:paraId="4F27F67D" w14:textId="331B9691" w:rsidR="00D61B3A" w:rsidRPr="003954D9" w:rsidRDefault="00D61B3A" w:rsidP="00D61B3A">
      <w:r w:rsidRPr="003954D9">
        <w:t xml:space="preserve">Av de tio olika hushållstyperna </w:t>
      </w:r>
      <w:r w:rsidR="00420515" w:rsidRPr="003954D9">
        <w:t>i undersökningen har Angered det</w:t>
      </w:r>
      <w:r w:rsidRPr="003954D9">
        <w:t xml:space="preserve"> största an</w:t>
      </w:r>
      <w:r w:rsidR="00420515" w:rsidRPr="003954D9">
        <w:t xml:space="preserve">talet </w:t>
      </w:r>
      <w:r w:rsidRPr="003954D9">
        <w:t>hushåll</w:t>
      </w:r>
      <w:r w:rsidR="00420515" w:rsidRPr="003954D9">
        <w:t>styper</w:t>
      </w:r>
      <w:r w:rsidRPr="003954D9">
        <w:t xml:space="preserve"> i riskzonen efter en hyreshöjning på 5 </w:t>
      </w:r>
      <w:r w:rsidR="00475673" w:rsidRPr="003954D9">
        <w:t>procent</w:t>
      </w:r>
      <w:r w:rsidR="00420515" w:rsidRPr="003954D9">
        <w:t xml:space="preserve"> med</w:t>
      </w:r>
      <w:r w:rsidRPr="003954D9">
        <w:t xml:space="preserve"> sex hushållstyper </w:t>
      </w:r>
      <w:r w:rsidR="00AE6E35">
        <w:t>följt av</w:t>
      </w:r>
      <w:r w:rsidRPr="003954D9">
        <w:t xml:space="preserve"> Östra Göteb</w:t>
      </w:r>
      <w:r w:rsidR="00420515" w:rsidRPr="003954D9">
        <w:t>org med</w:t>
      </w:r>
      <w:r w:rsidRPr="003954D9">
        <w:t xml:space="preserve"> tre. Högsta värdet får ensamstående med barn </w:t>
      </w:r>
      <w:r w:rsidR="00365C66" w:rsidRPr="003954D9">
        <w:t>0–19</w:t>
      </w:r>
      <w:r w:rsidRPr="003954D9">
        <w:t xml:space="preserve"> år i Angered (32 procent) och i Östra Göteborg (34</w:t>
      </w:r>
      <w:r w:rsidR="00AE6E35">
        <w:t xml:space="preserve"> p</w:t>
      </w:r>
      <w:r w:rsidR="00475673" w:rsidRPr="003954D9">
        <w:t>rocent</w:t>
      </w:r>
      <w:r w:rsidRPr="003954D9">
        <w:t xml:space="preserve">) följda av ensamboende utan barn </w:t>
      </w:r>
      <w:r w:rsidR="00365C66" w:rsidRPr="003954D9">
        <w:t>18–64</w:t>
      </w:r>
      <w:r w:rsidRPr="003954D9">
        <w:t xml:space="preserve"> år i Angered (30 procent) samt samboende med 3 och fler i Östra Göteborg (28 procent). </w:t>
      </w:r>
    </w:p>
    <w:p w14:paraId="4B27FD10" w14:textId="6F843E3F" w:rsidR="00D61B3A" w:rsidRPr="003954D9" w:rsidRDefault="00D61B3A" w:rsidP="00D61B3A">
      <w:r w:rsidRPr="003954D9">
        <w:t xml:space="preserve">Hushållen som klarar sig bäst återfinns samtliga i stadsdelarna Örgryte-Härlanda, Majorna-Linnéstaden och Centrum. De lägsta andelarna </w:t>
      </w:r>
      <w:r w:rsidR="00AE6E35">
        <w:t xml:space="preserve">hushåll i riskzonen </w:t>
      </w:r>
      <w:r w:rsidRPr="003954D9">
        <w:t>finns i Majorna-Linné</w:t>
      </w:r>
      <w:r w:rsidR="00CB657C" w:rsidRPr="003954D9">
        <w:t>staden</w:t>
      </w:r>
      <w:r w:rsidRPr="003954D9">
        <w:t xml:space="preserve"> bland samboende med 1 och 2 barn </w:t>
      </w:r>
      <w:r w:rsidR="00365C66" w:rsidRPr="003954D9">
        <w:t>0–19</w:t>
      </w:r>
      <w:r w:rsidRPr="003954D9">
        <w:t xml:space="preserve"> år</w:t>
      </w:r>
      <w:r w:rsidR="00185E91" w:rsidRPr="003954D9">
        <w:t xml:space="preserve">. Dock kan det rymmas ännu lägre andelar i de rutor där uppgifter inte redovisas </w:t>
      </w:r>
      <w:r w:rsidR="00AE6E35">
        <w:t xml:space="preserve">eftersom </w:t>
      </w:r>
      <w:r w:rsidR="00185E91" w:rsidRPr="003954D9">
        <w:t>antalet observationer var för få.</w:t>
      </w:r>
      <w:r w:rsidR="00DD227A">
        <w:t xml:space="preserve"> Se tabell 5:6.</w:t>
      </w:r>
    </w:p>
    <w:p w14:paraId="5CEE599F" w14:textId="29F1C6DB" w:rsidR="002375E3" w:rsidRPr="003954D9" w:rsidRDefault="008D5695" w:rsidP="00B12933">
      <w:pPr>
        <w:pStyle w:val="Rubrik5"/>
      </w:pPr>
      <w:r w:rsidRPr="003954D9">
        <w:t xml:space="preserve">Tabell </w:t>
      </w:r>
      <w:r w:rsidR="005B413F" w:rsidRPr="003954D9">
        <w:t>5:</w:t>
      </w:r>
      <w:r w:rsidR="000B781A" w:rsidRPr="003954D9">
        <w:t>6</w:t>
      </w:r>
      <w:r w:rsidRPr="003954D9">
        <w:t>: Andel och antal i riskzonen efter hyreshöjning på 5 procent, hushållstyp och stadsdel</w:t>
      </w:r>
    </w:p>
    <w:tbl>
      <w:tblPr>
        <w:tblW w:w="9722" w:type="dxa"/>
        <w:tblInd w:w="-38" w:type="dxa"/>
        <w:tblLayout w:type="fixed"/>
        <w:tblCellMar>
          <w:left w:w="70" w:type="dxa"/>
          <w:right w:w="70" w:type="dxa"/>
        </w:tblCellMar>
        <w:tblLook w:val="0000" w:firstRow="0" w:lastRow="0" w:firstColumn="0" w:lastColumn="0" w:noHBand="0" w:noVBand="0"/>
      </w:tblPr>
      <w:tblGrid>
        <w:gridCol w:w="1873"/>
        <w:gridCol w:w="709"/>
        <w:gridCol w:w="838"/>
        <w:gridCol w:w="721"/>
        <w:gridCol w:w="677"/>
        <w:gridCol w:w="806"/>
        <w:gridCol w:w="821"/>
        <w:gridCol w:w="759"/>
        <w:gridCol w:w="764"/>
        <w:gridCol w:w="851"/>
        <w:gridCol w:w="903"/>
      </w:tblGrid>
      <w:tr w:rsidR="00D61B3A" w:rsidRPr="003954D9" w14:paraId="4D5CC7C7"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13333CAC" w14:textId="77777777" w:rsidR="00A434EF" w:rsidRPr="003954D9" w:rsidRDefault="00A434EF">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Hushållstyp</w:t>
            </w:r>
          </w:p>
        </w:tc>
        <w:tc>
          <w:tcPr>
            <w:tcW w:w="709" w:type="dxa"/>
            <w:tcBorders>
              <w:top w:val="single" w:sz="6" w:space="0" w:color="auto"/>
              <w:left w:val="single" w:sz="6" w:space="0" w:color="auto"/>
              <w:bottom w:val="single" w:sz="6" w:space="0" w:color="auto"/>
              <w:right w:val="single" w:sz="6" w:space="0" w:color="auto"/>
            </w:tcBorders>
          </w:tcPr>
          <w:p w14:paraId="2FAB5E3D" w14:textId="77777777" w:rsidR="00A434EF" w:rsidRPr="003954D9" w:rsidRDefault="00A434E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38" w:type="dxa"/>
            <w:tcBorders>
              <w:top w:val="single" w:sz="6" w:space="0" w:color="auto"/>
              <w:left w:val="single" w:sz="6" w:space="0" w:color="auto"/>
              <w:bottom w:val="single" w:sz="6" w:space="0" w:color="auto"/>
              <w:right w:val="single" w:sz="6" w:space="0" w:color="auto"/>
            </w:tcBorders>
          </w:tcPr>
          <w:p w14:paraId="5C4B1623" w14:textId="77777777" w:rsidR="00A434EF" w:rsidRPr="003954D9" w:rsidRDefault="00A434E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21" w:type="dxa"/>
            <w:tcBorders>
              <w:top w:val="single" w:sz="6" w:space="0" w:color="auto"/>
              <w:left w:val="single" w:sz="6" w:space="0" w:color="auto"/>
              <w:bottom w:val="single" w:sz="6" w:space="0" w:color="auto"/>
              <w:right w:val="single" w:sz="6" w:space="0" w:color="auto"/>
            </w:tcBorders>
          </w:tcPr>
          <w:p w14:paraId="479D1D99" w14:textId="77777777" w:rsidR="00A434EF" w:rsidRPr="003954D9" w:rsidRDefault="00A434E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677" w:type="dxa"/>
            <w:tcBorders>
              <w:top w:val="single" w:sz="6" w:space="0" w:color="auto"/>
              <w:left w:val="single" w:sz="6" w:space="0" w:color="auto"/>
              <w:bottom w:val="single" w:sz="6" w:space="0" w:color="auto"/>
              <w:right w:val="single" w:sz="6" w:space="0" w:color="auto"/>
            </w:tcBorders>
          </w:tcPr>
          <w:p w14:paraId="71854B19" w14:textId="77777777" w:rsidR="00A434EF" w:rsidRPr="003954D9" w:rsidRDefault="00A434E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06" w:type="dxa"/>
            <w:tcBorders>
              <w:top w:val="single" w:sz="6" w:space="0" w:color="auto"/>
              <w:left w:val="single" w:sz="6" w:space="0" w:color="auto"/>
              <w:bottom w:val="single" w:sz="6" w:space="0" w:color="auto"/>
              <w:right w:val="single" w:sz="6" w:space="0" w:color="auto"/>
            </w:tcBorders>
          </w:tcPr>
          <w:p w14:paraId="219EFA17" w14:textId="77777777" w:rsidR="00A434EF" w:rsidRPr="003954D9" w:rsidRDefault="00A434E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Majorna-Linne</w:t>
            </w:r>
          </w:p>
        </w:tc>
        <w:tc>
          <w:tcPr>
            <w:tcW w:w="821" w:type="dxa"/>
            <w:tcBorders>
              <w:top w:val="single" w:sz="6" w:space="0" w:color="auto"/>
              <w:left w:val="single" w:sz="6" w:space="0" w:color="auto"/>
              <w:bottom w:val="single" w:sz="6" w:space="0" w:color="auto"/>
              <w:right w:val="single" w:sz="6" w:space="0" w:color="auto"/>
            </w:tcBorders>
          </w:tcPr>
          <w:p w14:paraId="6AED0F82" w14:textId="77777777" w:rsidR="00A434EF" w:rsidRPr="003954D9" w:rsidRDefault="00A434E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59" w:type="dxa"/>
            <w:tcBorders>
              <w:top w:val="single" w:sz="6" w:space="0" w:color="auto"/>
              <w:left w:val="single" w:sz="6" w:space="0" w:color="auto"/>
              <w:bottom w:val="single" w:sz="6" w:space="0" w:color="auto"/>
              <w:right w:val="single" w:sz="6" w:space="0" w:color="auto"/>
            </w:tcBorders>
          </w:tcPr>
          <w:p w14:paraId="2378CF30" w14:textId="77777777" w:rsidR="00A434EF" w:rsidRPr="003954D9" w:rsidRDefault="00A434E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64" w:type="dxa"/>
            <w:tcBorders>
              <w:top w:val="single" w:sz="6" w:space="0" w:color="auto"/>
              <w:left w:val="single" w:sz="6" w:space="0" w:color="auto"/>
              <w:bottom w:val="single" w:sz="6" w:space="0" w:color="auto"/>
              <w:right w:val="single" w:sz="6" w:space="0" w:color="auto"/>
            </w:tcBorders>
          </w:tcPr>
          <w:p w14:paraId="6CB119B6" w14:textId="77777777" w:rsidR="00A434EF" w:rsidRPr="003954D9" w:rsidRDefault="00A434E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61343A93" w14:textId="77777777" w:rsidR="00A434EF" w:rsidRPr="003954D9" w:rsidRDefault="00A434E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03" w:type="dxa"/>
            <w:tcBorders>
              <w:top w:val="single" w:sz="6" w:space="0" w:color="auto"/>
              <w:left w:val="single" w:sz="6" w:space="0" w:color="auto"/>
              <w:bottom w:val="single" w:sz="6" w:space="0" w:color="auto"/>
              <w:right w:val="single" w:sz="6" w:space="0" w:color="auto"/>
            </w:tcBorders>
          </w:tcPr>
          <w:p w14:paraId="2BB80321" w14:textId="77777777" w:rsidR="00A434EF" w:rsidRPr="003954D9" w:rsidRDefault="00A434E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D61B3A" w:rsidRPr="003954D9" w14:paraId="54792251"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7B68FF5F" w14:textId="0821A594" w:rsidR="00A434EF" w:rsidRPr="003954D9" w:rsidRDefault="00A434EF">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0619D6CD" w14:textId="77777777" w:rsidR="00A434EF" w:rsidRPr="003954D9" w:rsidRDefault="00A434EF">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30,0</w:t>
            </w:r>
          </w:p>
        </w:tc>
        <w:tc>
          <w:tcPr>
            <w:tcW w:w="838" w:type="dxa"/>
            <w:tcBorders>
              <w:top w:val="single" w:sz="6" w:space="0" w:color="auto"/>
              <w:left w:val="single" w:sz="6" w:space="0" w:color="auto"/>
              <w:bottom w:val="single" w:sz="6" w:space="0" w:color="auto"/>
              <w:right w:val="single" w:sz="6" w:space="0" w:color="auto"/>
            </w:tcBorders>
          </w:tcPr>
          <w:p w14:paraId="2852308B"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20,3</w:t>
            </w:r>
          </w:p>
        </w:tc>
        <w:tc>
          <w:tcPr>
            <w:tcW w:w="721" w:type="dxa"/>
            <w:tcBorders>
              <w:top w:val="single" w:sz="6" w:space="0" w:color="auto"/>
              <w:left w:val="single" w:sz="6" w:space="0" w:color="auto"/>
              <w:bottom w:val="single" w:sz="6" w:space="0" w:color="auto"/>
              <w:right w:val="single" w:sz="6" w:space="0" w:color="auto"/>
            </w:tcBorders>
          </w:tcPr>
          <w:p w14:paraId="741D1591"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18,4</w:t>
            </w:r>
          </w:p>
        </w:tc>
        <w:tc>
          <w:tcPr>
            <w:tcW w:w="677" w:type="dxa"/>
            <w:tcBorders>
              <w:top w:val="single" w:sz="6" w:space="0" w:color="auto"/>
              <w:left w:val="single" w:sz="6" w:space="0" w:color="auto"/>
              <w:bottom w:val="single" w:sz="6" w:space="0" w:color="auto"/>
              <w:right w:val="single" w:sz="6" w:space="0" w:color="auto"/>
            </w:tcBorders>
          </w:tcPr>
          <w:p w14:paraId="1AD14A0C"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17,8</w:t>
            </w:r>
          </w:p>
        </w:tc>
        <w:tc>
          <w:tcPr>
            <w:tcW w:w="806" w:type="dxa"/>
            <w:tcBorders>
              <w:top w:val="single" w:sz="6" w:space="0" w:color="auto"/>
              <w:left w:val="single" w:sz="6" w:space="0" w:color="auto"/>
              <w:bottom w:val="single" w:sz="6" w:space="0" w:color="auto"/>
              <w:right w:val="single" w:sz="6" w:space="0" w:color="auto"/>
            </w:tcBorders>
          </w:tcPr>
          <w:p w14:paraId="6A127743"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821" w:type="dxa"/>
            <w:tcBorders>
              <w:top w:val="single" w:sz="6" w:space="0" w:color="auto"/>
              <w:left w:val="single" w:sz="6" w:space="0" w:color="auto"/>
              <w:bottom w:val="single" w:sz="6" w:space="0" w:color="auto"/>
              <w:right w:val="single" w:sz="6" w:space="0" w:color="auto"/>
            </w:tcBorders>
          </w:tcPr>
          <w:p w14:paraId="61763B6D"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20,9</w:t>
            </w:r>
          </w:p>
        </w:tc>
        <w:tc>
          <w:tcPr>
            <w:tcW w:w="759" w:type="dxa"/>
            <w:tcBorders>
              <w:top w:val="single" w:sz="6" w:space="0" w:color="auto"/>
              <w:left w:val="single" w:sz="6" w:space="0" w:color="auto"/>
              <w:bottom w:val="single" w:sz="6" w:space="0" w:color="auto"/>
              <w:right w:val="single" w:sz="6" w:space="0" w:color="auto"/>
            </w:tcBorders>
          </w:tcPr>
          <w:p w14:paraId="0FD2A8A1"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23,0</w:t>
            </w:r>
          </w:p>
        </w:tc>
        <w:tc>
          <w:tcPr>
            <w:tcW w:w="764" w:type="dxa"/>
            <w:tcBorders>
              <w:top w:val="single" w:sz="6" w:space="0" w:color="auto"/>
              <w:left w:val="single" w:sz="6" w:space="0" w:color="auto"/>
              <w:bottom w:val="single" w:sz="6" w:space="0" w:color="auto"/>
              <w:right w:val="single" w:sz="6" w:space="0" w:color="auto"/>
            </w:tcBorders>
          </w:tcPr>
          <w:p w14:paraId="1F9BEEC6"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15,7</w:t>
            </w:r>
          </w:p>
        </w:tc>
        <w:tc>
          <w:tcPr>
            <w:tcW w:w="851" w:type="dxa"/>
            <w:tcBorders>
              <w:top w:val="single" w:sz="6" w:space="0" w:color="auto"/>
              <w:left w:val="single" w:sz="6" w:space="0" w:color="auto"/>
              <w:bottom w:val="single" w:sz="6" w:space="0" w:color="auto"/>
              <w:right w:val="single" w:sz="6" w:space="0" w:color="auto"/>
            </w:tcBorders>
          </w:tcPr>
          <w:p w14:paraId="3C23E3F1" w14:textId="77777777" w:rsidR="00A434EF" w:rsidRPr="003954D9" w:rsidRDefault="00A434EF">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9,8</w:t>
            </w:r>
          </w:p>
        </w:tc>
        <w:tc>
          <w:tcPr>
            <w:tcW w:w="903" w:type="dxa"/>
            <w:tcBorders>
              <w:top w:val="single" w:sz="6" w:space="0" w:color="auto"/>
              <w:left w:val="single" w:sz="6" w:space="0" w:color="auto"/>
              <w:bottom w:val="single" w:sz="6" w:space="0" w:color="auto"/>
              <w:right w:val="single" w:sz="6" w:space="0" w:color="auto"/>
            </w:tcBorders>
          </w:tcPr>
          <w:p w14:paraId="47EC6F5D"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25,6</w:t>
            </w:r>
          </w:p>
        </w:tc>
      </w:tr>
      <w:tr w:rsidR="00D61B3A" w:rsidRPr="003954D9" w14:paraId="45923B50"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46266DF8" w14:textId="08403EB3" w:rsidR="00A434EF" w:rsidRPr="003954D9" w:rsidRDefault="00A434EF">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tcPr>
          <w:p w14:paraId="4B559630" w14:textId="77777777" w:rsidR="00A434EF" w:rsidRPr="003954D9" w:rsidRDefault="00A434EF">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15,9</w:t>
            </w:r>
          </w:p>
        </w:tc>
        <w:tc>
          <w:tcPr>
            <w:tcW w:w="838" w:type="dxa"/>
            <w:tcBorders>
              <w:top w:val="single" w:sz="6" w:space="0" w:color="auto"/>
              <w:left w:val="single" w:sz="6" w:space="0" w:color="auto"/>
              <w:bottom w:val="single" w:sz="6" w:space="0" w:color="auto"/>
              <w:right w:val="single" w:sz="6" w:space="0" w:color="auto"/>
            </w:tcBorders>
          </w:tcPr>
          <w:p w14:paraId="2D6F9A23"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13,5</w:t>
            </w:r>
          </w:p>
        </w:tc>
        <w:tc>
          <w:tcPr>
            <w:tcW w:w="721" w:type="dxa"/>
            <w:tcBorders>
              <w:top w:val="single" w:sz="6" w:space="0" w:color="auto"/>
              <w:left w:val="single" w:sz="6" w:space="0" w:color="auto"/>
              <w:bottom w:val="single" w:sz="6" w:space="0" w:color="auto"/>
              <w:right w:val="single" w:sz="6" w:space="0" w:color="auto"/>
            </w:tcBorders>
          </w:tcPr>
          <w:p w14:paraId="2D78FD5E"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10,1</w:t>
            </w:r>
          </w:p>
        </w:tc>
        <w:tc>
          <w:tcPr>
            <w:tcW w:w="677" w:type="dxa"/>
            <w:tcBorders>
              <w:top w:val="single" w:sz="6" w:space="0" w:color="auto"/>
              <w:left w:val="single" w:sz="6" w:space="0" w:color="auto"/>
              <w:bottom w:val="single" w:sz="6" w:space="0" w:color="auto"/>
              <w:right w:val="single" w:sz="6" w:space="0" w:color="auto"/>
            </w:tcBorders>
          </w:tcPr>
          <w:p w14:paraId="159CD206" w14:textId="77777777" w:rsidR="00A434EF" w:rsidRPr="003954D9" w:rsidRDefault="00A434EF">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7,7</w:t>
            </w:r>
          </w:p>
        </w:tc>
        <w:tc>
          <w:tcPr>
            <w:tcW w:w="806" w:type="dxa"/>
            <w:tcBorders>
              <w:top w:val="single" w:sz="6" w:space="0" w:color="auto"/>
              <w:left w:val="single" w:sz="6" w:space="0" w:color="auto"/>
              <w:bottom w:val="single" w:sz="6" w:space="0" w:color="auto"/>
              <w:right w:val="single" w:sz="6" w:space="0" w:color="auto"/>
            </w:tcBorders>
          </w:tcPr>
          <w:p w14:paraId="3C31DF9C"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15,8</w:t>
            </w:r>
          </w:p>
        </w:tc>
        <w:tc>
          <w:tcPr>
            <w:tcW w:w="821" w:type="dxa"/>
            <w:tcBorders>
              <w:top w:val="single" w:sz="6" w:space="0" w:color="auto"/>
              <w:left w:val="single" w:sz="6" w:space="0" w:color="auto"/>
              <w:bottom w:val="single" w:sz="6" w:space="0" w:color="auto"/>
              <w:right w:val="single" w:sz="6" w:space="0" w:color="auto"/>
            </w:tcBorders>
          </w:tcPr>
          <w:p w14:paraId="605C3CAF"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9,3</w:t>
            </w:r>
          </w:p>
        </w:tc>
        <w:tc>
          <w:tcPr>
            <w:tcW w:w="759" w:type="dxa"/>
            <w:tcBorders>
              <w:top w:val="single" w:sz="6" w:space="0" w:color="auto"/>
              <w:left w:val="single" w:sz="6" w:space="0" w:color="auto"/>
              <w:bottom w:val="single" w:sz="6" w:space="0" w:color="auto"/>
              <w:right w:val="single" w:sz="6" w:space="0" w:color="auto"/>
            </w:tcBorders>
          </w:tcPr>
          <w:p w14:paraId="4D90FDAF"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10,2</w:t>
            </w:r>
          </w:p>
        </w:tc>
        <w:tc>
          <w:tcPr>
            <w:tcW w:w="764" w:type="dxa"/>
            <w:tcBorders>
              <w:top w:val="single" w:sz="6" w:space="0" w:color="auto"/>
              <w:left w:val="single" w:sz="6" w:space="0" w:color="auto"/>
              <w:bottom w:val="single" w:sz="6" w:space="0" w:color="auto"/>
              <w:right w:val="single" w:sz="6" w:space="0" w:color="auto"/>
            </w:tcBorders>
          </w:tcPr>
          <w:p w14:paraId="4E6102EE" w14:textId="77777777" w:rsidR="00A434EF" w:rsidRPr="003954D9" w:rsidRDefault="00A434EF">
            <w:pPr>
              <w:autoSpaceDE w:val="0"/>
              <w:autoSpaceDN w:val="0"/>
              <w:adjustRightInd w:val="0"/>
              <w:jc w:val="right"/>
              <w:rPr>
                <w:rFonts w:ascii="Calibri" w:hAnsi="Calibri" w:cs="Calibri"/>
                <w:bCs/>
                <w:color w:val="0066CC"/>
                <w:sz w:val="16"/>
                <w:szCs w:val="16"/>
              </w:rPr>
            </w:pPr>
            <w:r w:rsidRPr="003954D9">
              <w:rPr>
                <w:rFonts w:ascii="Calibri" w:hAnsi="Calibri" w:cs="Calibri"/>
                <w:bCs/>
                <w:color w:val="000000" w:themeColor="text1"/>
                <w:sz w:val="16"/>
                <w:szCs w:val="16"/>
              </w:rPr>
              <w:t>10,6</w:t>
            </w:r>
          </w:p>
        </w:tc>
        <w:tc>
          <w:tcPr>
            <w:tcW w:w="851" w:type="dxa"/>
            <w:tcBorders>
              <w:top w:val="single" w:sz="6" w:space="0" w:color="auto"/>
              <w:left w:val="single" w:sz="6" w:space="0" w:color="auto"/>
              <w:bottom w:val="single" w:sz="6" w:space="0" w:color="auto"/>
              <w:right w:val="single" w:sz="6" w:space="0" w:color="auto"/>
            </w:tcBorders>
          </w:tcPr>
          <w:p w14:paraId="7ABA54ED" w14:textId="77777777" w:rsidR="00A434EF" w:rsidRPr="003954D9" w:rsidRDefault="00A434EF">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5958FA96"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12,6</w:t>
            </w:r>
          </w:p>
        </w:tc>
      </w:tr>
      <w:tr w:rsidR="00D61B3A" w:rsidRPr="003954D9" w14:paraId="6675FEBC"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15FA3858" w14:textId="02AB9C85" w:rsidR="00A434EF" w:rsidRPr="003954D9" w:rsidRDefault="00A434EF">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Ensamst, m.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3B503800" w14:textId="77777777" w:rsidR="00A434EF" w:rsidRPr="003954D9" w:rsidRDefault="00A434EF">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31,8</w:t>
            </w:r>
          </w:p>
        </w:tc>
        <w:tc>
          <w:tcPr>
            <w:tcW w:w="838" w:type="dxa"/>
            <w:tcBorders>
              <w:top w:val="single" w:sz="6" w:space="0" w:color="auto"/>
              <w:left w:val="single" w:sz="6" w:space="0" w:color="auto"/>
              <w:bottom w:val="single" w:sz="6" w:space="0" w:color="auto"/>
              <w:right w:val="single" w:sz="6" w:space="0" w:color="auto"/>
            </w:tcBorders>
          </w:tcPr>
          <w:p w14:paraId="0F811C0A"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24,6</w:t>
            </w:r>
          </w:p>
        </w:tc>
        <w:tc>
          <w:tcPr>
            <w:tcW w:w="721" w:type="dxa"/>
            <w:tcBorders>
              <w:top w:val="single" w:sz="6" w:space="0" w:color="auto"/>
              <w:left w:val="single" w:sz="6" w:space="0" w:color="auto"/>
              <w:bottom w:val="single" w:sz="6" w:space="0" w:color="auto"/>
              <w:right w:val="single" w:sz="6" w:space="0" w:color="auto"/>
            </w:tcBorders>
          </w:tcPr>
          <w:p w14:paraId="671D5C69"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16,9</w:t>
            </w:r>
          </w:p>
        </w:tc>
        <w:tc>
          <w:tcPr>
            <w:tcW w:w="677" w:type="dxa"/>
            <w:tcBorders>
              <w:top w:val="single" w:sz="6" w:space="0" w:color="auto"/>
              <w:left w:val="single" w:sz="6" w:space="0" w:color="auto"/>
              <w:bottom w:val="single" w:sz="6" w:space="0" w:color="auto"/>
              <w:right w:val="single" w:sz="6" w:space="0" w:color="auto"/>
            </w:tcBorders>
          </w:tcPr>
          <w:p w14:paraId="6C6F0B7F"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27,5</w:t>
            </w:r>
          </w:p>
        </w:tc>
        <w:tc>
          <w:tcPr>
            <w:tcW w:w="806" w:type="dxa"/>
            <w:tcBorders>
              <w:top w:val="single" w:sz="6" w:space="0" w:color="auto"/>
              <w:left w:val="single" w:sz="6" w:space="0" w:color="auto"/>
              <w:bottom w:val="single" w:sz="6" w:space="0" w:color="auto"/>
              <w:right w:val="single" w:sz="6" w:space="0" w:color="auto"/>
            </w:tcBorders>
          </w:tcPr>
          <w:p w14:paraId="7B1901CB"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18,4</w:t>
            </w:r>
          </w:p>
        </w:tc>
        <w:tc>
          <w:tcPr>
            <w:tcW w:w="821" w:type="dxa"/>
            <w:tcBorders>
              <w:top w:val="single" w:sz="6" w:space="0" w:color="auto"/>
              <w:left w:val="single" w:sz="6" w:space="0" w:color="auto"/>
              <w:bottom w:val="single" w:sz="6" w:space="0" w:color="auto"/>
              <w:right w:val="single" w:sz="6" w:space="0" w:color="auto"/>
            </w:tcBorders>
          </w:tcPr>
          <w:p w14:paraId="0966AFED"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25,6</w:t>
            </w:r>
          </w:p>
        </w:tc>
        <w:tc>
          <w:tcPr>
            <w:tcW w:w="759" w:type="dxa"/>
            <w:tcBorders>
              <w:top w:val="single" w:sz="6" w:space="0" w:color="auto"/>
              <w:left w:val="single" w:sz="6" w:space="0" w:color="auto"/>
              <w:bottom w:val="single" w:sz="6" w:space="0" w:color="auto"/>
              <w:right w:val="single" w:sz="6" w:space="0" w:color="auto"/>
            </w:tcBorders>
          </w:tcPr>
          <w:p w14:paraId="4377CF38"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32,3</w:t>
            </w:r>
          </w:p>
        </w:tc>
        <w:tc>
          <w:tcPr>
            <w:tcW w:w="764" w:type="dxa"/>
            <w:tcBorders>
              <w:top w:val="single" w:sz="6" w:space="0" w:color="auto"/>
              <w:left w:val="single" w:sz="6" w:space="0" w:color="auto"/>
              <w:bottom w:val="single" w:sz="6" w:space="0" w:color="auto"/>
              <w:right w:val="single" w:sz="6" w:space="0" w:color="auto"/>
            </w:tcBorders>
          </w:tcPr>
          <w:p w14:paraId="6655730E" w14:textId="77777777" w:rsidR="00A434EF" w:rsidRPr="003954D9" w:rsidRDefault="00A434EF">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14,7</w:t>
            </w:r>
          </w:p>
        </w:tc>
        <w:tc>
          <w:tcPr>
            <w:tcW w:w="851" w:type="dxa"/>
            <w:tcBorders>
              <w:top w:val="single" w:sz="6" w:space="0" w:color="auto"/>
              <w:left w:val="single" w:sz="6" w:space="0" w:color="auto"/>
              <w:bottom w:val="single" w:sz="6" w:space="0" w:color="auto"/>
              <w:right w:val="single" w:sz="6" w:space="0" w:color="auto"/>
            </w:tcBorders>
          </w:tcPr>
          <w:p w14:paraId="772BC683"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21,4</w:t>
            </w:r>
          </w:p>
        </w:tc>
        <w:tc>
          <w:tcPr>
            <w:tcW w:w="903" w:type="dxa"/>
            <w:tcBorders>
              <w:top w:val="single" w:sz="6" w:space="0" w:color="auto"/>
              <w:left w:val="single" w:sz="6" w:space="0" w:color="auto"/>
              <w:bottom w:val="single" w:sz="6" w:space="0" w:color="auto"/>
              <w:right w:val="single" w:sz="6" w:space="0" w:color="auto"/>
            </w:tcBorders>
          </w:tcPr>
          <w:p w14:paraId="656B750A" w14:textId="77777777" w:rsidR="00A434EF" w:rsidRPr="003954D9" w:rsidRDefault="00A434EF">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34,2</w:t>
            </w:r>
          </w:p>
        </w:tc>
      </w:tr>
      <w:tr w:rsidR="00D61B3A" w:rsidRPr="003954D9" w14:paraId="55E5DA17"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57BA6709" w14:textId="6FB10DBA" w:rsidR="00A434EF" w:rsidRPr="003954D9" w:rsidRDefault="00A434EF">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250F9DF6" w14:textId="77777777" w:rsidR="00A434EF" w:rsidRPr="003954D9" w:rsidRDefault="00A434EF">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17,8</w:t>
            </w:r>
          </w:p>
        </w:tc>
        <w:tc>
          <w:tcPr>
            <w:tcW w:w="838" w:type="dxa"/>
            <w:tcBorders>
              <w:top w:val="single" w:sz="6" w:space="0" w:color="auto"/>
              <w:left w:val="single" w:sz="6" w:space="0" w:color="auto"/>
              <w:bottom w:val="single" w:sz="6" w:space="0" w:color="auto"/>
              <w:right w:val="single" w:sz="6" w:space="0" w:color="auto"/>
            </w:tcBorders>
          </w:tcPr>
          <w:p w14:paraId="632BAA1A"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8,5</w:t>
            </w:r>
          </w:p>
        </w:tc>
        <w:tc>
          <w:tcPr>
            <w:tcW w:w="721" w:type="dxa"/>
            <w:tcBorders>
              <w:top w:val="single" w:sz="6" w:space="0" w:color="auto"/>
              <w:left w:val="single" w:sz="6" w:space="0" w:color="auto"/>
              <w:bottom w:val="single" w:sz="6" w:space="0" w:color="auto"/>
              <w:right w:val="single" w:sz="6" w:space="0" w:color="auto"/>
            </w:tcBorders>
          </w:tcPr>
          <w:p w14:paraId="1D298914" w14:textId="77777777" w:rsidR="00A434EF" w:rsidRPr="003954D9" w:rsidRDefault="00A434EF">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4,9</w:t>
            </w:r>
          </w:p>
        </w:tc>
        <w:tc>
          <w:tcPr>
            <w:tcW w:w="677" w:type="dxa"/>
            <w:tcBorders>
              <w:top w:val="single" w:sz="6" w:space="0" w:color="auto"/>
              <w:left w:val="single" w:sz="6" w:space="0" w:color="auto"/>
              <w:bottom w:val="single" w:sz="6" w:space="0" w:color="auto"/>
              <w:right w:val="single" w:sz="6" w:space="0" w:color="auto"/>
            </w:tcBorders>
          </w:tcPr>
          <w:p w14:paraId="5D7C91BD"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8,9</w:t>
            </w:r>
          </w:p>
        </w:tc>
        <w:tc>
          <w:tcPr>
            <w:tcW w:w="806" w:type="dxa"/>
            <w:tcBorders>
              <w:top w:val="single" w:sz="6" w:space="0" w:color="auto"/>
              <w:left w:val="single" w:sz="6" w:space="0" w:color="auto"/>
              <w:bottom w:val="single" w:sz="6" w:space="0" w:color="auto"/>
              <w:right w:val="single" w:sz="6" w:space="0" w:color="auto"/>
            </w:tcBorders>
          </w:tcPr>
          <w:p w14:paraId="0EEFF8D3"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w:t>
            </w:r>
          </w:p>
        </w:tc>
        <w:tc>
          <w:tcPr>
            <w:tcW w:w="821" w:type="dxa"/>
            <w:tcBorders>
              <w:top w:val="single" w:sz="6" w:space="0" w:color="auto"/>
              <w:left w:val="single" w:sz="6" w:space="0" w:color="auto"/>
              <w:bottom w:val="single" w:sz="6" w:space="0" w:color="auto"/>
              <w:right w:val="single" w:sz="6" w:space="0" w:color="auto"/>
            </w:tcBorders>
          </w:tcPr>
          <w:p w14:paraId="27295F1E"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11,3</w:t>
            </w:r>
          </w:p>
        </w:tc>
        <w:tc>
          <w:tcPr>
            <w:tcW w:w="759" w:type="dxa"/>
            <w:tcBorders>
              <w:top w:val="single" w:sz="6" w:space="0" w:color="auto"/>
              <w:left w:val="single" w:sz="6" w:space="0" w:color="auto"/>
              <w:bottom w:val="single" w:sz="6" w:space="0" w:color="auto"/>
              <w:right w:val="single" w:sz="6" w:space="0" w:color="auto"/>
            </w:tcBorders>
          </w:tcPr>
          <w:p w14:paraId="7932B8AB"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10,3</w:t>
            </w:r>
          </w:p>
        </w:tc>
        <w:tc>
          <w:tcPr>
            <w:tcW w:w="764" w:type="dxa"/>
            <w:tcBorders>
              <w:top w:val="single" w:sz="6" w:space="0" w:color="auto"/>
              <w:left w:val="single" w:sz="6" w:space="0" w:color="auto"/>
              <w:bottom w:val="single" w:sz="6" w:space="0" w:color="auto"/>
              <w:right w:val="single" w:sz="6" w:space="0" w:color="auto"/>
            </w:tcBorders>
          </w:tcPr>
          <w:p w14:paraId="29E36FDC"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6,9</w:t>
            </w:r>
          </w:p>
        </w:tc>
        <w:tc>
          <w:tcPr>
            <w:tcW w:w="851" w:type="dxa"/>
            <w:tcBorders>
              <w:top w:val="single" w:sz="6" w:space="0" w:color="auto"/>
              <w:left w:val="single" w:sz="6" w:space="0" w:color="auto"/>
              <w:bottom w:val="single" w:sz="6" w:space="0" w:color="auto"/>
              <w:right w:val="single" w:sz="6" w:space="0" w:color="auto"/>
            </w:tcBorders>
          </w:tcPr>
          <w:p w14:paraId="15470897"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61214F23"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15,0</w:t>
            </w:r>
          </w:p>
        </w:tc>
      </w:tr>
      <w:tr w:rsidR="00D61B3A" w:rsidRPr="003954D9" w14:paraId="4AC40564"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6DEC7F2B" w14:textId="17662A65" w:rsidR="00A434EF" w:rsidRPr="003954D9" w:rsidRDefault="00A434EF">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tcPr>
          <w:p w14:paraId="24D77428" w14:textId="77777777" w:rsidR="00A434EF" w:rsidRPr="003954D9" w:rsidRDefault="00A434EF">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25,2</w:t>
            </w:r>
          </w:p>
        </w:tc>
        <w:tc>
          <w:tcPr>
            <w:tcW w:w="838" w:type="dxa"/>
            <w:tcBorders>
              <w:top w:val="single" w:sz="6" w:space="0" w:color="auto"/>
              <w:left w:val="single" w:sz="6" w:space="0" w:color="auto"/>
              <w:bottom w:val="single" w:sz="6" w:space="0" w:color="auto"/>
              <w:right w:val="single" w:sz="6" w:space="0" w:color="auto"/>
            </w:tcBorders>
          </w:tcPr>
          <w:p w14:paraId="788FECC8" w14:textId="77777777" w:rsidR="00A434EF" w:rsidRPr="003954D9" w:rsidRDefault="00A434EF">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21" w:type="dxa"/>
            <w:tcBorders>
              <w:top w:val="single" w:sz="6" w:space="0" w:color="auto"/>
              <w:left w:val="single" w:sz="6" w:space="0" w:color="auto"/>
              <w:bottom w:val="single" w:sz="6" w:space="0" w:color="auto"/>
              <w:right w:val="single" w:sz="6" w:space="0" w:color="auto"/>
            </w:tcBorders>
          </w:tcPr>
          <w:p w14:paraId="447BB515"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tcPr>
          <w:p w14:paraId="58DECD5B"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06" w:type="dxa"/>
            <w:tcBorders>
              <w:top w:val="single" w:sz="6" w:space="0" w:color="auto"/>
              <w:left w:val="single" w:sz="6" w:space="0" w:color="auto"/>
              <w:bottom w:val="single" w:sz="6" w:space="0" w:color="auto"/>
              <w:right w:val="single" w:sz="6" w:space="0" w:color="auto"/>
            </w:tcBorders>
          </w:tcPr>
          <w:p w14:paraId="7678F705"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21" w:type="dxa"/>
            <w:tcBorders>
              <w:top w:val="single" w:sz="6" w:space="0" w:color="auto"/>
              <w:left w:val="single" w:sz="6" w:space="0" w:color="auto"/>
              <w:bottom w:val="single" w:sz="6" w:space="0" w:color="auto"/>
              <w:right w:val="single" w:sz="6" w:space="0" w:color="auto"/>
            </w:tcBorders>
          </w:tcPr>
          <w:p w14:paraId="19A9684A"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9,8</w:t>
            </w:r>
          </w:p>
        </w:tc>
        <w:tc>
          <w:tcPr>
            <w:tcW w:w="759" w:type="dxa"/>
            <w:tcBorders>
              <w:top w:val="single" w:sz="6" w:space="0" w:color="auto"/>
              <w:left w:val="single" w:sz="6" w:space="0" w:color="auto"/>
              <w:bottom w:val="single" w:sz="6" w:space="0" w:color="auto"/>
              <w:right w:val="single" w:sz="6" w:space="0" w:color="auto"/>
            </w:tcBorders>
          </w:tcPr>
          <w:p w14:paraId="1312A0E6"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11,0</w:t>
            </w:r>
          </w:p>
        </w:tc>
        <w:tc>
          <w:tcPr>
            <w:tcW w:w="764" w:type="dxa"/>
            <w:tcBorders>
              <w:top w:val="single" w:sz="6" w:space="0" w:color="auto"/>
              <w:left w:val="single" w:sz="6" w:space="0" w:color="auto"/>
              <w:bottom w:val="single" w:sz="6" w:space="0" w:color="auto"/>
              <w:right w:val="single" w:sz="6" w:space="0" w:color="auto"/>
            </w:tcBorders>
          </w:tcPr>
          <w:p w14:paraId="4CB34C01" w14:textId="77777777" w:rsidR="00A434EF" w:rsidRPr="003954D9" w:rsidRDefault="00A434EF">
            <w:pPr>
              <w:autoSpaceDE w:val="0"/>
              <w:autoSpaceDN w:val="0"/>
              <w:adjustRightInd w:val="0"/>
              <w:rPr>
                <w:rFonts w:ascii="Calibri" w:hAnsi="Calibri" w:cs="Calibri"/>
                <w:b/>
                <w:bCs/>
                <w:color w:val="0066CC"/>
                <w:sz w:val="16"/>
                <w:szCs w:val="16"/>
              </w:rPr>
            </w:pPr>
            <w:r w:rsidRPr="003954D9">
              <w:rPr>
                <w:rFonts w:ascii="Calibri" w:hAnsi="Calibri" w:cs="Calibri"/>
                <w:b/>
                <w:bCs/>
                <w:color w:val="0066CC"/>
                <w:sz w:val="16"/>
                <w:szCs w:val="16"/>
              </w:rPr>
              <w:t>…</w:t>
            </w:r>
          </w:p>
        </w:tc>
        <w:tc>
          <w:tcPr>
            <w:tcW w:w="851" w:type="dxa"/>
            <w:tcBorders>
              <w:top w:val="single" w:sz="6" w:space="0" w:color="auto"/>
              <w:left w:val="single" w:sz="6" w:space="0" w:color="auto"/>
              <w:bottom w:val="single" w:sz="6" w:space="0" w:color="auto"/>
              <w:right w:val="single" w:sz="6" w:space="0" w:color="auto"/>
            </w:tcBorders>
          </w:tcPr>
          <w:p w14:paraId="1577A1E6"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298ABEBC" w14:textId="77777777" w:rsidR="00A434EF" w:rsidRPr="003954D9" w:rsidRDefault="00A434EF">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9,3</w:t>
            </w:r>
          </w:p>
        </w:tc>
      </w:tr>
      <w:tr w:rsidR="00D61B3A" w:rsidRPr="003954D9" w14:paraId="6965E2DF"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5D0FB806" w14:textId="439B26FB" w:rsidR="00A434EF" w:rsidRPr="003954D9" w:rsidRDefault="00A434EF">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1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3F13B132"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15,9</w:t>
            </w:r>
          </w:p>
        </w:tc>
        <w:tc>
          <w:tcPr>
            <w:tcW w:w="838" w:type="dxa"/>
            <w:tcBorders>
              <w:top w:val="single" w:sz="6" w:space="0" w:color="auto"/>
              <w:left w:val="single" w:sz="6" w:space="0" w:color="auto"/>
              <w:bottom w:val="single" w:sz="6" w:space="0" w:color="auto"/>
              <w:right w:val="single" w:sz="6" w:space="0" w:color="auto"/>
            </w:tcBorders>
          </w:tcPr>
          <w:p w14:paraId="71819E08"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7,1</w:t>
            </w:r>
          </w:p>
        </w:tc>
        <w:tc>
          <w:tcPr>
            <w:tcW w:w="721" w:type="dxa"/>
            <w:tcBorders>
              <w:top w:val="single" w:sz="6" w:space="0" w:color="auto"/>
              <w:left w:val="single" w:sz="6" w:space="0" w:color="auto"/>
              <w:bottom w:val="single" w:sz="6" w:space="0" w:color="auto"/>
              <w:right w:val="single" w:sz="6" w:space="0" w:color="auto"/>
            </w:tcBorders>
          </w:tcPr>
          <w:p w14:paraId="14989511"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tcPr>
          <w:p w14:paraId="3C9B5FE7"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14,3</w:t>
            </w:r>
          </w:p>
        </w:tc>
        <w:tc>
          <w:tcPr>
            <w:tcW w:w="806" w:type="dxa"/>
            <w:tcBorders>
              <w:top w:val="single" w:sz="6" w:space="0" w:color="auto"/>
              <w:left w:val="single" w:sz="6" w:space="0" w:color="auto"/>
              <w:bottom w:val="single" w:sz="6" w:space="0" w:color="auto"/>
              <w:right w:val="single" w:sz="6" w:space="0" w:color="auto"/>
            </w:tcBorders>
          </w:tcPr>
          <w:p w14:paraId="2FBAF9A2" w14:textId="77777777" w:rsidR="00A434EF" w:rsidRPr="003954D9" w:rsidRDefault="00A434EF">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4,8</w:t>
            </w:r>
          </w:p>
        </w:tc>
        <w:tc>
          <w:tcPr>
            <w:tcW w:w="821" w:type="dxa"/>
            <w:tcBorders>
              <w:top w:val="single" w:sz="6" w:space="0" w:color="auto"/>
              <w:left w:val="single" w:sz="6" w:space="0" w:color="auto"/>
              <w:bottom w:val="single" w:sz="6" w:space="0" w:color="auto"/>
              <w:right w:val="single" w:sz="6" w:space="0" w:color="auto"/>
            </w:tcBorders>
          </w:tcPr>
          <w:p w14:paraId="33079817"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13,4</w:t>
            </w:r>
          </w:p>
        </w:tc>
        <w:tc>
          <w:tcPr>
            <w:tcW w:w="759" w:type="dxa"/>
            <w:tcBorders>
              <w:top w:val="single" w:sz="6" w:space="0" w:color="auto"/>
              <w:left w:val="single" w:sz="6" w:space="0" w:color="auto"/>
              <w:bottom w:val="single" w:sz="6" w:space="0" w:color="auto"/>
              <w:right w:val="single" w:sz="6" w:space="0" w:color="auto"/>
            </w:tcBorders>
          </w:tcPr>
          <w:p w14:paraId="456274D6" w14:textId="77777777" w:rsidR="00A434EF" w:rsidRPr="003954D9" w:rsidRDefault="00A434EF">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18,5</w:t>
            </w:r>
          </w:p>
        </w:tc>
        <w:tc>
          <w:tcPr>
            <w:tcW w:w="764" w:type="dxa"/>
            <w:tcBorders>
              <w:top w:val="single" w:sz="6" w:space="0" w:color="auto"/>
              <w:left w:val="single" w:sz="6" w:space="0" w:color="auto"/>
              <w:bottom w:val="single" w:sz="6" w:space="0" w:color="auto"/>
              <w:right w:val="single" w:sz="6" w:space="0" w:color="auto"/>
            </w:tcBorders>
          </w:tcPr>
          <w:p w14:paraId="6D28FE58"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6,7</w:t>
            </w:r>
          </w:p>
        </w:tc>
        <w:tc>
          <w:tcPr>
            <w:tcW w:w="851" w:type="dxa"/>
            <w:tcBorders>
              <w:top w:val="single" w:sz="6" w:space="0" w:color="auto"/>
              <w:left w:val="single" w:sz="6" w:space="0" w:color="auto"/>
              <w:bottom w:val="single" w:sz="6" w:space="0" w:color="auto"/>
              <w:right w:val="single" w:sz="6" w:space="0" w:color="auto"/>
            </w:tcBorders>
          </w:tcPr>
          <w:p w14:paraId="58B2768B"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517AA702"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16,6</w:t>
            </w:r>
          </w:p>
        </w:tc>
      </w:tr>
      <w:tr w:rsidR="00D61B3A" w:rsidRPr="003954D9" w14:paraId="2C9580DA"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04BD7B7A" w14:textId="409B041D" w:rsidR="00A434EF" w:rsidRPr="003954D9" w:rsidRDefault="00A434EF">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2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7436B176" w14:textId="77777777" w:rsidR="00A434EF" w:rsidRPr="003954D9" w:rsidRDefault="00A434EF">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22,1</w:t>
            </w:r>
          </w:p>
        </w:tc>
        <w:tc>
          <w:tcPr>
            <w:tcW w:w="838" w:type="dxa"/>
            <w:tcBorders>
              <w:top w:val="single" w:sz="6" w:space="0" w:color="auto"/>
              <w:left w:val="single" w:sz="6" w:space="0" w:color="auto"/>
              <w:bottom w:val="single" w:sz="6" w:space="0" w:color="auto"/>
              <w:right w:val="single" w:sz="6" w:space="0" w:color="auto"/>
            </w:tcBorders>
          </w:tcPr>
          <w:p w14:paraId="7142FA45"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11,5</w:t>
            </w:r>
          </w:p>
        </w:tc>
        <w:tc>
          <w:tcPr>
            <w:tcW w:w="721" w:type="dxa"/>
            <w:tcBorders>
              <w:top w:val="single" w:sz="6" w:space="0" w:color="auto"/>
              <w:left w:val="single" w:sz="6" w:space="0" w:color="auto"/>
              <w:bottom w:val="single" w:sz="6" w:space="0" w:color="auto"/>
              <w:right w:val="single" w:sz="6" w:space="0" w:color="auto"/>
            </w:tcBorders>
          </w:tcPr>
          <w:p w14:paraId="31881364"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tcPr>
          <w:p w14:paraId="4C5CB393" w14:textId="77777777" w:rsidR="00A434EF" w:rsidRPr="003954D9" w:rsidRDefault="00A434EF">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06" w:type="dxa"/>
            <w:tcBorders>
              <w:top w:val="single" w:sz="6" w:space="0" w:color="auto"/>
              <w:left w:val="single" w:sz="6" w:space="0" w:color="auto"/>
              <w:bottom w:val="single" w:sz="6" w:space="0" w:color="auto"/>
              <w:right w:val="single" w:sz="6" w:space="0" w:color="auto"/>
            </w:tcBorders>
          </w:tcPr>
          <w:p w14:paraId="1B61FCD9" w14:textId="77777777" w:rsidR="00A434EF" w:rsidRPr="003954D9" w:rsidRDefault="00A434EF">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4,6</w:t>
            </w:r>
          </w:p>
        </w:tc>
        <w:tc>
          <w:tcPr>
            <w:tcW w:w="821" w:type="dxa"/>
            <w:tcBorders>
              <w:top w:val="single" w:sz="6" w:space="0" w:color="auto"/>
              <w:left w:val="single" w:sz="6" w:space="0" w:color="auto"/>
              <w:bottom w:val="single" w:sz="6" w:space="0" w:color="auto"/>
              <w:right w:val="single" w:sz="6" w:space="0" w:color="auto"/>
            </w:tcBorders>
          </w:tcPr>
          <w:p w14:paraId="192DE0A2"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11,7</w:t>
            </w:r>
          </w:p>
        </w:tc>
        <w:tc>
          <w:tcPr>
            <w:tcW w:w="759" w:type="dxa"/>
            <w:tcBorders>
              <w:top w:val="single" w:sz="6" w:space="0" w:color="auto"/>
              <w:left w:val="single" w:sz="6" w:space="0" w:color="auto"/>
              <w:bottom w:val="single" w:sz="6" w:space="0" w:color="auto"/>
              <w:right w:val="single" w:sz="6" w:space="0" w:color="auto"/>
            </w:tcBorders>
          </w:tcPr>
          <w:p w14:paraId="100F6B7D"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764" w:type="dxa"/>
            <w:tcBorders>
              <w:top w:val="single" w:sz="6" w:space="0" w:color="auto"/>
              <w:left w:val="single" w:sz="6" w:space="0" w:color="auto"/>
              <w:bottom w:val="single" w:sz="6" w:space="0" w:color="auto"/>
              <w:right w:val="single" w:sz="6" w:space="0" w:color="auto"/>
            </w:tcBorders>
          </w:tcPr>
          <w:p w14:paraId="3A9B5C93" w14:textId="77777777" w:rsidR="00A434EF" w:rsidRPr="003954D9" w:rsidRDefault="00A434EF">
            <w:pPr>
              <w:autoSpaceDE w:val="0"/>
              <w:autoSpaceDN w:val="0"/>
              <w:adjustRightInd w:val="0"/>
              <w:jc w:val="right"/>
              <w:rPr>
                <w:rFonts w:ascii="Calibri" w:hAnsi="Calibri" w:cs="Calibri"/>
                <w:bCs/>
                <w:color w:val="0066CC"/>
                <w:sz w:val="16"/>
                <w:szCs w:val="16"/>
              </w:rPr>
            </w:pPr>
            <w:r w:rsidRPr="003954D9">
              <w:rPr>
                <w:rFonts w:ascii="Calibri" w:hAnsi="Calibri" w:cs="Calibri"/>
                <w:bCs/>
                <w:color w:val="000000" w:themeColor="text1"/>
                <w:sz w:val="16"/>
                <w:szCs w:val="16"/>
              </w:rPr>
              <w:t>5,2</w:t>
            </w:r>
          </w:p>
        </w:tc>
        <w:tc>
          <w:tcPr>
            <w:tcW w:w="851" w:type="dxa"/>
            <w:tcBorders>
              <w:top w:val="single" w:sz="6" w:space="0" w:color="auto"/>
              <w:left w:val="single" w:sz="6" w:space="0" w:color="auto"/>
              <w:bottom w:val="single" w:sz="6" w:space="0" w:color="auto"/>
              <w:right w:val="single" w:sz="6" w:space="0" w:color="auto"/>
            </w:tcBorders>
          </w:tcPr>
          <w:p w14:paraId="753B35C9"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7B8B5DAC"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18,2</w:t>
            </w:r>
          </w:p>
        </w:tc>
      </w:tr>
      <w:tr w:rsidR="00D61B3A" w:rsidRPr="003954D9" w14:paraId="2EF89219"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7E7CFE4A" w14:textId="78D650E6" w:rsidR="00A434EF" w:rsidRPr="003954D9" w:rsidRDefault="00A434EF">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3-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1C344795"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26,8</w:t>
            </w:r>
          </w:p>
        </w:tc>
        <w:tc>
          <w:tcPr>
            <w:tcW w:w="838" w:type="dxa"/>
            <w:tcBorders>
              <w:top w:val="single" w:sz="6" w:space="0" w:color="auto"/>
              <w:left w:val="single" w:sz="6" w:space="0" w:color="auto"/>
              <w:bottom w:val="single" w:sz="6" w:space="0" w:color="auto"/>
              <w:right w:val="single" w:sz="6" w:space="0" w:color="auto"/>
            </w:tcBorders>
          </w:tcPr>
          <w:p w14:paraId="1CAAEBC8"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19,1</w:t>
            </w:r>
          </w:p>
        </w:tc>
        <w:tc>
          <w:tcPr>
            <w:tcW w:w="721" w:type="dxa"/>
            <w:tcBorders>
              <w:top w:val="single" w:sz="6" w:space="0" w:color="auto"/>
              <w:left w:val="single" w:sz="6" w:space="0" w:color="auto"/>
              <w:bottom w:val="single" w:sz="6" w:space="0" w:color="auto"/>
              <w:right w:val="single" w:sz="6" w:space="0" w:color="auto"/>
            </w:tcBorders>
          </w:tcPr>
          <w:p w14:paraId="64242A86"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tcPr>
          <w:p w14:paraId="5A8052D6"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06" w:type="dxa"/>
            <w:tcBorders>
              <w:top w:val="single" w:sz="6" w:space="0" w:color="auto"/>
              <w:left w:val="single" w:sz="6" w:space="0" w:color="auto"/>
              <w:bottom w:val="single" w:sz="6" w:space="0" w:color="auto"/>
              <w:right w:val="single" w:sz="6" w:space="0" w:color="auto"/>
            </w:tcBorders>
          </w:tcPr>
          <w:p w14:paraId="07F6B4C3"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21" w:type="dxa"/>
            <w:tcBorders>
              <w:top w:val="single" w:sz="6" w:space="0" w:color="auto"/>
              <w:left w:val="single" w:sz="6" w:space="0" w:color="auto"/>
              <w:bottom w:val="single" w:sz="6" w:space="0" w:color="auto"/>
              <w:right w:val="single" w:sz="6" w:space="0" w:color="auto"/>
            </w:tcBorders>
          </w:tcPr>
          <w:p w14:paraId="1E81483A"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23,7</w:t>
            </w:r>
          </w:p>
        </w:tc>
        <w:tc>
          <w:tcPr>
            <w:tcW w:w="759" w:type="dxa"/>
            <w:tcBorders>
              <w:top w:val="single" w:sz="6" w:space="0" w:color="auto"/>
              <w:left w:val="single" w:sz="6" w:space="0" w:color="auto"/>
              <w:bottom w:val="single" w:sz="6" w:space="0" w:color="auto"/>
              <w:right w:val="single" w:sz="6" w:space="0" w:color="auto"/>
            </w:tcBorders>
          </w:tcPr>
          <w:p w14:paraId="60BC9310"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19,4</w:t>
            </w:r>
          </w:p>
        </w:tc>
        <w:tc>
          <w:tcPr>
            <w:tcW w:w="764" w:type="dxa"/>
            <w:tcBorders>
              <w:top w:val="single" w:sz="6" w:space="0" w:color="auto"/>
              <w:left w:val="single" w:sz="6" w:space="0" w:color="auto"/>
              <w:bottom w:val="single" w:sz="6" w:space="0" w:color="auto"/>
              <w:right w:val="single" w:sz="6" w:space="0" w:color="auto"/>
            </w:tcBorders>
          </w:tcPr>
          <w:p w14:paraId="3D62BD48" w14:textId="77777777" w:rsidR="00A434EF" w:rsidRPr="003954D9" w:rsidRDefault="00A434EF">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15,9</w:t>
            </w:r>
          </w:p>
        </w:tc>
        <w:tc>
          <w:tcPr>
            <w:tcW w:w="851" w:type="dxa"/>
            <w:tcBorders>
              <w:top w:val="single" w:sz="6" w:space="0" w:color="auto"/>
              <w:left w:val="single" w:sz="6" w:space="0" w:color="auto"/>
              <w:bottom w:val="single" w:sz="6" w:space="0" w:color="auto"/>
              <w:right w:val="single" w:sz="6" w:space="0" w:color="auto"/>
            </w:tcBorders>
          </w:tcPr>
          <w:p w14:paraId="10043F49"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0DFC9BFB" w14:textId="77777777" w:rsidR="00A434EF" w:rsidRPr="003954D9" w:rsidRDefault="00A434EF">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27,7</w:t>
            </w:r>
          </w:p>
        </w:tc>
      </w:tr>
      <w:tr w:rsidR="00D61B3A" w:rsidRPr="003954D9" w14:paraId="0AB19ACE"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11099F7A" w14:textId="61F1D523" w:rsidR="00A434EF" w:rsidRPr="003954D9" w:rsidRDefault="00DD3DF3">
            <w:pPr>
              <w:autoSpaceDE w:val="0"/>
              <w:autoSpaceDN w:val="0"/>
              <w:adjustRightInd w:val="0"/>
              <w:rPr>
                <w:rFonts w:ascii="Calibri" w:hAnsi="Calibri" w:cs="Calibri"/>
                <w:b/>
                <w:color w:val="000000"/>
                <w:sz w:val="16"/>
                <w:szCs w:val="16"/>
              </w:rPr>
            </w:pPr>
            <w:r>
              <w:rPr>
                <w:rFonts w:ascii="Calibri" w:hAnsi="Calibri" w:cs="Calibri"/>
                <w:b/>
                <w:color w:val="000000"/>
                <w:sz w:val="16"/>
                <w:szCs w:val="16"/>
              </w:rPr>
              <w:t>Övr.</w:t>
            </w:r>
            <w:r w:rsidR="00A434EF" w:rsidRPr="003954D9">
              <w:rPr>
                <w:rFonts w:ascii="Calibri" w:hAnsi="Calibri" w:cs="Calibri"/>
                <w:b/>
                <w:color w:val="000000"/>
                <w:sz w:val="16"/>
                <w:szCs w:val="16"/>
              </w:rPr>
              <w:t xml:space="preserve"> hushåll u. barn </w:t>
            </w:r>
          </w:p>
        </w:tc>
        <w:tc>
          <w:tcPr>
            <w:tcW w:w="709" w:type="dxa"/>
            <w:tcBorders>
              <w:top w:val="single" w:sz="6" w:space="0" w:color="auto"/>
              <w:left w:val="single" w:sz="6" w:space="0" w:color="auto"/>
              <w:bottom w:val="single" w:sz="6" w:space="0" w:color="auto"/>
              <w:right w:val="single" w:sz="6" w:space="0" w:color="auto"/>
            </w:tcBorders>
          </w:tcPr>
          <w:p w14:paraId="3937CF5B"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12,9</w:t>
            </w:r>
          </w:p>
        </w:tc>
        <w:tc>
          <w:tcPr>
            <w:tcW w:w="838" w:type="dxa"/>
            <w:tcBorders>
              <w:top w:val="single" w:sz="6" w:space="0" w:color="auto"/>
              <w:left w:val="single" w:sz="6" w:space="0" w:color="auto"/>
              <w:bottom w:val="single" w:sz="6" w:space="0" w:color="auto"/>
              <w:right w:val="single" w:sz="6" w:space="0" w:color="auto"/>
            </w:tcBorders>
          </w:tcPr>
          <w:p w14:paraId="2D1AAD34" w14:textId="77777777" w:rsidR="00A434EF" w:rsidRPr="003954D9" w:rsidRDefault="00A434EF">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14,6</w:t>
            </w:r>
          </w:p>
        </w:tc>
        <w:tc>
          <w:tcPr>
            <w:tcW w:w="721" w:type="dxa"/>
            <w:tcBorders>
              <w:top w:val="single" w:sz="6" w:space="0" w:color="auto"/>
              <w:left w:val="single" w:sz="6" w:space="0" w:color="auto"/>
              <w:bottom w:val="single" w:sz="6" w:space="0" w:color="auto"/>
              <w:right w:val="single" w:sz="6" w:space="0" w:color="auto"/>
            </w:tcBorders>
          </w:tcPr>
          <w:p w14:paraId="737360E1"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10,4</w:t>
            </w:r>
          </w:p>
        </w:tc>
        <w:tc>
          <w:tcPr>
            <w:tcW w:w="677" w:type="dxa"/>
            <w:tcBorders>
              <w:top w:val="single" w:sz="6" w:space="0" w:color="auto"/>
              <w:left w:val="single" w:sz="6" w:space="0" w:color="auto"/>
              <w:bottom w:val="single" w:sz="6" w:space="0" w:color="auto"/>
              <w:right w:val="single" w:sz="6" w:space="0" w:color="auto"/>
            </w:tcBorders>
          </w:tcPr>
          <w:p w14:paraId="2C589266"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15,6</w:t>
            </w:r>
          </w:p>
        </w:tc>
        <w:tc>
          <w:tcPr>
            <w:tcW w:w="806" w:type="dxa"/>
            <w:tcBorders>
              <w:top w:val="single" w:sz="6" w:space="0" w:color="auto"/>
              <w:left w:val="single" w:sz="6" w:space="0" w:color="auto"/>
              <w:bottom w:val="single" w:sz="6" w:space="0" w:color="auto"/>
              <w:right w:val="single" w:sz="6" w:space="0" w:color="auto"/>
            </w:tcBorders>
          </w:tcPr>
          <w:p w14:paraId="5CF513DE" w14:textId="77777777" w:rsidR="00A434EF" w:rsidRPr="003954D9" w:rsidRDefault="00A434EF">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5,1</w:t>
            </w:r>
          </w:p>
        </w:tc>
        <w:tc>
          <w:tcPr>
            <w:tcW w:w="821" w:type="dxa"/>
            <w:tcBorders>
              <w:top w:val="single" w:sz="6" w:space="0" w:color="auto"/>
              <w:left w:val="single" w:sz="6" w:space="0" w:color="auto"/>
              <w:bottom w:val="single" w:sz="6" w:space="0" w:color="auto"/>
              <w:right w:val="single" w:sz="6" w:space="0" w:color="auto"/>
            </w:tcBorders>
          </w:tcPr>
          <w:p w14:paraId="41080A0F"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9,7</w:t>
            </w:r>
          </w:p>
        </w:tc>
        <w:tc>
          <w:tcPr>
            <w:tcW w:w="759" w:type="dxa"/>
            <w:tcBorders>
              <w:top w:val="single" w:sz="6" w:space="0" w:color="auto"/>
              <w:left w:val="single" w:sz="6" w:space="0" w:color="auto"/>
              <w:bottom w:val="single" w:sz="6" w:space="0" w:color="auto"/>
              <w:right w:val="single" w:sz="6" w:space="0" w:color="auto"/>
            </w:tcBorders>
          </w:tcPr>
          <w:p w14:paraId="6C76B631"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14,0</w:t>
            </w:r>
          </w:p>
        </w:tc>
        <w:tc>
          <w:tcPr>
            <w:tcW w:w="764" w:type="dxa"/>
            <w:tcBorders>
              <w:top w:val="single" w:sz="6" w:space="0" w:color="auto"/>
              <w:left w:val="single" w:sz="6" w:space="0" w:color="auto"/>
              <w:bottom w:val="single" w:sz="6" w:space="0" w:color="auto"/>
              <w:right w:val="single" w:sz="6" w:space="0" w:color="auto"/>
            </w:tcBorders>
          </w:tcPr>
          <w:p w14:paraId="2138605A"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5,4</w:t>
            </w:r>
          </w:p>
        </w:tc>
        <w:tc>
          <w:tcPr>
            <w:tcW w:w="851" w:type="dxa"/>
            <w:tcBorders>
              <w:top w:val="single" w:sz="6" w:space="0" w:color="auto"/>
              <w:left w:val="single" w:sz="6" w:space="0" w:color="auto"/>
              <w:bottom w:val="single" w:sz="6" w:space="0" w:color="auto"/>
              <w:right w:val="single" w:sz="6" w:space="0" w:color="auto"/>
            </w:tcBorders>
          </w:tcPr>
          <w:p w14:paraId="0AD51B90"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2C8F2600"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14,4</w:t>
            </w:r>
          </w:p>
        </w:tc>
      </w:tr>
      <w:tr w:rsidR="00D61B3A" w:rsidRPr="003954D9" w14:paraId="77FAD426"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5A8C8B47" w14:textId="020BD1C5" w:rsidR="00A434EF" w:rsidRPr="003954D9" w:rsidRDefault="00DD3DF3">
            <w:pPr>
              <w:autoSpaceDE w:val="0"/>
              <w:autoSpaceDN w:val="0"/>
              <w:adjustRightInd w:val="0"/>
              <w:rPr>
                <w:rFonts w:ascii="Calibri" w:hAnsi="Calibri" w:cs="Calibri"/>
                <w:b/>
                <w:color w:val="000000"/>
                <w:sz w:val="16"/>
                <w:szCs w:val="16"/>
              </w:rPr>
            </w:pPr>
            <w:r>
              <w:rPr>
                <w:rFonts w:ascii="Calibri" w:hAnsi="Calibri" w:cs="Calibri"/>
                <w:b/>
                <w:color w:val="000000"/>
                <w:sz w:val="16"/>
                <w:szCs w:val="16"/>
              </w:rPr>
              <w:t>Övr.</w:t>
            </w:r>
            <w:r w:rsidR="00A434EF" w:rsidRPr="003954D9">
              <w:rPr>
                <w:rFonts w:ascii="Calibri" w:hAnsi="Calibri" w:cs="Calibri"/>
                <w:b/>
                <w:color w:val="000000"/>
                <w:sz w:val="16"/>
                <w:szCs w:val="16"/>
              </w:rPr>
              <w:t xml:space="preserve"> hushåll m. barn</w:t>
            </w:r>
          </w:p>
        </w:tc>
        <w:tc>
          <w:tcPr>
            <w:tcW w:w="709" w:type="dxa"/>
            <w:tcBorders>
              <w:top w:val="single" w:sz="6" w:space="0" w:color="auto"/>
              <w:left w:val="single" w:sz="6" w:space="0" w:color="auto"/>
              <w:bottom w:val="single" w:sz="6" w:space="0" w:color="auto"/>
              <w:right w:val="single" w:sz="6" w:space="0" w:color="auto"/>
            </w:tcBorders>
          </w:tcPr>
          <w:p w14:paraId="5CC816B5"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c>
          <w:tcPr>
            <w:tcW w:w="838" w:type="dxa"/>
            <w:tcBorders>
              <w:top w:val="single" w:sz="6" w:space="0" w:color="auto"/>
              <w:left w:val="single" w:sz="6" w:space="0" w:color="auto"/>
              <w:bottom w:val="single" w:sz="6" w:space="0" w:color="auto"/>
              <w:right w:val="single" w:sz="6" w:space="0" w:color="auto"/>
            </w:tcBorders>
          </w:tcPr>
          <w:p w14:paraId="031BF786"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10,7</w:t>
            </w:r>
          </w:p>
        </w:tc>
        <w:tc>
          <w:tcPr>
            <w:tcW w:w="721" w:type="dxa"/>
            <w:tcBorders>
              <w:top w:val="single" w:sz="6" w:space="0" w:color="auto"/>
              <w:left w:val="single" w:sz="6" w:space="0" w:color="auto"/>
              <w:bottom w:val="single" w:sz="6" w:space="0" w:color="auto"/>
              <w:right w:val="single" w:sz="6" w:space="0" w:color="auto"/>
            </w:tcBorders>
          </w:tcPr>
          <w:p w14:paraId="62F37405" w14:textId="77777777" w:rsidR="00A434EF" w:rsidRPr="003954D9" w:rsidRDefault="00A434EF">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5,9</w:t>
            </w:r>
          </w:p>
        </w:tc>
        <w:tc>
          <w:tcPr>
            <w:tcW w:w="677" w:type="dxa"/>
            <w:tcBorders>
              <w:top w:val="single" w:sz="6" w:space="0" w:color="auto"/>
              <w:left w:val="single" w:sz="6" w:space="0" w:color="auto"/>
              <w:bottom w:val="single" w:sz="6" w:space="0" w:color="auto"/>
              <w:right w:val="single" w:sz="6" w:space="0" w:color="auto"/>
            </w:tcBorders>
          </w:tcPr>
          <w:p w14:paraId="30B6C155"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13,1</w:t>
            </w:r>
          </w:p>
        </w:tc>
        <w:tc>
          <w:tcPr>
            <w:tcW w:w="806" w:type="dxa"/>
            <w:tcBorders>
              <w:top w:val="single" w:sz="6" w:space="0" w:color="auto"/>
              <w:left w:val="single" w:sz="6" w:space="0" w:color="auto"/>
              <w:bottom w:val="single" w:sz="6" w:space="0" w:color="auto"/>
              <w:right w:val="single" w:sz="6" w:space="0" w:color="auto"/>
            </w:tcBorders>
          </w:tcPr>
          <w:p w14:paraId="6E23985E"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9,1</w:t>
            </w:r>
          </w:p>
        </w:tc>
        <w:tc>
          <w:tcPr>
            <w:tcW w:w="821" w:type="dxa"/>
            <w:tcBorders>
              <w:top w:val="single" w:sz="6" w:space="0" w:color="auto"/>
              <w:left w:val="single" w:sz="6" w:space="0" w:color="auto"/>
              <w:bottom w:val="single" w:sz="6" w:space="0" w:color="auto"/>
              <w:right w:val="single" w:sz="6" w:space="0" w:color="auto"/>
            </w:tcBorders>
          </w:tcPr>
          <w:p w14:paraId="66993AB8"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11,6</w:t>
            </w:r>
          </w:p>
        </w:tc>
        <w:tc>
          <w:tcPr>
            <w:tcW w:w="759" w:type="dxa"/>
            <w:tcBorders>
              <w:top w:val="single" w:sz="6" w:space="0" w:color="auto"/>
              <w:left w:val="single" w:sz="6" w:space="0" w:color="auto"/>
              <w:bottom w:val="single" w:sz="6" w:space="0" w:color="auto"/>
              <w:right w:val="single" w:sz="6" w:space="0" w:color="auto"/>
            </w:tcBorders>
          </w:tcPr>
          <w:p w14:paraId="1F6E8654"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13,0</w:t>
            </w:r>
          </w:p>
        </w:tc>
        <w:tc>
          <w:tcPr>
            <w:tcW w:w="764" w:type="dxa"/>
            <w:tcBorders>
              <w:top w:val="single" w:sz="6" w:space="0" w:color="auto"/>
              <w:left w:val="single" w:sz="6" w:space="0" w:color="auto"/>
              <w:bottom w:val="single" w:sz="6" w:space="0" w:color="auto"/>
              <w:right w:val="single" w:sz="6" w:space="0" w:color="auto"/>
            </w:tcBorders>
          </w:tcPr>
          <w:p w14:paraId="6E24040D"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7,5</w:t>
            </w:r>
          </w:p>
        </w:tc>
        <w:tc>
          <w:tcPr>
            <w:tcW w:w="851" w:type="dxa"/>
            <w:tcBorders>
              <w:top w:val="single" w:sz="6" w:space="0" w:color="auto"/>
              <w:left w:val="single" w:sz="6" w:space="0" w:color="auto"/>
              <w:bottom w:val="single" w:sz="6" w:space="0" w:color="auto"/>
              <w:right w:val="single" w:sz="6" w:space="0" w:color="auto"/>
            </w:tcBorders>
          </w:tcPr>
          <w:p w14:paraId="76BC681F"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34F361C7" w14:textId="77777777" w:rsidR="00A434EF" w:rsidRPr="003954D9" w:rsidRDefault="00A434EF">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17,6</w:t>
            </w:r>
          </w:p>
        </w:tc>
      </w:tr>
      <w:tr w:rsidR="00D61B3A" w:rsidRPr="003954D9" w14:paraId="10C4A564" w14:textId="77777777" w:rsidTr="0082650F">
        <w:trPr>
          <w:trHeight w:val="227"/>
        </w:trPr>
        <w:tc>
          <w:tcPr>
            <w:tcW w:w="1873" w:type="dxa"/>
            <w:tcBorders>
              <w:top w:val="single" w:sz="6" w:space="0" w:color="auto"/>
              <w:left w:val="single" w:sz="6" w:space="0" w:color="auto"/>
              <w:bottom w:val="single" w:sz="6" w:space="0" w:color="auto"/>
              <w:right w:val="single" w:sz="6" w:space="0" w:color="auto"/>
            </w:tcBorders>
          </w:tcPr>
          <w:p w14:paraId="6CA9B33B" w14:textId="77777777" w:rsidR="00A434EF" w:rsidRPr="003954D9" w:rsidRDefault="00A434EF">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Antal</w:t>
            </w:r>
          </w:p>
        </w:tc>
        <w:tc>
          <w:tcPr>
            <w:tcW w:w="709" w:type="dxa"/>
            <w:tcBorders>
              <w:top w:val="single" w:sz="6" w:space="0" w:color="auto"/>
              <w:left w:val="single" w:sz="6" w:space="0" w:color="auto"/>
              <w:bottom w:val="single" w:sz="6" w:space="0" w:color="auto"/>
              <w:right w:val="single" w:sz="6" w:space="0" w:color="auto"/>
            </w:tcBorders>
          </w:tcPr>
          <w:p w14:paraId="454DE155"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962</w:t>
            </w:r>
          </w:p>
        </w:tc>
        <w:tc>
          <w:tcPr>
            <w:tcW w:w="838" w:type="dxa"/>
            <w:tcBorders>
              <w:top w:val="single" w:sz="6" w:space="0" w:color="auto"/>
              <w:left w:val="single" w:sz="6" w:space="0" w:color="auto"/>
              <w:bottom w:val="single" w:sz="6" w:space="0" w:color="auto"/>
              <w:right w:val="single" w:sz="6" w:space="0" w:color="auto"/>
            </w:tcBorders>
          </w:tcPr>
          <w:p w14:paraId="57CA604E"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362</w:t>
            </w:r>
          </w:p>
        </w:tc>
        <w:tc>
          <w:tcPr>
            <w:tcW w:w="721" w:type="dxa"/>
            <w:tcBorders>
              <w:top w:val="single" w:sz="6" w:space="0" w:color="auto"/>
              <w:left w:val="single" w:sz="6" w:space="0" w:color="auto"/>
              <w:bottom w:val="single" w:sz="6" w:space="0" w:color="auto"/>
              <w:right w:val="single" w:sz="6" w:space="0" w:color="auto"/>
            </w:tcBorders>
          </w:tcPr>
          <w:p w14:paraId="09DD75CB"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259</w:t>
            </w:r>
          </w:p>
        </w:tc>
        <w:tc>
          <w:tcPr>
            <w:tcW w:w="677" w:type="dxa"/>
            <w:tcBorders>
              <w:top w:val="single" w:sz="6" w:space="0" w:color="auto"/>
              <w:left w:val="single" w:sz="6" w:space="0" w:color="auto"/>
              <w:bottom w:val="single" w:sz="6" w:space="0" w:color="auto"/>
              <w:right w:val="single" w:sz="6" w:space="0" w:color="auto"/>
            </w:tcBorders>
          </w:tcPr>
          <w:p w14:paraId="0FFC9DFA"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w:t>
            </w:r>
          </w:p>
        </w:tc>
        <w:tc>
          <w:tcPr>
            <w:tcW w:w="806" w:type="dxa"/>
            <w:tcBorders>
              <w:top w:val="single" w:sz="6" w:space="0" w:color="auto"/>
              <w:left w:val="single" w:sz="6" w:space="0" w:color="auto"/>
              <w:bottom w:val="single" w:sz="6" w:space="0" w:color="auto"/>
              <w:right w:val="single" w:sz="6" w:space="0" w:color="auto"/>
            </w:tcBorders>
          </w:tcPr>
          <w:p w14:paraId="69454042"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325</w:t>
            </w:r>
          </w:p>
        </w:tc>
        <w:tc>
          <w:tcPr>
            <w:tcW w:w="821" w:type="dxa"/>
            <w:tcBorders>
              <w:top w:val="single" w:sz="6" w:space="0" w:color="auto"/>
              <w:left w:val="single" w:sz="6" w:space="0" w:color="auto"/>
              <w:bottom w:val="single" w:sz="6" w:space="0" w:color="auto"/>
              <w:right w:val="single" w:sz="6" w:space="0" w:color="auto"/>
            </w:tcBorders>
          </w:tcPr>
          <w:p w14:paraId="20BF05E9"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219</w:t>
            </w:r>
          </w:p>
        </w:tc>
        <w:tc>
          <w:tcPr>
            <w:tcW w:w="759" w:type="dxa"/>
            <w:tcBorders>
              <w:top w:val="single" w:sz="6" w:space="0" w:color="auto"/>
              <w:left w:val="single" w:sz="6" w:space="0" w:color="auto"/>
              <w:bottom w:val="single" w:sz="6" w:space="0" w:color="auto"/>
              <w:right w:val="single" w:sz="6" w:space="0" w:color="auto"/>
            </w:tcBorders>
          </w:tcPr>
          <w:p w14:paraId="5B527EA1"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494</w:t>
            </w:r>
          </w:p>
        </w:tc>
        <w:tc>
          <w:tcPr>
            <w:tcW w:w="764" w:type="dxa"/>
            <w:tcBorders>
              <w:top w:val="single" w:sz="6" w:space="0" w:color="auto"/>
              <w:left w:val="single" w:sz="6" w:space="0" w:color="auto"/>
              <w:bottom w:val="single" w:sz="6" w:space="0" w:color="auto"/>
              <w:right w:val="single" w:sz="6" w:space="0" w:color="auto"/>
            </w:tcBorders>
          </w:tcPr>
          <w:p w14:paraId="06D0CF2B"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279</w:t>
            </w:r>
          </w:p>
        </w:tc>
        <w:tc>
          <w:tcPr>
            <w:tcW w:w="851" w:type="dxa"/>
            <w:tcBorders>
              <w:top w:val="single" w:sz="6" w:space="0" w:color="auto"/>
              <w:left w:val="single" w:sz="6" w:space="0" w:color="auto"/>
              <w:bottom w:val="single" w:sz="6" w:space="0" w:color="auto"/>
              <w:right w:val="single" w:sz="6" w:space="0" w:color="auto"/>
            </w:tcBorders>
          </w:tcPr>
          <w:p w14:paraId="13A84E95"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w:t>
            </w:r>
          </w:p>
        </w:tc>
        <w:tc>
          <w:tcPr>
            <w:tcW w:w="903" w:type="dxa"/>
            <w:tcBorders>
              <w:top w:val="single" w:sz="6" w:space="0" w:color="auto"/>
              <w:left w:val="single" w:sz="6" w:space="0" w:color="auto"/>
              <w:bottom w:val="single" w:sz="6" w:space="0" w:color="auto"/>
              <w:right w:val="single" w:sz="6" w:space="0" w:color="auto"/>
            </w:tcBorders>
          </w:tcPr>
          <w:p w14:paraId="3ADB792E" w14:textId="77777777" w:rsidR="00A434EF" w:rsidRPr="003954D9" w:rsidRDefault="00A434E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727</w:t>
            </w:r>
          </w:p>
        </w:tc>
      </w:tr>
    </w:tbl>
    <w:p w14:paraId="0B212C99" w14:textId="77777777" w:rsidR="00185E91" w:rsidRPr="003954D9" w:rsidRDefault="00185E91" w:rsidP="00185E91">
      <w:pPr>
        <w:rPr>
          <w:sz w:val="16"/>
          <w:szCs w:val="16"/>
        </w:rPr>
      </w:pPr>
      <w:r w:rsidRPr="00DD227A">
        <w:rPr>
          <w:b/>
          <w:color w:val="FF0000"/>
          <w:sz w:val="16"/>
          <w:szCs w:val="16"/>
        </w:rPr>
        <w:t>Röd färg högsta</w:t>
      </w:r>
      <w:r w:rsidRPr="00DD227A">
        <w:rPr>
          <w:color w:val="FF0000"/>
          <w:sz w:val="16"/>
          <w:szCs w:val="16"/>
        </w:rPr>
        <w:t xml:space="preserve"> </w:t>
      </w:r>
      <w:r w:rsidRPr="003954D9">
        <w:rPr>
          <w:sz w:val="16"/>
          <w:szCs w:val="16"/>
        </w:rPr>
        <w:t xml:space="preserve">och </w:t>
      </w:r>
      <w:r w:rsidRPr="00DD227A">
        <w:rPr>
          <w:b/>
          <w:color w:val="0070C0"/>
          <w:sz w:val="16"/>
          <w:szCs w:val="16"/>
        </w:rPr>
        <w:t>blå färg lägsta</w:t>
      </w:r>
      <w:r w:rsidRPr="00DD227A">
        <w:rPr>
          <w:color w:val="0070C0"/>
          <w:sz w:val="16"/>
          <w:szCs w:val="16"/>
        </w:rPr>
        <w:t xml:space="preserve"> </w:t>
      </w:r>
      <w:r w:rsidRPr="003954D9">
        <w:rPr>
          <w:sz w:val="16"/>
          <w:szCs w:val="16"/>
        </w:rPr>
        <w:t>värde i grupp.</w:t>
      </w:r>
    </w:p>
    <w:p w14:paraId="2F0AB0F2" w14:textId="14231391" w:rsidR="000B781A" w:rsidRPr="003954D9" w:rsidRDefault="000B781A" w:rsidP="000B781A">
      <w:pPr>
        <w:pStyle w:val="Rubrik3"/>
      </w:pPr>
      <w:bookmarkStart w:id="138" w:name="_Toc463184418"/>
      <w:bookmarkStart w:id="139" w:name="_Toc464828423"/>
      <w:r w:rsidRPr="003954D9">
        <w:t xml:space="preserve">Hushållstyper - hur mycket har man kvar efter en hyreshöjning på 5 </w:t>
      </w:r>
      <w:r w:rsidR="00475673" w:rsidRPr="003954D9">
        <w:t>procent</w:t>
      </w:r>
      <w:r w:rsidRPr="003954D9">
        <w:t>?</w:t>
      </w:r>
      <w:bookmarkEnd w:id="138"/>
      <w:bookmarkEnd w:id="139"/>
    </w:p>
    <w:p w14:paraId="21A4D7DA" w14:textId="36C39FB1" w:rsidR="000B781A" w:rsidRPr="003954D9" w:rsidRDefault="00D27403" w:rsidP="000B781A">
      <w:r w:rsidRPr="003954D9">
        <w:t xml:space="preserve">Med en hyreshöjning på </w:t>
      </w:r>
      <w:r w:rsidR="00420515" w:rsidRPr="003954D9">
        <w:t xml:space="preserve">5 procent </w:t>
      </w:r>
      <w:r w:rsidRPr="003954D9">
        <w:t xml:space="preserve">är det ensamstående med barn </w:t>
      </w:r>
      <w:r w:rsidR="00365C66" w:rsidRPr="003954D9">
        <w:t>0–19</w:t>
      </w:r>
      <w:r w:rsidRPr="003954D9">
        <w:t xml:space="preserve"> år och stora barnfamiljer (samboende med 3 eller fler barn </w:t>
      </w:r>
      <w:r w:rsidR="00365C66" w:rsidRPr="003954D9">
        <w:t>0–19</w:t>
      </w:r>
      <w:r w:rsidRPr="003954D9">
        <w:t xml:space="preserve"> år) i Angered, Västra Hisingen och Östra Göteborg som har minst kvar över skälig levnadsnivå per person och månad när hyran är </w:t>
      </w:r>
      <w:r w:rsidRPr="003954D9">
        <w:lastRenderedPageBreak/>
        <w:t xml:space="preserve">betald. Mest kvar utöver skälig levnadsnivå har samboende utan barn i åldern </w:t>
      </w:r>
      <w:r w:rsidR="00365C66" w:rsidRPr="003954D9">
        <w:t>18–64</w:t>
      </w:r>
      <w:r w:rsidRPr="003954D9">
        <w:t xml:space="preserve"> år, framf</w:t>
      </w:r>
      <w:r w:rsidR="00CB657C" w:rsidRPr="003954D9">
        <w:t xml:space="preserve">örallt i Centrum, Majorna-Linnéstaden </w:t>
      </w:r>
      <w:r w:rsidRPr="003954D9">
        <w:t>och Örgryte-Härlanda.</w:t>
      </w:r>
      <w:r w:rsidR="00DD227A">
        <w:t xml:space="preserve"> Se tabell 5:7.</w:t>
      </w:r>
    </w:p>
    <w:p w14:paraId="29688B6A" w14:textId="2F7DB783" w:rsidR="000B781A" w:rsidRPr="003954D9" w:rsidRDefault="00507462" w:rsidP="000B781A">
      <w:pPr>
        <w:pStyle w:val="Rubrik5"/>
        <w:rPr>
          <w:lang w:eastAsia="en-US"/>
        </w:rPr>
      </w:pPr>
      <w:r w:rsidRPr="003954D9">
        <w:rPr>
          <w:lang w:eastAsia="en-US"/>
        </w:rPr>
        <w:t>T</w:t>
      </w:r>
      <w:r w:rsidR="000B781A" w:rsidRPr="003954D9">
        <w:rPr>
          <w:lang w:eastAsia="en-US"/>
        </w:rPr>
        <w:t>abell 5:</w:t>
      </w:r>
      <w:r w:rsidR="00D27403" w:rsidRPr="003954D9">
        <w:rPr>
          <w:lang w:eastAsia="en-US"/>
        </w:rPr>
        <w:t>7</w:t>
      </w:r>
      <w:r w:rsidR="000B781A" w:rsidRPr="003954D9">
        <w:rPr>
          <w:lang w:eastAsia="en-US"/>
        </w:rPr>
        <w:t>: Kvar utöver skälig levnadsnivå efter en hyreshöjning på 5 procent - medelvärden i kronor per månad per person i olika hushållstyper och stadsdel</w:t>
      </w:r>
    </w:p>
    <w:tbl>
      <w:tblPr>
        <w:tblW w:w="9812" w:type="dxa"/>
        <w:tblInd w:w="-38" w:type="dxa"/>
        <w:tblLayout w:type="fixed"/>
        <w:tblLook w:val="0000" w:firstRow="0" w:lastRow="0" w:firstColumn="0" w:lastColumn="0" w:noHBand="0" w:noVBand="0"/>
      </w:tblPr>
      <w:tblGrid>
        <w:gridCol w:w="1590"/>
        <w:gridCol w:w="807"/>
        <w:gridCol w:w="885"/>
        <w:gridCol w:w="821"/>
        <w:gridCol w:w="747"/>
        <w:gridCol w:w="821"/>
        <w:gridCol w:w="821"/>
        <w:gridCol w:w="789"/>
        <w:gridCol w:w="830"/>
        <w:gridCol w:w="850"/>
        <w:gridCol w:w="851"/>
      </w:tblGrid>
      <w:tr w:rsidR="000B781A" w:rsidRPr="003954D9" w14:paraId="5B4F05DD" w14:textId="77777777" w:rsidTr="000B781A">
        <w:trPr>
          <w:trHeight w:val="653"/>
        </w:trPr>
        <w:tc>
          <w:tcPr>
            <w:tcW w:w="1590" w:type="dxa"/>
            <w:tcBorders>
              <w:top w:val="single" w:sz="6" w:space="0" w:color="auto"/>
              <w:left w:val="single" w:sz="6" w:space="0" w:color="auto"/>
              <w:bottom w:val="single" w:sz="6" w:space="0" w:color="auto"/>
              <w:right w:val="single" w:sz="6" w:space="0" w:color="auto"/>
            </w:tcBorders>
          </w:tcPr>
          <w:p w14:paraId="08C4D635" w14:textId="77777777" w:rsidR="000B781A" w:rsidRPr="003954D9" w:rsidRDefault="000B781A">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Hushållstyp</w:t>
            </w:r>
          </w:p>
        </w:tc>
        <w:tc>
          <w:tcPr>
            <w:tcW w:w="807" w:type="dxa"/>
            <w:tcBorders>
              <w:top w:val="single" w:sz="6" w:space="0" w:color="auto"/>
              <w:left w:val="single" w:sz="6" w:space="0" w:color="auto"/>
              <w:bottom w:val="single" w:sz="6" w:space="0" w:color="auto"/>
              <w:right w:val="single" w:sz="6" w:space="0" w:color="auto"/>
            </w:tcBorders>
          </w:tcPr>
          <w:p w14:paraId="025A6D00" w14:textId="77777777" w:rsidR="000B781A" w:rsidRPr="003954D9" w:rsidRDefault="000B781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85" w:type="dxa"/>
            <w:tcBorders>
              <w:top w:val="single" w:sz="6" w:space="0" w:color="auto"/>
              <w:left w:val="single" w:sz="6" w:space="0" w:color="auto"/>
              <w:bottom w:val="single" w:sz="6" w:space="0" w:color="auto"/>
              <w:right w:val="single" w:sz="6" w:space="0" w:color="auto"/>
            </w:tcBorders>
          </w:tcPr>
          <w:p w14:paraId="62143FE3" w14:textId="77777777" w:rsidR="000B781A" w:rsidRPr="003954D9" w:rsidRDefault="000B781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21" w:type="dxa"/>
            <w:tcBorders>
              <w:top w:val="single" w:sz="6" w:space="0" w:color="auto"/>
              <w:left w:val="single" w:sz="6" w:space="0" w:color="auto"/>
              <w:bottom w:val="single" w:sz="6" w:space="0" w:color="auto"/>
              <w:right w:val="single" w:sz="6" w:space="0" w:color="auto"/>
            </w:tcBorders>
          </w:tcPr>
          <w:p w14:paraId="3DE3CBB9" w14:textId="77777777" w:rsidR="000B781A" w:rsidRPr="003954D9" w:rsidRDefault="000B781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47" w:type="dxa"/>
            <w:tcBorders>
              <w:top w:val="single" w:sz="6" w:space="0" w:color="auto"/>
              <w:left w:val="single" w:sz="6" w:space="0" w:color="auto"/>
              <w:bottom w:val="single" w:sz="6" w:space="0" w:color="auto"/>
              <w:right w:val="single" w:sz="6" w:space="0" w:color="auto"/>
            </w:tcBorders>
          </w:tcPr>
          <w:p w14:paraId="670B4408" w14:textId="77777777" w:rsidR="000B781A" w:rsidRPr="003954D9" w:rsidRDefault="000B781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21" w:type="dxa"/>
            <w:tcBorders>
              <w:top w:val="single" w:sz="6" w:space="0" w:color="auto"/>
              <w:left w:val="single" w:sz="6" w:space="0" w:color="auto"/>
              <w:bottom w:val="single" w:sz="6" w:space="0" w:color="auto"/>
              <w:right w:val="single" w:sz="6" w:space="0" w:color="auto"/>
            </w:tcBorders>
          </w:tcPr>
          <w:p w14:paraId="363DE037" w14:textId="77777777" w:rsidR="000B781A" w:rsidRPr="003954D9" w:rsidRDefault="000B781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 Linne</w:t>
            </w:r>
          </w:p>
        </w:tc>
        <w:tc>
          <w:tcPr>
            <w:tcW w:w="821" w:type="dxa"/>
            <w:tcBorders>
              <w:top w:val="single" w:sz="6" w:space="0" w:color="auto"/>
              <w:left w:val="single" w:sz="6" w:space="0" w:color="auto"/>
              <w:bottom w:val="single" w:sz="6" w:space="0" w:color="auto"/>
              <w:right w:val="single" w:sz="6" w:space="0" w:color="auto"/>
            </w:tcBorders>
          </w:tcPr>
          <w:p w14:paraId="7ECF7ABD" w14:textId="77777777" w:rsidR="000B781A" w:rsidRPr="003954D9" w:rsidRDefault="000B781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89" w:type="dxa"/>
            <w:tcBorders>
              <w:top w:val="single" w:sz="6" w:space="0" w:color="auto"/>
              <w:left w:val="single" w:sz="6" w:space="0" w:color="auto"/>
              <w:bottom w:val="single" w:sz="6" w:space="0" w:color="auto"/>
              <w:right w:val="single" w:sz="6" w:space="0" w:color="auto"/>
            </w:tcBorders>
          </w:tcPr>
          <w:p w14:paraId="78A49FEA" w14:textId="77777777" w:rsidR="000B781A" w:rsidRPr="003954D9" w:rsidRDefault="000B781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30" w:type="dxa"/>
            <w:tcBorders>
              <w:top w:val="single" w:sz="6" w:space="0" w:color="auto"/>
              <w:left w:val="single" w:sz="6" w:space="0" w:color="auto"/>
              <w:bottom w:val="single" w:sz="6" w:space="0" w:color="auto"/>
              <w:right w:val="single" w:sz="6" w:space="0" w:color="auto"/>
            </w:tcBorders>
          </w:tcPr>
          <w:p w14:paraId="5E97CC91" w14:textId="77777777" w:rsidR="000B781A" w:rsidRPr="003954D9" w:rsidRDefault="000B781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0" w:type="dxa"/>
            <w:tcBorders>
              <w:top w:val="single" w:sz="6" w:space="0" w:color="auto"/>
              <w:left w:val="single" w:sz="6" w:space="0" w:color="auto"/>
              <w:bottom w:val="single" w:sz="6" w:space="0" w:color="auto"/>
              <w:right w:val="single" w:sz="6" w:space="0" w:color="auto"/>
            </w:tcBorders>
          </w:tcPr>
          <w:p w14:paraId="008FBA8F" w14:textId="77777777" w:rsidR="000B781A" w:rsidRPr="003954D9" w:rsidRDefault="000B781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51" w:type="dxa"/>
            <w:tcBorders>
              <w:top w:val="single" w:sz="6" w:space="0" w:color="auto"/>
              <w:left w:val="single" w:sz="6" w:space="0" w:color="auto"/>
              <w:bottom w:val="single" w:sz="6" w:space="0" w:color="auto"/>
              <w:right w:val="single" w:sz="6" w:space="0" w:color="auto"/>
            </w:tcBorders>
          </w:tcPr>
          <w:p w14:paraId="24F4B84C" w14:textId="77777777" w:rsidR="000B781A" w:rsidRPr="003954D9" w:rsidRDefault="000B781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0B781A" w:rsidRPr="003954D9" w14:paraId="5E58E221" w14:textId="77777777" w:rsidTr="000B781A">
        <w:trPr>
          <w:trHeight w:val="290"/>
        </w:trPr>
        <w:tc>
          <w:tcPr>
            <w:tcW w:w="1590" w:type="dxa"/>
            <w:tcBorders>
              <w:top w:val="single" w:sz="6" w:space="0" w:color="auto"/>
              <w:left w:val="single" w:sz="6" w:space="0" w:color="auto"/>
              <w:bottom w:val="single" w:sz="6" w:space="0" w:color="auto"/>
              <w:right w:val="single" w:sz="6" w:space="0" w:color="auto"/>
            </w:tcBorders>
          </w:tcPr>
          <w:p w14:paraId="01A0D4DB" w14:textId="2222B643" w:rsidR="000B781A" w:rsidRPr="003954D9" w:rsidRDefault="000B781A">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12127E06" w14:textId="77777777" w:rsidR="000B781A" w:rsidRPr="003954D9" w:rsidRDefault="000B781A">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3 487</w:t>
            </w:r>
          </w:p>
        </w:tc>
        <w:tc>
          <w:tcPr>
            <w:tcW w:w="885" w:type="dxa"/>
            <w:tcBorders>
              <w:top w:val="single" w:sz="6" w:space="0" w:color="auto"/>
              <w:left w:val="single" w:sz="6" w:space="0" w:color="auto"/>
              <w:bottom w:val="single" w:sz="6" w:space="0" w:color="auto"/>
              <w:right w:val="single" w:sz="6" w:space="0" w:color="auto"/>
            </w:tcBorders>
          </w:tcPr>
          <w:p w14:paraId="6A7962F4"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5 894</w:t>
            </w:r>
          </w:p>
        </w:tc>
        <w:tc>
          <w:tcPr>
            <w:tcW w:w="821" w:type="dxa"/>
            <w:tcBorders>
              <w:top w:val="single" w:sz="6" w:space="0" w:color="auto"/>
              <w:left w:val="single" w:sz="6" w:space="0" w:color="auto"/>
              <w:bottom w:val="single" w:sz="6" w:space="0" w:color="auto"/>
              <w:right w:val="single" w:sz="6" w:space="0" w:color="auto"/>
            </w:tcBorders>
          </w:tcPr>
          <w:p w14:paraId="4DD60784"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6 921</w:t>
            </w:r>
          </w:p>
        </w:tc>
        <w:tc>
          <w:tcPr>
            <w:tcW w:w="747" w:type="dxa"/>
            <w:tcBorders>
              <w:top w:val="single" w:sz="6" w:space="0" w:color="auto"/>
              <w:left w:val="single" w:sz="6" w:space="0" w:color="auto"/>
              <w:bottom w:val="single" w:sz="6" w:space="0" w:color="auto"/>
              <w:right w:val="single" w:sz="6" w:space="0" w:color="auto"/>
            </w:tcBorders>
          </w:tcPr>
          <w:p w14:paraId="26EB1F15"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6 353</w:t>
            </w:r>
          </w:p>
        </w:tc>
        <w:tc>
          <w:tcPr>
            <w:tcW w:w="821" w:type="dxa"/>
            <w:tcBorders>
              <w:top w:val="single" w:sz="6" w:space="0" w:color="auto"/>
              <w:left w:val="single" w:sz="6" w:space="0" w:color="auto"/>
              <w:bottom w:val="single" w:sz="6" w:space="0" w:color="auto"/>
              <w:right w:val="single" w:sz="6" w:space="0" w:color="auto"/>
            </w:tcBorders>
          </w:tcPr>
          <w:p w14:paraId="25143116"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7 428</w:t>
            </w:r>
          </w:p>
        </w:tc>
        <w:tc>
          <w:tcPr>
            <w:tcW w:w="821" w:type="dxa"/>
            <w:tcBorders>
              <w:top w:val="single" w:sz="6" w:space="0" w:color="auto"/>
              <w:left w:val="single" w:sz="6" w:space="0" w:color="auto"/>
              <w:bottom w:val="single" w:sz="6" w:space="0" w:color="auto"/>
              <w:right w:val="single" w:sz="6" w:space="0" w:color="auto"/>
            </w:tcBorders>
          </w:tcPr>
          <w:p w14:paraId="12ABE546"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6 127</w:t>
            </w:r>
          </w:p>
        </w:tc>
        <w:tc>
          <w:tcPr>
            <w:tcW w:w="789" w:type="dxa"/>
            <w:tcBorders>
              <w:top w:val="single" w:sz="6" w:space="0" w:color="auto"/>
              <w:left w:val="single" w:sz="6" w:space="0" w:color="auto"/>
              <w:bottom w:val="single" w:sz="6" w:space="0" w:color="auto"/>
              <w:right w:val="single" w:sz="6" w:space="0" w:color="auto"/>
            </w:tcBorders>
          </w:tcPr>
          <w:p w14:paraId="67875E75"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4 282</w:t>
            </w:r>
          </w:p>
        </w:tc>
        <w:tc>
          <w:tcPr>
            <w:tcW w:w="830" w:type="dxa"/>
            <w:tcBorders>
              <w:top w:val="single" w:sz="6" w:space="0" w:color="auto"/>
              <w:left w:val="single" w:sz="6" w:space="0" w:color="auto"/>
              <w:bottom w:val="single" w:sz="6" w:space="0" w:color="auto"/>
              <w:right w:val="single" w:sz="6" w:space="0" w:color="auto"/>
            </w:tcBorders>
          </w:tcPr>
          <w:p w14:paraId="4F3F98E7"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7 279</w:t>
            </w:r>
          </w:p>
        </w:tc>
        <w:tc>
          <w:tcPr>
            <w:tcW w:w="850" w:type="dxa"/>
            <w:tcBorders>
              <w:top w:val="single" w:sz="6" w:space="0" w:color="auto"/>
              <w:left w:val="single" w:sz="6" w:space="0" w:color="auto"/>
              <w:bottom w:val="single" w:sz="6" w:space="0" w:color="auto"/>
              <w:right w:val="single" w:sz="6" w:space="0" w:color="auto"/>
            </w:tcBorders>
          </w:tcPr>
          <w:p w14:paraId="55D9AD0F" w14:textId="77777777" w:rsidR="000B781A" w:rsidRPr="003954D9" w:rsidRDefault="000B781A">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7 472</w:t>
            </w:r>
          </w:p>
        </w:tc>
        <w:tc>
          <w:tcPr>
            <w:tcW w:w="851" w:type="dxa"/>
            <w:tcBorders>
              <w:top w:val="single" w:sz="6" w:space="0" w:color="auto"/>
              <w:left w:val="single" w:sz="6" w:space="0" w:color="auto"/>
              <w:bottom w:val="single" w:sz="6" w:space="0" w:color="auto"/>
              <w:right w:val="single" w:sz="6" w:space="0" w:color="auto"/>
            </w:tcBorders>
          </w:tcPr>
          <w:p w14:paraId="1AD0FBCF"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4 266</w:t>
            </w:r>
          </w:p>
        </w:tc>
      </w:tr>
      <w:tr w:rsidR="000B781A" w:rsidRPr="003954D9" w14:paraId="35B0430E" w14:textId="77777777" w:rsidTr="000B781A">
        <w:trPr>
          <w:trHeight w:val="290"/>
        </w:trPr>
        <w:tc>
          <w:tcPr>
            <w:tcW w:w="1590" w:type="dxa"/>
            <w:tcBorders>
              <w:top w:val="single" w:sz="6" w:space="0" w:color="auto"/>
              <w:left w:val="single" w:sz="6" w:space="0" w:color="auto"/>
              <w:bottom w:val="single" w:sz="6" w:space="0" w:color="auto"/>
              <w:right w:val="single" w:sz="6" w:space="0" w:color="auto"/>
            </w:tcBorders>
          </w:tcPr>
          <w:p w14:paraId="12E7F318" w14:textId="6687088E" w:rsidR="000B781A" w:rsidRPr="003954D9" w:rsidRDefault="000B781A">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65-år</w:t>
            </w:r>
          </w:p>
        </w:tc>
        <w:tc>
          <w:tcPr>
            <w:tcW w:w="807" w:type="dxa"/>
            <w:tcBorders>
              <w:top w:val="single" w:sz="6" w:space="0" w:color="auto"/>
              <w:left w:val="single" w:sz="6" w:space="0" w:color="auto"/>
              <w:bottom w:val="single" w:sz="6" w:space="0" w:color="auto"/>
              <w:right w:val="single" w:sz="6" w:space="0" w:color="auto"/>
            </w:tcBorders>
          </w:tcPr>
          <w:p w14:paraId="676590CB" w14:textId="77777777" w:rsidR="000B781A" w:rsidRPr="003954D9" w:rsidRDefault="000B781A">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1 783</w:t>
            </w:r>
          </w:p>
        </w:tc>
        <w:tc>
          <w:tcPr>
            <w:tcW w:w="885" w:type="dxa"/>
            <w:tcBorders>
              <w:top w:val="single" w:sz="6" w:space="0" w:color="auto"/>
              <w:left w:val="single" w:sz="6" w:space="0" w:color="auto"/>
              <w:bottom w:val="single" w:sz="6" w:space="0" w:color="auto"/>
              <w:right w:val="single" w:sz="6" w:space="0" w:color="auto"/>
            </w:tcBorders>
          </w:tcPr>
          <w:p w14:paraId="3E70BAFA"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2 692</w:t>
            </w:r>
          </w:p>
        </w:tc>
        <w:tc>
          <w:tcPr>
            <w:tcW w:w="821" w:type="dxa"/>
            <w:tcBorders>
              <w:top w:val="single" w:sz="6" w:space="0" w:color="auto"/>
              <w:left w:val="single" w:sz="6" w:space="0" w:color="auto"/>
              <w:bottom w:val="single" w:sz="6" w:space="0" w:color="auto"/>
              <w:right w:val="single" w:sz="6" w:space="0" w:color="auto"/>
            </w:tcBorders>
          </w:tcPr>
          <w:p w14:paraId="05C1CCA2"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4 524</w:t>
            </w:r>
          </w:p>
        </w:tc>
        <w:tc>
          <w:tcPr>
            <w:tcW w:w="747" w:type="dxa"/>
            <w:tcBorders>
              <w:top w:val="single" w:sz="6" w:space="0" w:color="auto"/>
              <w:left w:val="single" w:sz="6" w:space="0" w:color="auto"/>
              <w:bottom w:val="single" w:sz="6" w:space="0" w:color="auto"/>
              <w:right w:val="single" w:sz="6" w:space="0" w:color="auto"/>
            </w:tcBorders>
          </w:tcPr>
          <w:p w14:paraId="76D42516"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3 986</w:t>
            </w:r>
          </w:p>
        </w:tc>
        <w:tc>
          <w:tcPr>
            <w:tcW w:w="821" w:type="dxa"/>
            <w:tcBorders>
              <w:top w:val="single" w:sz="6" w:space="0" w:color="auto"/>
              <w:left w:val="single" w:sz="6" w:space="0" w:color="auto"/>
              <w:bottom w:val="single" w:sz="6" w:space="0" w:color="auto"/>
              <w:right w:val="single" w:sz="6" w:space="0" w:color="auto"/>
            </w:tcBorders>
          </w:tcPr>
          <w:p w14:paraId="439FACB6"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4 892</w:t>
            </w:r>
          </w:p>
        </w:tc>
        <w:tc>
          <w:tcPr>
            <w:tcW w:w="821" w:type="dxa"/>
            <w:tcBorders>
              <w:top w:val="single" w:sz="6" w:space="0" w:color="auto"/>
              <w:left w:val="single" w:sz="6" w:space="0" w:color="auto"/>
              <w:bottom w:val="single" w:sz="6" w:space="0" w:color="auto"/>
              <w:right w:val="single" w:sz="6" w:space="0" w:color="auto"/>
            </w:tcBorders>
          </w:tcPr>
          <w:p w14:paraId="5FB1955C"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2 658</w:t>
            </w:r>
          </w:p>
        </w:tc>
        <w:tc>
          <w:tcPr>
            <w:tcW w:w="789" w:type="dxa"/>
            <w:tcBorders>
              <w:top w:val="single" w:sz="6" w:space="0" w:color="auto"/>
              <w:left w:val="single" w:sz="6" w:space="0" w:color="auto"/>
              <w:bottom w:val="single" w:sz="6" w:space="0" w:color="auto"/>
              <w:right w:val="single" w:sz="6" w:space="0" w:color="auto"/>
            </w:tcBorders>
          </w:tcPr>
          <w:p w14:paraId="3ABBE30F"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2 627</w:t>
            </w:r>
          </w:p>
        </w:tc>
        <w:tc>
          <w:tcPr>
            <w:tcW w:w="830" w:type="dxa"/>
            <w:tcBorders>
              <w:top w:val="single" w:sz="6" w:space="0" w:color="auto"/>
              <w:left w:val="single" w:sz="6" w:space="0" w:color="auto"/>
              <w:bottom w:val="single" w:sz="6" w:space="0" w:color="auto"/>
              <w:right w:val="single" w:sz="6" w:space="0" w:color="auto"/>
            </w:tcBorders>
          </w:tcPr>
          <w:p w14:paraId="55027ADC" w14:textId="77777777" w:rsidR="000B781A" w:rsidRPr="003954D9" w:rsidRDefault="000B781A">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5 429</w:t>
            </w:r>
          </w:p>
        </w:tc>
        <w:tc>
          <w:tcPr>
            <w:tcW w:w="850" w:type="dxa"/>
            <w:tcBorders>
              <w:top w:val="single" w:sz="6" w:space="0" w:color="auto"/>
              <w:left w:val="single" w:sz="6" w:space="0" w:color="auto"/>
              <w:bottom w:val="single" w:sz="6" w:space="0" w:color="auto"/>
              <w:right w:val="single" w:sz="6" w:space="0" w:color="auto"/>
            </w:tcBorders>
          </w:tcPr>
          <w:p w14:paraId="5B301D8A"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3 619</w:t>
            </w:r>
          </w:p>
        </w:tc>
        <w:tc>
          <w:tcPr>
            <w:tcW w:w="851" w:type="dxa"/>
            <w:tcBorders>
              <w:top w:val="single" w:sz="6" w:space="0" w:color="auto"/>
              <w:left w:val="single" w:sz="6" w:space="0" w:color="auto"/>
              <w:bottom w:val="single" w:sz="6" w:space="0" w:color="auto"/>
              <w:right w:val="single" w:sz="6" w:space="0" w:color="auto"/>
            </w:tcBorders>
          </w:tcPr>
          <w:p w14:paraId="5FEA2C3E"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2 247</w:t>
            </w:r>
          </w:p>
        </w:tc>
      </w:tr>
      <w:tr w:rsidR="000B781A" w:rsidRPr="003954D9" w14:paraId="00214D1C" w14:textId="77777777" w:rsidTr="000B781A">
        <w:trPr>
          <w:trHeight w:val="290"/>
        </w:trPr>
        <w:tc>
          <w:tcPr>
            <w:tcW w:w="1590" w:type="dxa"/>
            <w:tcBorders>
              <w:top w:val="single" w:sz="6" w:space="0" w:color="auto"/>
              <w:left w:val="single" w:sz="6" w:space="0" w:color="auto"/>
              <w:bottom w:val="single" w:sz="6" w:space="0" w:color="auto"/>
              <w:right w:val="single" w:sz="6" w:space="0" w:color="auto"/>
            </w:tcBorders>
          </w:tcPr>
          <w:p w14:paraId="46094594" w14:textId="0AE72628" w:rsidR="000B781A" w:rsidRPr="003954D9" w:rsidRDefault="000B781A">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Ensamst. m.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6CBF2245" w14:textId="77777777" w:rsidR="000B781A" w:rsidRPr="003954D9" w:rsidRDefault="000B781A">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635</w:t>
            </w:r>
          </w:p>
        </w:tc>
        <w:tc>
          <w:tcPr>
            <w:tcW w:w="885" w:type="dxa"/>
            <w:tcBorders>
              <w:top w:val="single" w:sz="6" w:space="0" w:color="auto"/>
              <w:left w:val="single" w:sz="6" w:space="0" w:color="auto"/>
              <w:bottom w:val="single" w:sz="6" w:space="0" w:color="auto"/>
              <w:right w:val="single" w:sz="6" w:space="0" w:color="auto"/>
            </w:tcBorders>
          </w:tcPr>
          <w:p w14:paraId="7B92934B"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1 548</w:t>
            </w:r>
          </w:p>
        </w:tc>
        <w:tc>
          <w:tcPr>
            <w:tcW w:w="821" w:type="dxa"/>
            <w:tcBorders>
              <w:top w:val="single" w:sz="6" w:space="0" w:color="auto"/>
              <w:left w:val="single" w:sz="6" w:space="0" w:color="auto"/>
              <w:bottom w:val="single" w:sz="6" w:space="0" w:color="auto"/>
              <w:right w:val="single" w:sz="6" w:space="0" w:color="auto"/>
            </w:tcBorders>
          </w:tcPr>
          <w:p w14:paraId="4129A98B" w14:textId="77777777" w:rsidR="000B781A" w:rsidRPr="003954D9" w:rsidRDefault="000B781A">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2 925</w:t>
            </w:r>
          </w:p>
        </w:tc>
        <w:tc>
          <w:tcPr>
            <w:tcW w:w="747" w:type="dxa"/>
            <w:tcBorders>
              <w:top w:val="single" w:sz="6" w:space="0" w:color="auto"/>
              <w:left w:val="single" w:sz="6" w:space="0" w:color="auto"/>
              <w:bottom w:val="single" w:sz="6" w:space="0" w:color="auto"/>
              <w:right w:val="single" w:sz="6" w:space="0" w:color="auto"/>
            </w:tcBorders>
          </w:tcPr>
          <w:p w14:paraId="765A18BA"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1 298</w:t>
            </w:r>
          </w:p>
        </w:tc>
        <w:tc>
          <w:tcPr>
            <w:tcW w:w="821" w:type="dxa"/>
            <w:tcBorders>
              <w:top w:val="single" w:sz="6" w:space="0" w:color="auto"/>
              <w:left w:val="single" w:sz="6" w:space="0" w:color="auto"/>
              <w:bottom w:val="single" w:sz="6" w:space="0" w:color="auto"/>
              <w:right w:val="single" w:sz="6" w:space="0" w:color="auto"/>
            </w:tcBorders>
          </w:tcPr>
          <w:p w14:paraId="79739299"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2 705</w:t>
            </w:r>
          </w:p>
        </w:tc>
        <w:tc>
          <w:tcPr>
            <w:tcW w:w="821" w:type="dxa"/>
            <w:tcBorders>
              <w:top w:val="single" w:sz="6" w:space="0" w:color="auto"/>
              <w:left w:val="single" w:sz="6" w:space="0" w:color="auto"/>
              <w:bottom w:val="single" w:sz="6" w:space="0" w:color="auto"/>
              <w:right w:val="single" w:sz="6" w:space="0" w:color="auto"/>
            </w:tcBorders>
          </w:tcPr>
          <w:p w14:paraId="61CC01AC"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1 571</w:t>
            </w:r>
          </w:p>
        </w:tc>
        <w:tc>
          <w:tcPr>
            <w:tcW w:w="789" w:type="dxa"/>
            <w:tcBorders>
              <w:top w:val="single" w:sz="6" w:space="0" w:color="auto"/>
              <w:left w:val="single" w:sz="6" w:space="0" w:color="auto"/>
              <w:bottom w:val="single" w:sz="6" w:space="0" w:color="auto"/>
              <w:right w:val="single" w:sz="6" w:space="0" w:color="auto"/>
            </w:tcBorders>
          </w:tcPr>
          <w:p w14:paraId="6A691AB1"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712</w:t>
            </w:r>
          </w:p>
        </w:tc>
        <w:tc>
          <w:tcPr>
            <w:tcW w:w="830" w:type="dxa"/>
            <w:tcBorders>
              <w:top w:val="single" w:sz="6" w:space="0" w:color="auto"/>
              <w:left w:val="single" w:sz="6" w:space="0" w:color="auto"/>
              <w:bottom w:val="single" w:sz="6" w:space="0" w:color="auto"/>
              <w:right w:val="single" w:sz="6" w:space="0" w:color="auto"/>
            </w:tcBorders>
          </w:tcPr>
          <w:p w14:paraId="5D31F821"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2 373</w:t>
            </w:r>
          </w:p>
        </w:tc>
        <w:tc>
          <w:tcPr>
            <w:tcW w:w="850" w:type="dxa"/>
            <w:tcBorders>
              <w:top w:val="single" w:sz="6" w:space="0" w:color="auto"/>
              <w:left w:val="single" w:sz="6" w:space="0" w:color="auto"/>
              <w:bottom w:val="single" w:sz="6" w:space="0" w:color="auto"/>
              <w:right w:val="single" w:sz="6" w:space="0" w:color="auto"/>
            </w:tcBorders>
          </w:tcPr>
          <w:p w14:paraId="6108DF2E"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2 108</w:t>
            </w:r>
          </w:p>
        </w:tc>
        <w:tc>
          <w:tcPr>
            <w:tcW w:w="851" w:type="dxa"/>
            <w:tcBorders>
              <w:top w:val="single" w:sz="6" w:space="0" w:color="auto"/>
              <w:left w:val="single" w:sz="6" w:space="0" w:color="auto"/>
              <w:bottom w:val="single" w:sz="6" w:space="0" w:color="auto"/>
              <w:right w:val="single" w:sz="6" w:space="0" w:color="auto"/>
            </w:tcBorders>
          </w:tcPr>
          <w:p w14:paraId="2C66D5B5"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844</w:t>
            </w:r>
          </w:p>
        </w:tc>
      </w:tr>
      <w:tr w:rsidR="000B781A" w:rsidRPr="003954D9" w14:paraId="43CCD484" w14:textId="77777777" w:rsidTr="000B781A">
        <w:trPr>
          <w:trHeight w:val="290"/>
        </w:trPr>
        <w:tc>
          <w:tcPr>
            <w:tcW w:w="1590" w:type="dxa"/>
            <w:tcBorders>
              <w:top w:val="single" w:sz="6" w:space="0" w:color="auto"/>
              <w:left w:val="single" w:sz="6" w:space="0" w:color="auto"/>
              <w:bottom w:val="single" w:sz="6" w:space="0" w:color="auto"/>
              <w:right w:val="single" w:sz="6" w:space="0" w:color="auto"/>
            </w:tcBorders>
          </w:tcPr>
          <w:p w14:paraId="1897E22C" w14:textId="307A7F9D" w:rsidR="000B781A" w:rsidRPr="003954D9" w:rsidRDefault="000B781A">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15CC71E7" w14:textId="77777777" w:rsidR="000B781A" w:rsidRPr="003954D9" w:rsidRDefault="000B781A">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4 872</w:t>
            </w:r>
          </w:p>
        </w:tc>
        <w:tc>
          <w:tcPr>
            <w:tcW w:w="885" w:type="dxa"/>
            <w:tcBorders>
              <w:top w:val="single" w:sz="6" w:space="0" w:color="auto"/>
              <w:left w:val="single" w:sz="6" w:space="0" w:color="auto"/>
              <w:bottom w:val="single" w:sz="6" w:space="0" w:color="auto"/>
              <w:right w:val="single" w:sz="6" w:space="0" w:color="auto"/>
            </w:tcBorders>
          </w:tcPr>
          <w:p w14:paraId="5F3A6A70"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8 342</w:t>
            </w:r>
          </w:p>
        </w:tc>
        <w:tc>
          <w:tcPr>
            <w:tcW w:w="821" w:type="dxa"/>
            <w:tcBorders>
              <w:top w:val="single" w:sz="6" w:space="0" w:color="auto"/>
              <w:left w:val="single" w:sz="6" w:space="0" w:color="auto"/>
              <w:bottom w:val="single" w:sz="6" w:space="0" w:color="auto"/>
              <w:right w:val="single" w:sz="6" w:space="0" w:color="auto"/>
            </w:tcBorders>
          </w:tcPr>
          <w:p w14:paraId="5F122D93"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10 661</w:t>
            </w:r>
          </w:p>
        </w:tc>
        <w:tc>
          <w:tcPr>
            <w:tcW w:w="747" w:type="dxa"/>
            <w:tcBorders>
              <w:top w:val="single" w:sz="6" w:space="0" w:color="auto"/>
              <w:left w:val="single" w:sz="6" w:space="0" w:color="auto"/>
              <w:bottom w:val="single" w:sz="6" w:space="0" w:color="auto"/>
              <w:right w:val="single" w:sz="6" w:space="0" w:color="auto"/>
            </w:tcBorders>
          </w:tcPr>
          <w:p w14:paraId="576B391E"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7 833</w:t>
            </w:r>
          </w:p>
        </w:tc>
        <w:tc>
          <w:tcPr>
            <w:tcW w:w="821" w:type="dxa"/>
            <w:tcBorders>
              <w:top w:val="single" w:sz="6" w:space="0" w:color="auto"/>
              <w:left w:val="single" w:sz="6" w:space="0" w:color="auto"/>
              <w:bottom w:val="single" w:sz="6" w:space="0" w:color="auto"/>
              <w:right w:val="single" w:sz="6" w:space="0" w:color="auto"/>
            </w:tcBorders>
          </w:tcPr>
          <w:p w14:paraId="477B1023" w14:textId="77777777" w:rsidR="000B781A" w:rsidRPr="003954D9" w:rsidRDefault="000B781A">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10 861</w:t>
            </w:r>
          </w:p>
        </w:tc>
        <w:tc>
          <w:tcPr>
            <w:tcW w:w="821" w:type="dxa"/>
            <w:tcBorders>
              <w:top w:val="single" w:sz="6" w:space="0" w:color="auto"/>
              <w:left w:val="single" w:sz="6" w:space="0" w:color="auto"/>
              <w:bottom w:val="single" w:sz="6" w:space="0" w:color="auto"/>
              <w:right w:val="single" w:sz="6" w:space="0" w:color="auto"/>
            </w:tcBorders>
          </w:tcPr>
          <w:p w14:paraId="5726D931"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6 616</w:t>
            </w:r>
          </w:p>
        </w:tc>
        <w:tc>
          <w:tcPr>
            <w:tcW w:w="789" w:type="dxa"/>
            <w:tcBorders>
              <w:top w:val="single" w:sz="6" w:space="0" w:color="auto"/>
              <w:left w:val="single" w:sz="6" w:space="0" w:color="auto"/>
              <w:bottom w:val="single" w:sz="6" w:space="0" w:color="auto"/>
              <w:right w:val="single" w:sz="6" w:space="0" w:color="auto"/>
            </w:tcBorders>
          </w:tcPr>
          <w:p w14:paraId="08671BC6"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5 702</w:t>
            </w:r>
          </w:p>
        </w:tc>
        <w:tc>
          <w:tcPr>
            <w:tcW w:w="830" w:type="dxa"/>
            <w:tcBorders>
              <w:top w:val="single" w:sz="6" w:space="0" w:color="auto"/>
              <w:left w:val="single" w:sz="6" w:space="0" w:color="auto"/>
              <w:bottom w:val="single" w:sz="6" w:space="0" w:color="auto"/>
              <w:right w:val="single" w:sz="6" w:space="0" w:color="auto"/>
            </w:tcBorders>
          </w:tcPr>
          <w:p w14:paraId="76A12EC7"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9 907</w:t>
            </w:r>
          </w:p>
        </w:tc>
        <w:tc>
          <w:tcPr>
            <w:tcW w:w="850" w:type="dxa"/>
            <w:tcBorders>
              <w:top w:val="single" w:sz="6" w:space="0" w:color="auto"/>
              <w:left w:val="single" w:sz="6" w:space="0" w:color="auto"/>
              <w:bottom w:val="single" w:sz="6" w:space="0" w:color="auto"/>
              <w:right w:val="single" w:sz="6" w:space="0" w:color="auto"/>
            </w:tcBorders>
          </w:tcPr>
          <w:p w14:paraId="208C7CCF"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9 739</w:t>
            </w:r>
          </w:p>
        </w:tc>
        <w:tc>
          <w:tcPr>
            <w:tcW w:w="851" w:type="dxa"/>
            <w:tcBorders>
              <w:top w:val="single" w:sz="6" w:space="0" w:color="auto"/>
              <w:left w:val="single" w:sz="6" w:space="0" w:color="auto"/>
              <w:bottom w:val="single" w:sz="6" w:space="0" w:color="auto"/>
              <w:right w:val="single" w:sz="6" w:space="0" w:color="auto"/>
            </w:tcBorders>
          </w:tcPr>
          <w:p w14:paraId="489CD60F"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5 560</w:t>
            </w:r>
          </w:p>
        </w:tc>
      </w:tr>
      <w:tr w:rsidR="000B781A" w:rsidRPr="003954D9" w14:paraId="45C2DD96" w14:textId="77777777" w:rsidTr="000B781A">
        <w:trPr>
          <w:trHeight w:val="290"/>
        </w:trPr>
        <w:tc>
          <w:tcPr>
            <w:tcW w:w="1590" w:type="dxa"/>
            <w:tcBorders>
              <w:top w:val="single" w:sz="6" w:space="0" w:color="auto"/>
              <w:left w:val="single" w:sz="6" w:space="0" w:color="auto"/>
              <w:bottom w:val="single" w:sz="6" w:space="0" w:color="auto"/>
              <w:right w:val="single" w:sz="6" w:space="0" w:color="auto"/>
            </w:tcBorders>
          </w:tcPr>
          <w:p w14:paraId="2401A857" w14:textId="056CCF74" w:rsidR="000B781A" w:rsidRPr="003954D9" w:rsidRDefault="000B781A">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65-år</w:t>
            </w:r>
          </w:p>
        </w:tc>
        <w:tc>
          <w:tcPr>
            <w:tcW w:w="807" w:type="dxa"/>
            <w:tcBorders>
              <w:top w:val="single" w:sz="6" w:space="0" w:color="auto"/>
              <w:left w:val="single" w:sz="6" w:space="0" w:color="auto"/>
              <w:bottom w:val="single" w:sz="6" w:space="0" w:color="auto"/>
              <w:right w:val="single" w:sz="6" w:space="0" w:color="auto"/>
            </w:tcBorders>
          </w:tcPr>
          <w:p w14:paraId="6EA3EA05" w14:textId="77777777" w:rsidR="000B781A" w:rsidRPr="003954D9" w:rsidRDefault="000B781A">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2 638</w:t>
            </w:r>
          </w:p>
        </w:tc>
        <w:tc>
          <w:tcPr>
            <w:tcW w:w="885" w:type="dxa"/>
            <w:tcBorders>
              <w:top w:val="single" w:sz="6" w:space="0" w:color="auto"/>
              <w:left w:val="single" w:sz="6" w:space="0" w:color="auto"/>
              <w:bottom w:val="single" w:sz="6" w:space="0" w:color="auto"/>
              <w:right w:val="single" w:sz="6" w:space="0" w:color="auto"/>
            </w:tcBorders>
          </w:tcPr>
          <w:p w14:paraId="2155A88C"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5 205</w:t>
            </w:r>
          </w:p>
        </w:tc>
        <w:tc>
          <w:tcPr>
            <w:tcW w:w="821" w:type="dxa"/>
            <w:tcBorders>
              <w:top w:val="single" w:sz="6" w:space="0" w:color="auto"/>
              <w:left w:val="single" w:sz="6" w:space="0" w:color="auto"/>
              <w:bottom w:val="single" w:sz="6" w:space="0" w:color="auto"/>
              <w:right w:val="single" w:sz="6" w:space="0" w:color="auto"/>
            </w:tcBorders>
          </w:tcPr>
          <w:p w14:paraId="6E2FB788"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7 860</w:t>
            </w:r>
          </w:p>
        </w:tc>
        <w:tc>
          <w:tcPr>
            <w:tcW w:w="747" w:type="dxa"/>
            <w:tcBorders>
              <w:top w:val="single" w:sz="6" w:space="0" w:color="auto"/>
              <w:left w:val="single" w:sz="6" w:space="0" w:color="auto"/>
              <w:bottom w:val="single" w:sz="6" w:space="0" w:color="auto"/>
              <w:right w:val="single" w:sz="6" w:space="0" w:color="auto"/>
            </w:tcBorders>
          </w:tcPr>
          <w:p w14:paraId="37A0D0D8"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4 279</w:t>
            </w:r>
          </w:p>
        </w:tc>
        <w:tc>
          <w:tcPr>
            <w:tcW w:w="821" w:type="dxa"/>
            <w:tcBorders>
              <w:top w:val="single" w:sz="6" w:space="0" w:color="auto"/>
              <w:left w:val="single" w:sz="6" w:space="0" w:color="auto"/>
              <w:bottom w:val="single" w:sz="6" w:space="0" w:color="auto"/>
              <w:right w:val="single" w:sz="6" w:space="0" w:color="auto"/>
            </w:tcBorders>
          </w:tcPr>
          <w:p w14:paraId="2F78D2CD" w14:textId="77777777" w:rsidR="000B781A" w:rsidRPr="003954D9" w:rsidRDefault="000B781A">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9 508</w:t>
            </w:r>
          </w:p>
        </w:tc>
        <w:tc>
          <w:tcPr>
            <w:tcW w:w="821" w:type="dxa"/>
            <w:tcBorders>
              <w:top w:val="single" w:sz="6" w:space="0" w:color="auto"/>
              <w:left w:val="single" w:sz="6" w:space="0" w:color="auto"/>
              <w:bottom w:val="single" w:sz="6" w:space="0" w:color="auto"/>
              <w:right w:val="single" w:sz="6" w:space="0" w:color="auto"/>
            </w:tcBorders>
          </w:tcPr>
          <w:p w14:paraId="493BBE44"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5 060</w:t>
            </w:r>
          </w:p>
        </w:tc>
        <w:tc>
          <w:tcPr>
            <w:tcW w:w="789" w:type="dxa"/>
            <w:tcBorders>
              <w:top w:val="single" w:sz="6" w:space="0" w:color="auto"/>
              <w:left w:val="single" w:sz="6" w:space="0" w:color="auto"/>
              <w:bottom w:val="single" w:sz="6" w:space="0" w:color="auto"/>
              <w:right w:val="single" w:sz="6" w:space="0" w:color="auto"/>
            </w:tcBorders>
          </w:tcPr>
          <w:p w14:paraId="13FF0E99"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3 761</w:t>
            </w:r>
          </w:p>
        </w:tc>
        <w:tc>
          <w:tcPr>
            <w:tcW w:w="830" w:type="dxa"/>
            <w:tcBorders>
              <w:top w:val="single" w:sz="6" w:space="0" w:color="auto"/>
              <w:left w:val="single" w:sz="6" w:space="0" w:color="auto"/>
              <w:bottom w:val="single" w:sz="6" w:space="0" w:color="auto"/>
              <w:right w:val="single" w:sz="6" w:space="0" w:color="auto"/>
            </w:tcBorders>
          </w:tcPr>
          <w:p w14:paraId="3ADFB988"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8 079</w:t>
            </w:r>
          </w:p>
        </w:tc>
        <w:tc>
          <w:tcPr>
            <w:tcW w:w="850" w:type="dxa"/>
            <w:tcBorders>
              <w:top w:val="single" w:sz="6" w:space="0" w:color="auto"/>
              <w:left w:val="single" w:sz="6" w:space="0" w:color="auto"/>
              <w:bottom w:val="single" w:sz="6" w:space="0" w:color="auto"/>
              <w:right w:val="single" w:sz="6" w:space="0" w:color="auto"/>
            </w:tcBorders>
          </w:tcPr>
          <w:p w14:paraId="33DD67DB"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6 777</w:t>
            </w:r>
          </w:p>
        </w:tc>
        <w:tc>
          <w:tcPr>
            <w:tcW w:w="851" w:type="dxa"/>
            <w:tcBorders>
              <w:top w:val="single" w:sz="6" w:space="0" w:color="auto"/>
              <w:left w:val="single" w:sz="6" w:space="0" w:color="auto"/>
              <w:bottom w:val="single" w:sz="6" w:space="0" w:color="auto"/>
              <w:right w:val="single" w:sz="6" w:space="0" w:color="auto"/>
            </w:tcBorders>
          </w:tcPr>
          <w:p w14:paraId="4FE6010B"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3 476</w:t>
            </w:r>
          </w:p>
        </w:tc>
      </w:tr>
      <w:tr w:rsidR="000B781A" w:rsidRPr="003954D9" w14:paraId="27D8543B" w14:textId="77777777" w:rsidTr="000B781A">
        <w:trPr>
          <w:trHeight w:val="290"/>
        </w:trPr>
        <w:tc>
          <w:tcPr>
            <w:tcW w:w="1590" w:type="dxa"/>
            <w:tcBorders>
              <w:top w:val="single" w:sz="6" w:space="0" w:color="auto"/>
              <w:left w:val="single" w:sz="6" w:space="0" w:color="auto"/>
              <w:bottom w:val="single" w:sz="6" w:space="0" w:color="auto"/>
              <w:right w:val="single" w:sz="6" w:space="0" w:color="auto"/>
            </w:tcBorders>
          </w:tcPr>
          <w:p w14:paraId="5FBB8E1F" w14:textId="31EFEED0" w:rsidR="000B781A" w:rsidRPr="003954D9" w:rsidRDefault="000B781A">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1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394811CE"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3 149</w:t>
            </w:r>
          </w:p>
        </w:tc>
        <w:tc>
          <w:tcPr>
            <w:tcW w:w="885" w:type="dxa"/>
            <w:tcBorders>
              <w:top w:val="single" w:sz="6" w:space="0" w:color="auto"/>
              <w:left w:val="single" w:sz="6" w:space="0" w:color="auto"/>
              <w:bottom w:val="single" w:sz="6" w:space="0" w:color="auto"/>
              <w:right w:val="single" w:sz="6" w:space="0" w:color="auto"/>
            </w:tcBorders>
          </w:tcPr>
          <w:p w14:paraId="1CDFDDCF"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5 269</w:t>
            </w:r>
          </w:p>
        </w:tc>
        <w:tc>
          <w:tcPr>
            <w:tcW w:w="821" w:type="dxa"/>
            <w:tcBorders>
              <w:top w:val="single" w:sz="6" w:space="0" w:color="auto"/>
              <w:left w:val="single" w:sz="6" w:space="0" w:color="auto"/>
              <w:bottom w:val="single" w:sz="6" w:space="0" w:color="auto"/>
              <w:right w:val="single" w:sz="6" w:space="0" w:color="auto"/>
            </w:tcBorders>
          </w:tcPr>
          <w:p w14:paraId="534D1D19" w14:textId="77777777" w:rsidR="000B781A" w:rsidRPr="003954D9" w:rsidRDefault="000B781A">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6 917</w:t>
            </w:r>
          </w:p>
        </w:tc>
        <w:tc>
          <w:tcPr>
            <w:tcW w:w="747" w:type="dxa"/>
            <w:tcBorders>
              <w:top w:val="single" w:sz="6" w:space="0" w:color="auto"/>
              <w:left w:val="single" w:sz="6" w:space="0" w:color="auto"/>
              <w:bottom w:val="single" w:sz="6" w:space="0" w:color="auto"/>
              <w:right w:val="single" w:sz="6" w:space="0" w:color="auto"/>
            </w:tcBorders>
          </w:tcPr>
          <w:p w14:paraId="50622C30"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3 378</w:t>
            </w:r>
          </w:p>
        </w:tc>
        <w:tc>
          <w:tcPr>
            <w:tcW w:w="821" w:type="dxa"/>
            <w:tcBorders>
              <w:top w:val="single" w:sz="6" w:space="0" w:color="auto"/>
              <w:left w:val="single" w:sz="6" w:space="0" w:color="auto"/>
              <w:bottom w:val="single" w:sz="6" w:space="0" w:color="auto"/>
              <w:right w:val="single" w:sz="6" w:space="0" w:color="auto"/>
            </w:tcBorders>
          </w:tcPr>
          <w:p w14:paraId="6145FAB0"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6 453</w:t>
            </w:r>
          </w:p>
        </w:tc>
        <w:tc>
          <w:tcPr>
            <w:tcW w:w="821" w:type="dxa"/>
            <w:tcBorders>
              <w:top w:val="single" w:sz="6" w:space="0" w:color="auto"/>
              <w:left w:val="single" w:sz="6" w:space="0" w:color="auto"/>
              <w:bottom w:val="single" w:sz="6" w:space="0" w:color="auto"/>
              <w:right w:val="single" w:sz="6" w:space="0" w:color="auto"/>
            </w:tcBorders>
          </w:tcPr>
          <w:p w14:paraId="54AF1631"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3 761</w:t>
            </w:r>
          </w:p>
        </w:tc>
        <w:tc>
          <w:tcPr>
            <w:tcW w:w="789" w:type="dxa"/>
            <w:tcBorders>
              <w:top w:val="single" w:sz="6" w:space="0" w:color="auto"/>
              <w:left w:val="single" w:sz="6" w:space="0" w:color="auto"/>
              <w:bottom w:val="single" w:sz="6" w:space="0" w:color="auto"/>
              <w:right w:val="single" w:sz="6" w:space="0" w:color="auto"/>
            </w:tcBorders>
          </w:tcPr>
          <w:p w14:paraId="5BF330FD"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2 907</w:t>
            </w:r>
          </w:p>
        </w:tc>
        <w:tc>
          <w:tcPr>
            <w:tcW w:w="830" w:type="dxa"/>
            <w:tcBorders>
              <w:top w:val="single" w:sz="6" w:space="0" w:color="auto"/>
              <w:left w:val="single" w:sz="6" w:space="0" w:color="auto"/>
              <w:bottom w:val="single" w:sz="6" w:space="0" w:color="auto"/>
              <w:right w:val="single" w:sz="6" w:space="0" w:color="auto"/>
            </w:tcBorders>
          </w:tcPr>
          <w:p w14:paraId="1BAB35ED"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6 263</w:t>
            </w:r>
          </w:p>
        </w:tc>
        <w:tc>
          <w:tcPr>
            <w:tcW w:w="850" w:type="dxa"/>
            <w:tcBorders>
              <w:top w:val="single" w:sz="6" w:space="0" w:color="auto"/>
              <w:left w:val="single" w:sz="6" w:space="0" w:color="auto"/>
              <w:bottom w:val="single" w:sz="6" w:space="0" w:color="auto"/>
              <w:right w:val="single" w:sz="6" w:space="0" w:color="auto"/>
            </w:tcBorders>
          </w:tcPr>
          <w:p w14:paraId="12407AAD"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5 301</w:t>
            </w:r>
          </w:p>
        </w:tc>
        <w:tc>
          <w:tcPr>
            <w:tcW w:w="851" w:type="dxa"/>
            <w:tcBorders>
              <w:top w:val="single" w:sz="6" w:space="0" w:color="auto"/>
              <w:left w:val="single" w:sz="6" w:space="0" w:color="auto"/>
              <w:bottom w:val="single" w:sz="6" w:space="0" w:color="auto"/>
              <w:right w:val="single" w:sz="6" w:space="0" w:color="auto"/>
            </w:tcBorders>
          </w:tcPr>
          <w:p w14:paraId="4EAEED74" w14:textId="77777777" w:rsidR="000B781A" w:rsidRPr="003954D9" w:rsidRDefault="000B781A">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2 640</w:t>
            </w:r>
          </w:p>
        </w:tc>
      </w:tr>
      <w:tr w:rsidR="000B781A" w:rsidRPr="003954D9" w14:paraId="05C460AB" w14:textId="77777777" w:rsidTr="000B781A">
        <w:trPr>
          <w:trHeight w:val="290"/>
        </w:trPr>
        <w:tc>
          <w:tcPr>
            <w:tcW w:w="1590" w:type="dxa"/>
            <w:tcBorders>
              <w:top w:val="single" w:sz="6" w:space="0" w:color="auto"/>
              <w:left w:val="single" w:sz="6" w:space="0" w:color="auto"/>
              <w:bottom w:val="single" w:sz="6" w:space="0" w:color="auto"/>
              <w:right w:val="single" w:sz="6" w:space="0" w:color="auto"/>
            </w:tcBorders>
          </w:tcPr>
          <w:p w14:paraId="31243426" w14:textId="1AFB3CDE" w:rsidR="000B781A" w:rsidRPr="003954D9" w:rsidRDefault="000B781A">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2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54F1720A" w14:textId="77777777" w:rsidR="000B781A" w:rsidRPr="003954D9" w:rsidRDefault="000B781A">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1 886</w:t>
            </w:r>
          </w:p>
        </w:tc>
        <w:tc>
          <w:tcPr>
            <w:tcW w:w="885" w:type="dxa"/>
            <w:tcBorders>
              <w:top w:val="single" w:sz="6" w:space="0" w:color="auto"/>
              <w:left w:val="single" w:sz="6" w:space="0" w:color="auto"/>
              <w:bottom w:val="single" w:sz="6" w:space="0" w:color="auto"/>
              <w:right w:val="single" w:sz="6" w:space="0" w:color="auto"/>
            </w:tcBorders>
          </w:tcPr>
          <w:p w14:paraId="4DB0DA79"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3 058</w:t>
            </w:r>
          </w:p>
        </w:tc>
        <w:tc>
          <w:tcPr>
            <w:tcW w:w="821" w:type="dxa"/>
            <w:tcBorders>
              <w:top w:val="single" w:sz="6" w:space="0" w:color="auto"/>
              <w:left w:val="single" w:sz="6" w:space="0" w:color="auto"/>
              <w:bottom w:val="single" w:sz="6" w:space="0" w:color="auto"/>
              <w:right w:val="single" w:sz="6" w:space="0" w:color="auto"/>
            </w:tcBorders>
          </w:tcPr>
          <w:p w14:paraId="14BA42EE" w14:textId="77777777" w:rsidR="000B781A" w:rsidRPr="003954D9" w:rsidRDefault="000B781A">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5 501</w:t>
            </w:r>
          </w:p>
        </w:tc>
        <w:tc>
          <w:tcPr>
            <w:tcW w:w="747" w:type="dxa"/>
            <w:tcBorders>
              <w:top w:val="single" w:sz="6" w:space="0" w:color="auto"/>
              <w:left w:val="single" w:sz="6" w:space="0" w:color="auto"/>
              <w:bottom w:val="single" w:sz="6" w:space="0" w:color="auto"/>
              <w:right w:val="single" w:sz="6" w:space="0" w:color="auto"/>
            </w:tcBorders>
          </w:tcPr>
          <w:p w14:paraId="48A65850"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2 675</w:t>
            </w:r>
          </w:p>
        </w:tc>
        <w:tc>
          <w:tcPr>
            <w:tcW w:w="821" w:type="dxa"/>
            <w:tcBorders>
              <w:top w:val="single" w:sz="6" w:space="0" w:color="auto"/>
              <w:left w:val="single" w:sz="6" w:space="0" w:color="auto"/>
              <w:bottom w:val="single" w:sz="6" w:space="0" w:color="auto"/>
              <w:right w:val="single" w:sz="6" w:space="0" w:color="auto"/>
            </w:tcBorders>
          </w:tcPr>
          <w:p w14:paraId="3096C337"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4 761</w:t>
            </w:r>
          </w:p>
        </w:tc>
        <w:tc>
          <w:tcPr>
            <w:tcW w:w="821" w:type="dxa"/>
            <w:tcBorders>
              <w:top w:val="single" w:sz="6" w:space="0" w:color="auto"/>
              <w:left w:val="single" w:sz="6" w:space="0" w:color="auto"/>
              <w:bottom w:val="single" w:sz="6" w:space="0" w:color="auto"/>
              <w:right w:val="single" w:sz="6" w:space="0" w:color="auto"/>
            </w:tcBorders>
          </w:tcPr>
          <w:p w14:paraId="22CBD9C4"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2 899</w:t>
            </w:r>
          </w:p>
        </w:tc>
        <w:tc>
          <w:tcPr>
            <w:tcW w:w="789" w:type="dxa"/>
            <w:tcBorders>
              <w:top w:val="single" w:sz="6" w:space="0" w:color="auto"/>
              <w:left w:val="single" w:sz="6" w:space="0" w:color="auto"/>
              <w:bottom w:val="single" w:sz="6" w:space="0" w:color="auto"/>
              <w:right w:val="single" w:sz="6" w:space="0" w:color="auto"/>
            </w:tcBorders>
          </w:tcPr>
          <w:p w14:paraId="016E044E"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2 001</w:t>
            </w:r>
          </w:p>
        </w:tc>
        <w:tc>
          <w:tcPr>
            <w:tcW w:w="830" w:type="dxa"/>
            <w:tcBorders>
              <w:top w:val="single" w:sz="6" w:space="0" w:color="auto"/>
              <w:left w:val="single" w:sz="6" w:space="0" w:color="auto"/>
              <w:bottom w:val="single" w:sz="6" w:space="0" w:color="auto"/>
              <w:right w:val="single" w:sz="6" w:space="0" w:color="auto"/>
            </w:tcBorders>
          </w:tcPr>
          <w:p w14:paraId="74A7DE7A"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4 788</w:t>
            </w:r>
          </w:p>
        </w:tc>
        <w:tc>
          <w:tcPr>
            <w:tcW w:w="850" w:type="dxa"/>
            <w:tcBorders>
              <w:top w:val="single" w:sz="6" w:space="0" w:color="auto"/>
              <w:left w:val="single" w:sz="6" w:space="0" w:color="auto"/>
              <w:bottom w:val="single" w:sz="6" w:space="0" w:color="auto"/>
              <w:right w:val="single" w:sz="6" w:space="0" w:color="auto"/>
            </w:tcBorders>
          </w:tcPr>
          <w:p w14:paraId="670EECB9"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5 383</w:t>
            </w:r>
          </w:p>
        </w:tc>
        <w:tc>
          <w:tcPr>
            <w:tcW w:w="851" w:type="dxa"/>
            <w:tcBorders>
              <w:top w:val="single" w:sz="6" w:space="0" w:color="auto"/>
              <w:left w:val="single" w:sz="6" w:space="0" w:color="auto"/>
              <w:bottom w:val="single" w:sz="6" w:space="0" w:color="auto"/>
              <w:right w:val="single" w:sz="6" w:space="0" w:color="auto"/>
            </w:tcBorders>
          </w:tcPr>
          <w:p w14:paraId="429C6B12"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1 995</w:t>
            </w:r>
          </w:p>
        </w:tc>
      </w:tr>
      <w:tr w:rsidR="000B781A" w:rsidRPr="003954D9" w14:paraId="32B99502" w14:textId="77777777" w:rsidTr="000B781A">
        <w:trPr>
          <w:trHeight w:val="290"/>
        </w:trPr>
        <w:tc>
          <w:tcPr>
            <w:tcW w:w="1590" w:type="dxa"/>
            <w:tcBorders>
              <w:top w:val="single" w:sz="6" w:space="0" w:color="auto"/>
              <w:left w:val="single" w:sz="6" w:space="0" w:color="auto"/>
              <w:bottom w:val="single" w:sz="6" w:space="0" w:color="auto"/>
              <w:right w:val="single" w:sz="6" w:space="0" w:color="auto"/>
            </w:tcBorders>
          </w:tcPr>
          <w:p w14:paraId="59BD2C67" w14:textId="299F45EF" w:rsidR="000B781A" w:rsidRPr="003954D9" w:rsidRDefault="000B781A">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3-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495D52AB"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1 004</w:t>
            </w:r>
          </w:p>
        </w:tc>
        <w:tc>
          <w:tcPr>
            <w:tcW w:w="885" w:type="dxa"/>
            <w:tcBorders>
              <w:top w:val="single" w:sz="6" w:space="0" w:color="auto"/>
              <w:left w:val="single" w:sz="6" w:space="0" w:color="auto"/>
              <w:bottom w:val="single" w:sz="6" w:space="0" w:color="auto"/>
              <w:right w:val="single" w:sz="6" w:space="0" w:color="auto"/>
            </w:tcBorders>
          </w:tcPr>
          <w:p w14:paraId="1C394F80"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1 388</w:t>
            </w:r>
          </w:p>
        </w:tc>
        <w:tc>
          <w:tcPr>
            <w:tcW w:w="821" w:type="dxa"/>
            <w:tcBorders>
              <w:top w:val="single" w:sz="6" w:space="0" w:color="auto"/>
              <w:left w:val="single" w:sz="6" w:space="0" w:color="auto"/>
              <w:bottom w:val="single" w:sz="6" w:space="0" w:color="auto"/>
              <w:right w:val="single" w:sz="6" w:space="0" w:color="auto"/>
            </w:tcBorders>
          </w:tcPr>
          <w:p w14:paraId="5DABB21F"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2 891</w:t>
            </w:r>
          </w:p>
        </w:tc>
        <w:tc>
          <w:tcPr>
            <w:tcW w:w="747" w:type="dxa"/>
            <w:tcBorders>
              <w:top w:val="single" w:sz="6" w:space="0" w:color="auto"/>
              <w:left w:val="single" w:sz="6" w:space="0" w:color="auto"/>
              <w:bottom w:val="single" w:sz="6" w:space="0" w:color="auto"/>
              <w:right w:val="single" w:sz="6" w:space="0" w:color="auto"/>
            </w:tcBorders>
          </w:tcPr>
          <w:p w14:paraId="1EDD3A30"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1 426</w:t>
            </w:r>
          </w:p>
        </w:tc>
        <w:tc>
          <w:tcPr>
            <w:tcW w:w="821" w:type="dxa"/>
            <w:tcBorders>
              <w:top w:val="single" w:sz="6" w:space="0" w:color="auto"/>
              <w:left w:val="single" w:sz="6" w:space="0" w:color="auto"/>
              <w:bottom w:val="single" w:sz="6" w:space="0" w:color="auto"/>
              <w:right w:val="single" w:sz="6" w:space="0" w:color="auto"/>
            </w:tcBorders>
          </w:tcPr>
          <w:p w14:paraId="280DFEA2" w14:textId="77777777" w:rsidR="000B781A" w:rsidRPr="003954D9" w:rsidRDefault="000B781A">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3 340</w:t>
            </w:r>
          </w:p>
        </w:tc>
        <w:tc>
          <w:tcPr>
            <w:tcW w:w="821" w:type="dxa"/>
            <w:tcBorders>
              <w:top w:val="single" w:sz="6" w:space="0" w:color="auto"/>
              <w:left w:val="single" w:sz="6" w:space="0" w:color="auto"/>
              <w:bottom w:val="single" w:sz="6" w:space="0" w:color="auto"/>
              <w:right w:val="single" w:sz="6" w:space="0" w:color="auto"/>
            </w:tcBorders>
          </w:tcPr>
          <w:p w14:paraId="3BEE535C"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1 881</w:t>
            </w:r>
          </w:p>
        </w:tc>
        <w:tc>
          <w:tcPr>
            <w:tcW w:w="789" w:type="dxa"/>
            <w:tcBorders>
              <w:top w:val="single" w:sz="6" w:space="0" w:color="auto"/>
              <w:left w:val="single" w:sz="6" w:space="0" w:color="auto"/>
              <w:bottom w:val="single" w:sz="6" w:space="0" w:color="auto"/>
              <w:right w:val="single" w:sz="6" w:space="0" w:color="auto"/>
            </w:tcBorders>
          </w:tcPr>
          <w:p w14:paraId="4100C757"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997</w:t>
            </w:r>
          </w:p>
        </w:tc>
        <w:tc>
          <w:tcPr>
            <w:tcW w:w="830" w:type="dxa"/>
            <w:tcBorders>
              <w:top w:val="single" w:sz="6" w:space="0" w:color="auto"/>
              <w:left w:val="single" w:sz="6" w:space="0" w:color="auto"/>
              <w:bottom w:val="single" w:sz="6" w:space="0" w:color="auto"/>
              <w:right w:val="single" w:sz="6" w:space="0" w:color="auto"/>
            </w:tcBorders>
          </w:tcPr>
          <w:p w14:paraId="55EC230E"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2 935</w:t>
            </w:r>
          </w:p>
        </w:tc>
        <w:tc>
          <w:tcPr>
            <w:tcW w:w="850" w:type="dxa"/>
            <w:tcBorders>
              <w:top w:val="single" w:sz="6" w:space="0" w:color="auto"/>
              <w:left w:val="single" w:sz="6" w:space="0" w:color="auto"/>
              <w:bottom w:val="single" w:sz="6" w:space="0" w:color="auto"/>
              <w:right w:val="single" w:sz="6" w:space="0" w:color="auto"/>
            </w:tcBorders>
          </w:tcPr>
          <w:p w14:paraId="5F09B0BE"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2 214</w:t>
            </w:r>
          </w:p>
        </w:tc>
        <w:tc>
          <w:tcPr>
            <w:tcW w:w="851" w:type="dxa"/>
            <w:tcBorders>
              <w:top w:val="single" w:sz="6" w:space="0" w:color="auto"/>
              <w:left w:val="single" w:sz="6" w:space="0" w:color="auto"/>
              <w:bottom w:val="single" w:sz="6" w:space="0" w:color="auto"/>
              <w:right w:val="single" w:sz="6" w:space="0" w:color="auto"/>
            </w:tcBorders>
          </w:tcPr>
          <w:p w14:paraId="11CE4F01" w14:textId="77777777" w:rsidR="000B781A" w:rsidRPr="003954D9" w:rsidRDefault="000B781A">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962</w:t>
            </w:r>
          </w:p>
        </w:tc>
      </w:tr>
      <w:tr w:rsidR="000B781A" w:rsidRPr="003954D9" w14:paraId="5D6546C9" w14:textId="77777777" w:rsidTr="000B781A">
        <w:trPr>
          <w:trHeight w:val="290"/>
        </w:trPr>
        <w:tc>
          <w:tcPr>
            <w:tcW w:w="1590" w:type="dxa"/>
            <w:tcBorders>
              <w:top w:val="single" w:sz="6" w:space="0" w:color="auto"/>
              <w:left w:val="single" w:sz="6" w:space="0" w:color="auto"/>
              <w:bottom w:val="single" w:sz="6" w:space="0" w:color="auto"/>
              <w:right w:val="single" w:sz="6" w:space="0" w:color="auto"/>
            </w:tcBorders>
          </w:tcPr>
          <w:p w14:paraId="149637AF" w14:textId="53A8C072" w:rsidR="000B781A" w:rsidRPr="003954D9" w:rsidRDefault="00DD3DF3">
            <w:pPr>
              <w:autoSpaceDE w:val="0"/>
              <w:autoSpaceDN w:val="0"/>
              <w:adjustRightInd w:val="0"/>
              <w:rPr>
                <w:rFonts w:ascii="Calibri" w:hAnsi="Calibri" w:cs="Calibri"/>
                <w:b/>
                <w:color w:val="000000"/>
                <w:sz w:val="16"/>
                <w:szCs w:val="16"/>
              </w:rPr>
            </w:pPr>
            <w:r>
              <w:rPr>
                <w:rFonts w:ascii="Calibri" w:hAnsi="Calibri" w:cs="Calibri"/>
                <w:b/>
                <w:color w:val="000000"/>
                <w:sz w:val="16"/>
                <w:szCs w:val="16"/>
              </w:rPr>
              <w:t>Övr.</w:t>
            </w:r>
            <w:r w:rsidR="000B781A" w:rsidRPr="003954D9">
              <w:rPr>
                <w:rFonts w:ascii="Calibri" w:hAnsi="Calibri" w:cs="Calibri"/>
                <w:b/>
                <w:color w:val="000000"/>
                <w:sz w:val="16"/>
                <w:szCs w:val="16"/>
              </w:rPr>
              <w:t xml:space="preserve"> hushåll u. barn </w:t>
            </w:r>
          </w:p>
        </w:tc>
        <w:tc>
          <w:tcPr>
            <w:tcW w:w="807" w:type="dxa"/>
            <w:tcBorders>
              <w:top w:val="single" w:sz="6" w:space="0" w:color="auto"/>
              <w:left w:val="single" w:sz="6" w:space="0" w:color="auto"/>
              <w:bottom w:val="single" w:sz="6" w:space="0" w:color="auto"/>
              <w:right w:val="single" w:sz="6" w:space="0" w:color="auto"/>
            </w:tcBorders>
          </w:tcPr>
          <w:p w14:paraId="61E2F2C3"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5 021</w:t>
            </w:r>
          </w:p>
        </w:tc>
        <w:tc>
          <w:tcPr>
            <w:tcW w:w="885" w:type="dxa"/>
            <w:tcBorders>
              <w:top w:val="single" w:sz="6" w:space="0" w:color="auto"/>
              <w:left w:val="single" w:sz="6" w:space="0" w:color="auto"/>
              <w:bottom w:val="single" w:sz="6" w:space="0" w:color="auto"/>
              <w:right w:val="single" w:sz="6" w:space="0" w:color="auto"/>
            </w:tcBorders>
          </w:tcPr>
          <w:p w14:paraId="5A8819E6"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5 557</w:t>
            </w:r>
          </w:p>
        </w:tc>
        <w:tc>
          <w:tcPr>
            <w:tcW w:w="821" w:type="dxa"/>
            <w:tcBorders>
              <w:top w:val="single" w:sz="6" w:space="0" w:color="auto"/>
              <w:left w:val="single" w:sz="6" w:space="0" w:color="auto"/>
              <w:bottom w:val="single" w:sz="6" w:space="0" w:color="auto"/>
              <w:right w:val="single" w:sz="6" w:space="0" w:color="auto"/>
            </w:tcBorders>
          </w:tcPr>
          <w:p w14:paraId="32567E72"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7 912</w:t>
            </w:r>
          </w:p>
        </w:tc>
        <w:tc>
          <w:tcPr>
            <w:tcW w:w="747" w:type="dxa"/>
            <w:tcBorders>
              <w:top w:val="single" w:sz="6" w:space="0" w:color="auto"/>
              <w:left w:val="single" w:sz="6" w:space="0" w:color="auto"/>
              <w:bottom w:val="single" w:sz="6" w:space="0" w:color="auto"/>
              <w:right w:val="single" w:sz="6" w:space="0" w:color="auto"/>
            </w:tcBorders>
          </w:tcPr>
          <w:p w14:paraId="3B3DB8DA"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6 036</w:t>
            </w:r>
          </w:p>
        </w:tc>
        <w:tc>
          <w:tcPr>
            <w:tcW w:w="821" w:type="dxa"/>
            <w:tcBorders>
              <w:top w:val="single" w:sz="6" w:space="0" w:color="auto"/>
              <w:left w:val="single" w:sz="6" w:space="0" w:color="auto"/>
              <w:bottom w:val="single" w:sz="6" w:space="0" w:color="auto"/>
              <w:right w:val="single" w:sz="6" w:space="0" w:color="auto"/>
            </w:tcBorders>
          </w:tcPr>
          <w:p w14:paraId="49E94A14" w14:textId="77777777" w:rsidR="000B781A" w:rsidRPr="003954D9" w:rsidRDefault="000B781A">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8 404</w:t>
            </w:r>
          </w:p>
        </w:tc>
        <w:tc>
          <w:tcPr>
            <w:tcW w:w="821" w:type="dxa"/>
            <w:tcBorders>
              <w:top w:val="single" w:sz="6" w:space="0" w:color="auto"/>
              <w:left w:val="single" w:sz="6" w:space="0" w:color="auto"/>
              <w:bottom w:val="single" w:sz="6" w:space="0" w:color="auto"/>
              <w:right w:val="single" w:sz="6" w:space="0" w:color="auto"/>
            </w:tcBorders>
          </w:tcPr>
          <w:p w14:paraId="15CBB4AA"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6 134</w:t>
            </w:r>
          </w:p>
        </w:tc>
        <w:tc>
          <w:tcPr>
            <w:tcW w:w="789" w:type="dxa"/>
            <w:tcBorders>
              <w:top w:val="single" w:sz="6" w:space="0" w:color="auto"/>
              <w:left w:val="single" w:sz="6" w:space="0" w:color="auto"/>
              <w:bottom w:val="single" w:sz="6" w:space="0" w:color="auto"/>
              <w:right w:val="single" w:sz="6" w:space="0" w:color="auto"/>
            </w:tcBorders>
          </w:tcPr>
          <w:p w14:paraId="42DE979A"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5 015</w:t>
            </w:r>
          </w:p>
        </w:tc>
        <w:tc>
          <w:tcPr>
            <w:tcW w:w="830" w:type="dxa"/>
            <w:tcBorders>
              <w:top w:val="single" w:sz="6" w:space="0" w:color="auto"/>
              <w:left w:val="single" w:sz="6" w:space="0" w:color="auto"/>
              <w:bottom w:val="single" w:sz="6" w:space="0" w:color="auto"/>
              <w:right w:val="single" w:sz="6" w:space="0" w:color="auto"/>
            </w:tcBorders>
          </w:tcPr>
          <w:p w14:paraId="706AD179"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7 177</w:t>
            </w:r>
          </w:p>
        </w:tc>
        <w:tc>
          <w:tcPr>
            <w:tcW w:w="850" w:type="dxa"/>
            <w:tcBorders>
              <w:top w:val="single" w:sz="6" w:space="0" w:color="auto"/>
              <w:left w:val="single" w:sz="6" w:space="0" w:color="auto"/>
              <w:bottom w:val="single" w:sz="6" w:space="0" w:color="auto"/>
              <w:right w:val="single" w:sz="6" w:space="0" w:color="auto"/>
            </w:tcBorders>
          </w:tcPr>
          <w:p w14:paraId="4CF309B0"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7 117</w:t>
            </w:r>
          </w:p>
        </w:tc>
        <w:tc>
          <w:tcPr>
            <w:tcW w:w="851" w:type="dxa"/>
            <w:tcBorders>
              <w:top w:val="single" w:sz="6" w:space="0" w:color="auto"/>
              <w:left w:val="single" w:sz="6" w:space="0" w:color="auto"/>
              <w:bottom w:val="single" w:sz="6" w:space="0" w:color="auto"/>
              <w:right w:val="single" w:sz="6" w:space="0" w:color="auto"/>
            </w:tcBorders>
          </w:tcPr>
          <w:p w14:paraId="22C79329" w14:textId="77777777" w:rsidR="000B781A" w:rsidRPr="003954D9" w:rsidRDefault="000B781A">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4 329</w:t>
            </w:r>
          </w:p>
        </w:tc>
      </w:tr>
      <w:tr w:rsidR="000B781A" w:rsidRPr="003954D9" w14:paraId="2794EC3A" w14:textId="77777777" w:rsidTr="000B781A">
        <w:trPr>
          <w:trHeight w:val="290"/>
        </w:trPr>
        <w:tc>
          <w:tcPr>
            <w:tcW w:w="1590" w:type="dxa"/>
            <w:tcBorders>
              <w:top w:val="single" w:sz="6" w:space="0" w:color="auto"/>
              <w:left w:val="single" w:sz="6" w:space="0" w:color="auto"/>
              <w:bottom w:val="single" w:sz="6" w:space="0" w:color="auto"/>
              <w:right w:val="single" w:sz="6" w:space="0" w:color="auto"/>
            </w:tcBorders>
          </w:tcPr>
          <w:p w14:paraId="11598462" w14:textId="11D14C5B" w:rsidR="000B781A" w:rsidRPr="003954D9" w:rsidRDefault="00DD3DF3">
            <w:pPr>
              <w:autoSpaceDE w:val="0"/>
              <w:autoSpaceDN w:val="0"/>
              <w:adjustRightInd w:val="0"/>
              <w:rPr>
                <w:rFonts w:ascii="Calibri" w:hAnsi="Calibri" w:cs="Calibri"/>
                <w:b/>
                <w:color w:val="000000"/>
                <w:sz w:val="16"/>
                <w:szCs w:val="16"/>
              </w:rPr>
            </w:pPr>
            <w:r>
              <w:rPr>
                <w:rFonts w:ascii="Calibri" w:hAnsi="Calibri" w:cs="Calibri"/>
                <w:b/>
                <w:color w:val="000000"/>
                <w:sz w:val="16"/>
                <w:szCs w:val="16"/>
              </w:rPr>
              <w:t>Övr.</w:t>
            </w:r>
            <w:r w:rsidR="000B781A" w:rsidRPr="003954D9">
              <w:rPr>
                <w:rFonts w:ascii="Calibri" w:hAnsi="Calibri" w:cs="Calibri"/>
                <w:b/>
                <w:color w:val="000000"/>
                <w:sz w:val="16"/>
                <w:szCs w:val="16"/>
              </w:rPr>
              <w:t xml:space="preserve"> hushåll m. barn</w:t>
            </w:r>
          </w:p>
        </w:tc>
        <w:tc>
          <w:tcPr>
            <w:tcW w:w="807" w:type="dxa"/>
            <w:tcBorders>
              <w:top w:val="single" w:sz="6" w:space="0" w:color="auto"/>
              <w:left w:val="single" w:sz="6" w:space="0" w:color="auto"/>
              <w:bottom w:val="single" w:sz="6" w:space="0" w:color="auto"/>
              <w:right w:val="single" w:sz="6" w:space="0" w:color="auto"/>
            </w:tcBorders>
          </w:tcPr>
          <w:p w14:paraId="323864A4" w14:textId="77777777" w:rsidR="000B781A" w:rsidRPr="003954D9" w:rsidRDefault="000B781A">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2 756</w:t>
            </w:r>
          </w:p>
        </w:tc>
        <w:tc>
          <w:tcPr>
            <w:tcW w:w="885" w:type="dxa"/>
            <w:tcBorders>
              <w:top w:val="single" w:sz="6" w:space="0" w:color="auto"/>
              <w:left w:val="single" w:sz="6" w:space="0" w:color="auto"/>
              <w:bottom w:val="single" w:sz="6" w:space="0" w:color="auto"/>
              <w:right w:val="single" w:sz="6" w:space="0" w:color="auto"/>
            </w:tcBorders>
          </w:tcPr>
          <w:p w14:paraId="3879B488"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5 033</w:t>
            </w:r>
          </w:p>
        </w:tc>
        <w:tc>
          <w:tcPr>
            <w:tcW w:w="821" w:type="dxa"/>
            <w:tcBorders>
              <w:top w:val="single" w:sz="6" w:space="0" w:color="auto"/>
              <w:left w:val="single" w:sz="6" w:space="0" w:color="auto"/>
              <w:bottom w:val="single" w:sz="6" w:space="0" w:color="auto"/>
              <w:right w:val="single" w:sz="6" w:space="0" w:color="auto"/>
            </w:tcBorders>
          </w:tcPr>
          <w:p w14:paraId="300F8DCA"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6 953</w:t>
            </w:r>
          </w:p>
        </w:tc>
        <w:tc>
          <w:tcPr>
            <w:tcW w:w="747" w:type="dxa"/>
            <w:tcBorders>
              <w:top w:val="single" w:sz="6" w:space="0" w:color="auto"/>
              <w:left w:val="single" w:sz="6" w:space="0" w:color="auto"/>
              <w:bottom w:val="single" w:sz="6" w:space="0" w:color="auto"/>
              <w:right w:val="single" w:sz="6" w:space="0" w:color="auto"/>
            </w:tcBorders>
          </w:tcPr>
          <w:p w14:paraId="5FBF43B1"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4 132</w:t>
            </w:r>
          </w:p>
        </w:tc>
        <w:tc>
          <w:tcPr>
            <w:tcW w:w="821" w:type="dxa"/>
            <w:tcBorders>
              <w:top w:val="single" w:sz="6" w:space="0" w:color="auto"/>
              <w:left w:val="single" w:sz="6" w:space="0" w:color="auto"/>
              <w:bottom w:val="single" w:sz="6" w:space="0" w:color="auto"/>
              <w:right w:val="single" w:sz="6" w:space="0" w:color="auto"/>
            </w:tcBorders>
          </w:tcPr>
          <w:p w14:paraId="4794B7D0"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6 661</w:t>
            </w:r>
          </w:p>
        </w:tc>
        <w:tc>
          <w:tcPr>
            <w:tcW w:w="821" w:type="dxa"/>
            <w:tcBorders>
              <w:top w:val="single" w:sz="6" w:space="0" w:color="auto"/>
              <w:left w:val="single" w:sz="6" w:space="0" w:color="auto"/>
              <w:bottom w:val="single" w:sz="6" w:space="0" w:color="auto"/>
              <w:right w:val="single" w:sz="6" w:space="0" w:color="auto"/>
            </w:tcBorders>
          </w:tcPr>
          <w:p w14:paraId="2F5C9096"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3 912</w:t>
            </w:r>
          </w:p>
        </w:tc>
        <w:tc>
          <w:tcPr>
            <w:tcW w:w="789" w:type="dxa"/>
            <w:tcBorders>
              <w:top w:val="single" w:sz="6" w:space="0" w:color="auto"/>
              <w:left w:val="single" w:sz="6" w:space="0" w:color="auto"/>
              <w:bottom w:val="single" w:sz="6" w:space="0" w:color="auto"/>
              <w:right w:val="single" w:sz="6" w:space="0" w:color="auto"/>
            </w:tcBorders>
          </w:tcPr>
          <w:p w14:paraId="0D23A529"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3 046</w:t>
            </w:r>
          </w:p>
        </w:tc>
        <w:tc>
          <w:tcPr>
            <w:tcW w:w="830" w:type="dxa"/>
            <w:tcBorders>
              <w:top w:val="single" w:sz="6" w:space="0" w:color="auto"/>
              <w:left w:val="single" w:sz="6" w:space="0" w:color="auto"/>
              <w:bottom w:val="single" w:sz="6" w:space="0" w:color="auto"/>
              <w:right w:val="single" w:sz="6" w:space="0" w:color="auto"/>
            </w:tcBorders>
          </w:tcPr>
          <w:p w14:paraId="2B83C121" w14:textId="77777777" w:rsidR="000B781A" w:rsidRPr="003954D9" w:rsidRDefault="000B781A">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6 937</w:t>
            </w:r>
          </w:p>
        </w:tc>
        <w:tc>
          <w:tcPr>
            <w:tcW w:w="850" w:type="dxa"/>
            <w:tcBorders>
              <w:top w:val="single" w:sz="6" w:space="0" w:color="auto"/>
              <w:left w:val="single" w:sz="6" w:space="0" w:color="auto"/>
              <w:bottom w:val="single" w:sz="6" w:space="0" w:color="auto"/>
              <w:right w:val="single" w:sz="6" w:space="0" w:color="auto"/>
            </w:tcBorders>
          </w:tcPr>
          <w:p w14:paraId="7894E168"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5 791</w:t>
            </w:r>
          </w:p>
        </w:tc>
        <w:tc>
          <w:tcPr>
            <w:tcW w:w="851" w:type="dxa"/>
            <w:tcBorders>
              <w:top w:val="single" w:sz="6" w:space="0" w:color="auto"/>
              <w:left w:val="single" w:sz="6" w:space="0" w:color="auto"/>
              <w:bottom w:val="single" w:sz="6" w:space="0" w:color="auto"/>
              <w:right w:val="single" w:sz="6" w:space="0" w:color="auto"/>
            </w:tcBorders>
          </w:tcPr>
          <w:p w14:paraId="02984B7F"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2 866</w:t>
            </w:r>
          </w:p>
        </w:tc>
      </w:tr>
      <w:tr w:rsidR="000B781A" w:rsidRPr="003954D9" w14:paraId="3CB195C2" w14:textId="77777777" w:rsidTr="000B781A">
        <w:trPr>
          <w:trHeight w:val="290"/>
        </w:trPr>
        <w:tc>
          <w:tcPr>
            <w:tcW w:w="1590" w:type="dxa"/>
            <w:tcBorders>
              <w:top w:val="single" w:sz="6" w:space="0" w:color="auto"/>
              <w:left w:val="single" w:sz="6" w:space="0" w:color="auto"/>
              <w:bottom w:val="single" w:sz="6" w:space="0" w:color="auto"/>
              <w:right w:val="single" w:sz="6" w:space="0" w:color="auto"/>
            </w:tcBorders>
          </w:tcPr>
          <w:p w14:paraId="1737438B" w14:textId="77777777" w:rsidR="000B781A" w:rsidRPr="003954D9" w:rsidRDefault="000B781A">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Alla</w:t>
            </w:r>
          </w:p>
        </w:tc>
        <w:tc>
          <w:tcPr>
            <w:tcW w:w="807" w:type="dxa"/>
            <w:tcBorders>
              <w:top w:val="single" w:sz="6" w:space="0" w:color="auto"/>
              <w:left w:val="single" w:sz="6" w:space="0" w:color="auto"/>
              <w:bottom w:val="single" w:sz="6" w:space="0" w:color="auto"/>
              <w:right w:val="single" w:sz="6" w:space="0" w:color="auto"/>
            </w:tcBorders>
          </w:tcPr>
          <w:p w14:paraId="3E26E724" w14:textId="77777777" w:rsidR="000B781A" w:rsidRPr="003954D9" w:rsidRDefault="000B781A">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2 557</w:t>
            </w:r>
          </w:p>
        </w:tc>
        <w:tc>
          <w:tcPr>
            <w:tcW w:w="885" w:type="dxa"/>
            <w:tcBorders>
              <w:top w:val="single" w:sz="6" w:space="0" w:color="auto"/>
              <w:left w:val="single" w:sz="6" w:space="0" w:color="auto"/>
              <w:bottom w:val="single" w:sz="6" w:space="0" w:color="auto"/>
              <w:right w:val="single" w:sz="6" w:space="0" w:color="auto"/>
            </w:tcBorders>
          </w:tcPr>
          <w:p w14:paraId="757E1A08"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4 586</w:t>
            </w:r>
          </w:p>
        </w:tc>
        <w:tc>
          <w:tcPr>
            <w:tcW w:w="821" w:type="dxa"/>
            <w:tcBorders>
              <w:top w:val="single" w:sz="6" w:space="0" w:color="auto"/>
              <w:left w:val="single" w:sz="6" w:space="0" w:color="auto"/>
              <w:bottom w:val="single" w:sz="6" w:space="0" w:color="auto"/>
              <w:right w:val="single" w:sz="6" w:space="0" w:color="auto"/>
            </w:tcBorders>
          </w:tcPr>
          <w:p w14:paraId="01B98977"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6 718</w:t>
            </w:r>
          </w:p>
        </w:tc>
        <w:tc>
          <w:tcPr>
            <w:tcW w:w="747" w:type="dxa"/>
            <w:tcBorders>
              <w:top w:val="single" w:sz="6" w:space="0" w:color="auto"/>
              <w:left w:val="single" w:sz="6" w:space="0" w:color="auto"/>
              <w:bottom w:val="single" w:sz="6" w:space="0" w:color="auto"/>
              <w:right w:val="single" w:sz="6" w:space="0" w:color="auto"/>
            </w:tcBorders>
          </w:tcPr>
          <w:p w14:paraId="45DB44B7"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5 013</w:t>
            </w:r>
          </w:p>
        </w:tc>
        <w:tc>
          <w:tcPr>
            <w:tcW w:w="821" w:type="dxa"/>
            <w:tcBorders>
              <w:top w:val="single" w:sz="6" w:space="0" w:color="auto"/>
              <w:left w:val="single" w:sz="6" w:space="0" w:color="auto"/>
              <w:bottom w:val="single" w:sz="6" w:space="0" w:color="auto"/>
              <w:right w:val="single" w:sz="6" w:space="0" w:color="auto"/>
            </w:tcBorders>
          </w:tcPr>
          <w:p w14:paraId="07E7F9F3" w14:textId="77777777" w:rsidR="000B781A" w:rsidRPr="003954D9" w:rsidRDefault="000B781A">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7 002</w:t>
            </w:r>
          </w:p>
        </w:tc>
        <w:tc>
          <w:tcPr>
            <w:tcW w:w="821" w:type="dxa"/>
            <w:tcBorders>
              <w:top w:val="single" w:sz="6" w:space="0" w:color="auto"/>
              <w:left w:val="single" w:sz="6" w:space="0" w:color="auto"/>
              <w:bottom w:val="single" w:sz="6" w:space="0" w:color="auto"/>
              <w:right w:val="single" w:sz="6" w:space="0" w:color="auto"/>
            </w:tcBorders>
          </w:tcPr>
          <w:p w14:paraId="696CA51C"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4 132</w:t>
            </w:r>
          </w:p>
        </w:tc>
        <w:tc>
          <w:tcPr>
            <w:tcW w:w="789" w:type="dxa"/>
            <w:tcBorders>
              <w:top w:val="single" w:sz="6" w:space="0" w:color="auto"/>
              <w:left w:val="single" w:sz="6" w:space="0" w:color="auto"/>
              <w:bottom w:val="single" w:sz="6" w:space="0" w:color="auto"/>
              <w:right w:val="single" w:sz="6" w:space="0" w:color="auto"/>
            </w:tcBorders>
          </w:tcPr>
          <w:p w14:paraId="0807081B"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3 019</w:t>
            </w:r>
          </w:p>
        </w:tc>
        <w:tc>
          <w:tcPr>
            <w:tcW w:w="830" w:type="dxa"/>
            <w:tcBorders>
              <w:top w:val="single" w:sz="6" w:space="0" w:color="auto"/>
              <w:left w:val="single" w:sz="6" w:space="0" w:color="auto"/>
              <w:bottom w:val="single" w:sz="6" w:space="0" w:color="auto"/>
              <w:right w:val="single" w:sz="6" w:space="0" w:color="auto"/>
            </w:tcBorders>
          </w:tcPr>
          <w:p w14:paraId="10CE9AA0"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6 439</w:t>
            </w:r>
          </w:p>
        </w:tc>
        <w:tc>
          <w:tcPr>
            <w:tcW w:w="850" w:type="dxa"/>
            <w:tcBorders>
              <w:top w:val="single" w:sz="6" w:space="0" w:color="auto"/>
              <w:left w:val="single" w:sz="6" w:space="0" w:color="auto"/>
              <w:bottom w:val="single" w:sz="6" w:space="0" w:color="auto"/>
              <w:right w:val="single" w:sz="6" w:space="0" w:color="auto"/>
            </w:tcBorders>
          </w:tcPr>
          <w:p w14:paraId="610EA30C"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5 734</w:t>
            </w:r>
          </w:p>
        </w:tc>
        <w:tc>
          <w:tcPr>
            <w:tcW w:w="851" w:type="dxa"/>
            <w:tcBorders>
              <w:top w:val="single" w:sz="6" w:space="0" w:color="auto"/>
              <w:left w:val="single" w:sz="6" w:space="0" w:color="auto"/>
              <w:bottom w:val="single" w:sz="6" w:space="0" w:color="auto"/>
              <w:right w:val="single" w:sz="6" w:space="0" w:color="auto"/>
            </w:tcBorders>
          </w:tcPr>
          <w:p w14:paraId="0991E2AC" w14:textId="77777777" w:rsidR="000B781A" w:rsidRPr="003954D9" w:rsidRDefault="000B781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2 898</w:t>
            </w:r>
          </w:p>
        </w:tc>
      </w:tr>
    </w:tbl>
    <w:p w14:paraId="3E8178ED" w14:textId="77777777" w:rsidR="0088326D" w:rsidRPr="003954D9" w:rsidRDefault="0088326D" w:rsidP="0088326D">
      <w:pPr>
        <w:rPr>
          <w:sz w:val="16"/>
          <w:szCs w:val="16"/>
        </w:rPr>
      </w:pPr>
      <w:r w:rsidRPr="00DD227A">
        <w:rPr>
          <w:b/>
          <w:color w:val="FF0000"/>
          <w:sz w:val="16"/>
          <w:szCs w:val="16"/>
        </w:rPr>
        <w:t>Röd färg högsta</w:t>
      </w:r>
      <w:r w:rsidRPr="00DD227A">
        <w:rPr>
          <w:color w:val="FF0000"/>
          <w:sz w:val="16"/>
          <w:szCs w:val="16"/>
        </w:rPr>
        <w:t xml:space="preserve"> </w:t>
      </w:r>
      <w:r w:rsidRPr="003954D9">
        <w:rPr>
          <w:sz w:val="16"/>
          <w:szCs w:val="16"/>
        </w:rPr>
        <w:t xml:space="preserve">och </w:t>
      </w:r>
      <w:r w:rsidRPr="003954D9">
        <w:rPr>
          <w:b/>
          <w:color w:val="548DD4" w:themeColor="text2" w:themeTint="99"/>
          <w:sz w:val="16"/>
          <w:szCs w:val="16"/>
        </w:rPr>
        <w:t>blå färg lägsta</w:t>
      </w:r>
      <w:r w:rsidRPr="003954D9">
        <w:rPr>
          <w:sz w:val="16"/>
          <w:szCs w:val="16"/>
        </w:rPr>
        <w:t xml:space="preserve"> värde i grupp.</w:t>
      </w:r>
    </w:p>
    <w:p w14:paraId="182F4410" w14:textId="77777777" w:rsidR="000B781A" w:rsidRPr="003954D9" w:rsidRDefault="000B781A" w:rsidP="000B781A">
      <w:pPr>
        <w:rPr>
          <w:lang w:eastAsia="en-US"/>
        </w:rPr>
      </w:pPr>
    </w:p>
    <w:p w14:paraId="318E97C2" w14:textId="3DC0D7C9" w:rsidR="00126D81" w:rsidRPr="003954D9" w:rsidRDefault="00126D81" w:rsidP="00540A4D">
      <w:pPr>
        <w:pStyle w:val="Rubrik3"/>
      </w:pPr>
      <w:bookmarkStart w:id="140" w:name="_Toc463184419"/>
      <w:bookmarkStart w:id="141" w:name="_Toc464828424"/>
      <w:r w:rsidRPr="003954D9">
        <w:t>Hushållstyper i stadsdelarna – situationen idag</w:t>
      </w:r>
      <w:bookmarkEnd w:id="140"/>
      <w:bookmarkEnd w:id="141"/>
      <w:r w:rsidRPr="003954D9">
        <w:t xml:space="preserve"> </w:t>
      </w:r>
    </w:p>
    <w:p w14:paraId="45512023" w14:textId="5EFC7DD7" w:rsidR="00185E91" w:rsidRPr="003954D9" w:rsidRDefault="00185E91" w:rsidP="00185E91">
      <w:r w:rsidRPr="003954D9">
        <w:t xml:space="preserve">Som nämnts tidigare finns det redan innan hyrorna höjts en </w:t>
      </w:r>
      <w:r w:rsidR="00420515" w:rsidRPr="003954D9">
        <w:t>stor andel</w:t>
      </w:r>
      <w:r w:rsidRPr="003954D9">
        <w:t xml:space="preserve"> hushåll som inte uppnår skälig levnadsnivå när hyran är betald. Och </w:t>
      </w:r>
      <w:r w:rsidR="00AE6E35">
        <w:t>lik</w:t>
      </w:r>
      <w:r w:rsidRPr="003954D9">
        <w:t xml:space="preserve">som tidigare </w:t>
      </w:r>
      <w:r w:rsidR="00AE6E35">
        <w:t>åter</w:t>
      </w:r>
      <w:r w:rsidRPr="003954D9">
        <w:t xml:space="preserve">finns de framförallt i Angered. Angered har den största andelen hushåll i riskzonen idag i sex hushållstyper och Östra Göteborg i tre. Högsta värdet får ensamstående med barn </w:t>
      </w:r>
      <w:r w:rsidR="00365C66" w:rsidRPr="003954D9">
        <w:t>0–19</w:t>
      </w:r>
      <w:r w:rsidRPr="003954D9">
        <w:t xml:space="preserve"> år i Östra Göteborg (30</w:t>
      </w:r>
      <w:r w:rsidR="00205B1C" w:rsidRPr="003954D9">
        <w:t xml:space="preserve"> </w:t>
      </w:r>
      <w:r w:rsidR="00475673" w:rsidRPr="003954D9">
        <w:t>procent</w:t>
      </w:r>
      <w:r w:rsidRPr="003954D9">
        <w:t xml:space="preserve">) följda av ensamboende utan barn </w:t>
      </w:r>
      <w:r w:rsidR="00365C66" w:rsidRPr="003954D9">
        <w:t>18–64</w:t>
      </w:r>
      <w:r w:rsidRPr="003954D9">
        <w:t xml:space="preserve"> år i Angered (26 procent) samt samboende med 3 och fler i</w:t>
      </w:r>
      <w:r w:rsidR="00CF47FE" w:rsidRPr="003954D9">
        <w:t xml:space="preserve"> Angered och </w:t>
      </w:r>
      <w:r w:rsidRPr="003954D9">
        <w:t>Östra Göteborg (</w:t>
      </w:r>
      <w:r w:rsidR="00CF47FE" w:rsidRPr="003954D9">
        <w:t>24</w:t>
      </w:r>
      <w:r w:rsidRPr="003954D9">
        <w:t xml:space="preserve"> procent). Hushållen som klarar sig bäst återfinns i stadsdelarna Örgryte-Härlanda, Majorna-Linnéstaden</w:t>
      </w:r>
      <w:r w:rsidR="00CF47FE" w:rsidRPr="003954D9">
        <w:t xml:space="preserve">, </w:t>
      </w:r>
      <w:r w:rsidRPr="003954D9">
        <w:t>Centrum</w:t>
      </w:r>
      <w:r w:rsidR="00CF47FE" w:rsidRPr="003954D9">
        <w:t xml:space="preserve"> och Örgryte-Härlanda</w:t>
      </w:r>
      <w:r w:rsidRPr="003954D9">
        <w:t xml:space="preserve">. </w:t>
      </w:r>
      <w:r w:rsidR="004F7B81">
        <w:t xml:space="preserve"> Se tabell 5:8.</w:t>
      </w:r>
    </w:p>
    <w:p w14:paraId="423044D8" w14:textId="094664CE" w:rsidR="00786B2C" w:rsidRPr="003954D9" w:rsidRDefault="00786B2C" w:rsidP="00786B2C">
      <w:pPr>
        <w:pStyle w:val="Rubrik5"/>
      </w:pPr>
      <w:r w:rsidRPr="003954D9">
        <w:t>Tabell</w:t>
      </w:r>
      <w:r w:rsidR="008D5695" w:rsidRPr="003954D9">
        <w:t xml:space="preserve"> </w:t>
      </w:r>
      <w:r w:rsidR="005B413F" w:rsidRPr="003954D9">
        <w:t>5:</w:t>
      </w:r>
      <w:r w:rsidR="00795103" w:rsidRPr="003954D9">
        <w:t>8</w:t>
      </w:r>
      <w:r w:rsidRPr="003954D9">
        <w:t xml:space="preserve">: Hushållstyp, stadsdel och andel i riskzonen med dagens hyra </w:t>
      </w:r>
    </w:p>
    <w:tbl>
      <w:tblPr>
        <w:tblW w:w="9680" w:type="dxa"/>
        <w:tblInd w:w="-38" w:type="dxa"/>
        <w:tblLayout w:type="fixed"/>
        <w:tblCellMar>
          <w:left w:w="70" w:type="dxa"/>
          <w:right w:w="70" w:type="dxa"/>
        </w:tblCellMar>
        <w:tblLook w:val="0000" w:firstRow="0" w:lastRow="0" w:firstColumn="0" w:lastColumn="0" w:noHBand="0" w:noVBand="0"/>
      </w:tblPr>
      <w:tblGrid>
        <w:gridCol w:w="1873"/>
        <w:gridCol w:w="729"/>
        <w:gridCol w:w="777"/>
        <w:gridCol w:w="762"/>
        <w:gridCol w:w="700"/>
        <w:gridCol w:w="829"/>
        <w:gridCol w:w="739"/>
        <w:gridCol w:w="781"/>
        <w:gridCol w:w="778"/>
        <w:gridCol w:w="851"/>
        <w:gridCol w:w="861"/>
      </w:tblGrid>
      <w:tr w:rsidR="0024271E" w:rsidRPr="003954D9" w14:paraId="3CA61F6F" w14:textId="77777777" w:rsidTr="00185E91">
        <w:trPr>
          <w:trHeight w:val="667"/>
        </w:trPr>
        <w:tc>
          <w:tcPr>
            <w:tcW w:w="1873" w:type="dxa"/>
            <w:tcBorders>
              <w:top w:val="single" w:sz="6" w:space="0" w:color="auto"/>
              <w:left w:val="single" w:sz="6" w:space="0" w:color="auto"/>
              <w:bottom w:val="single" w:sz="6" w:space="0" w:color="auto"/>
              <w:right w:val="single" w:sz="6" w:space="0" w:color="auto"/>
            </w:tcBorders>
          </w:tcPr>
          <w:p w14:paraId="33FDFFF7" w14:textId="77777777" w:rsidR="0024271E" w:rsidRPr="003954D9" w:rsidRDefault="0024271E">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Hushållstyp</w:t>
            </w:r>
          </w:p>
        </w:tc>
        <w:tc>
          <w:tcPr>
            <w:tcW w:w="729" w:type="dxa"/>
            <w:tcBorders>
              <w:top w:val="single" w:sz="6" w:space="0" w:color="auto"/>
              <w:left w:val="single" w:sz="6" w:space="0" w:color="auto"/>
              <w:bottom w:val="single" w:sz="6" w:space="0" w:color="auto"/>
              <w:right w:val="single" w:sz="6" w:space="0" w:color="auto"/>
            </w:tcBorders>
          </w:tcPr>
          <w:p w14:paraId="32516599" w14:textId="77777777" w:rsidR="0024271E" w:rsidRPr="003954D9" w:rsidRDefault="0024271E" w:rsidP="0024271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777" w:type="dxa"/>
            <w:tcBorders>
              <w:top w:val="single" w:sz="6" w:space="0" w:color="auto"/>
              <w:left w:val="single" w:sz="6" w:space="0" w:color="auto"/>
              <w:bottom w:val="single" w:sz="6" w:space="0" w:color="auto"/>
              <w:right w:val="single" w:sz="6" w:space="0" w:color="auto"/>
            </w:tcBorders>
          </w:tcPr>
          <w:p w14:paraId="77B36144" w14:textId="77777777" w:rsidR="0024271E" w:rsidRPr="003954D9" w:rsidRDefault="0024271E" w:rsidP="0024271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62" w:type="dxa"/>
            <w:tcBorders>
              <w:top w:val="single" w:sz="6" w:space="0" w:color="auto"/>
              <w:left w:val="single" w:sz="6" w:space="0" w:color="auto"/>
              <w:bottom w:val="single" w:sz="6" w:space="0" w:color="auto"/>
              <w:right w:val="single" w:sz="6" w:space="0" w:color="auto"/>
            </w:tcBorders>
          </w:tcPr>
          <w:p w14:paraId="37A760DE" w14:textId="77777777" w:rsidR="0024271E" w:rsidRPr="003954D9" w:rsidRDefault="0024271E" w:rsidP="0024271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0" w:type="dxa"/>
            <w:tcBorders>
              <w:top w:val="single" w:sz="6" w:space="0" w:color="auto"/>
              <w:left w:val="single" w:sz="6" w:space="0" w:color="auto"/>
              <w:bottom w:val="single" w:sz="6" w:space="0" w:color="auto"/>
              <w:right w:val="single" w:sz="6" w:space="0" w:color="auto"/>
            </w:tcBorders>
          </w:tcPr>
          <w:p w14:paraId="2B3C0588" w14:textId="77777777" w:rsidR="0024271E" w:rsidRPr="003954D9" w:rsidRDefault="0024271E" w:rsidP="0024271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29" w:type="dxa"/>
            <w:tcBorders>
              <w:top w:val="single" w:sz="6" w:space="0" w:color="auto"/>
              <w:left w:val="single" w:sz="6" w:space="0" w:color="auto"/>
              <w:bottom w:val="single" w:sz="6" w:space="0" w:color="auto"/>
              <w:right w:val="single" w:sz="6" w:space="0" w:color="auto"/>
            </w:tcBorders>
          </w:tcPr>
          <w:p w14:paraId="38AD06ED" w14:textId="77777777" w:rsidR="0024271E" w:rsidRPr="003954D9" w:rsidRDefault="0024271E" w:rsidP="0024271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Majorna-Linne</w:t>
            </w:r>
          </w:p>
        </w:tc>
        <w:tc>
          <w:tcPr>
            <w:tcW w:w="739" w:type="dxa"/>
            <w:tcBorders>
              <w:top w:val="single" w:sz="6" w:space="0" w:color="auto"/>
              <w:left w:val="single" w:sz="6" w:space="0" w:color="auto"/>
              <w:bottom w:val="single" w:sz="6" w:space="0" w:color="auto"/>
              <w:right w:val="single" w:sz="6" w:space="0" w:color="auto"/>
            </w:tcBorders>
          </w:tcPr>
          <w:p w14:paraId="60EF87BD" w14:textId="77777777" w:rsidR="0024271E" w:rsidRPr="003954D9" w:rsidRDefault="0024271E" w:rsidP="0024271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81" w:type="dxa"/>
            <w:tcBorders>
              <w:top w:val="single" w:sz="6" w:space="0" w:color="auto"/>
              <w:left w:val="single" w:sz="6" w:space="0" w:color="auto"/>
              <w:bottom w:val="single" w:sz="6" w:space="0" w:color="auto"/>
              <w:right w:val="single" w:sz="6" w:space="0" w:color="auto"/>
            </w:tcBorders>
          </w:tcPr>
          <w:p w14:paraId="60374F1A" w14:textId="77777777" w:rsidR="0024271E" w:rsidRPr="003954D9" w:rsidRDefault="0024271E" w:rsidP="0024271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78" w:type="dxa"/>
            <w:tcBorders>
              <w:top w:val="single" w:sz="6" w:space="0" w:color="auto"/>
              <w:left w:val="single" w:sz="6" w:space="0" w:color="auto"/>
              <w:bottom w:val="single" w:sz="6" w:space="0" w:color="auto"/>
              <w:right w:val="single" w:sz="6" w:space="0" w:color="auto"/>
            </w:tcBorders>
          </w:tcPr>
          <w:p w14:paraId="44E2726F" w14:textId="77777777" w:rsidR="0024271E" w:rsidRPr="003954D9" w:rsidRDefault="0024271E" w:rsidP="0024271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3E4CEBEF" w14:textId="77777777" w:rsidR="0024271E" w:rsidRPr="003954D9" w:rsidRDefault="0024271E" w:rsidP="0024271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61" w:type="dxa"/>
            <w:tcBorders>
              <w:top w:val="single" w:sz="6" w:space="0" w:color="auto"/>
              <w:left w:val="single" w:sz="6" w:space="0" w:color="auto"/>
              <w:bottom w:val="single" w:sz="6" w:space="0" w:color="auto"/>
              <w:right w:val="single" w:sz="6" w:space="0" w:color="auto"/>
            </w:tcBorders>
          </w:tcPr>
          <w:p w14:paraId="280400F9" w14:textId="77777777" w:rsidR="0024271E" w:rsidRPr="003954D9" w:rsidRDefault="0024271E" w:rsidP="0024271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24271E" w:rsidRPr="003954D9" w14:paraId="11E6B653" w14:textId="77777777" w:rsidTr="00185E91">
        <w:trPr>
          <w:trHeight w:val="227"/>
        </w:trPr>
        <w:tc>
          <w:tcPr>
            <w:tcW w:w="1873" w:type="dxa"/>
            <w:tcBorders>
              <w:top w:val="single" w:sz="6" w:space="0" w:color="auto"/>
              <w:left w:val="single" w:sz="6" w:space="0" w:color="auto"/>
              <w:bottom w:val="single" w:sz="6" w:space="0" w:color="auto"/>
              <w:right w:val="single" w:sz="6" w:space="0" w:color="auto"/>
            </w:tcBorders>
          </w:tcPr>
          <w:p w14:paraId="4C10AA08" w14:textId="23A7F359" w:rsidR="0024271E" w:rsidRPr="003954D9" w:rsidRDefault="0024271E">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3657E467" w14:textId="77777777" w:rsidR="0024271E" w:rsidRPr="003954D9" w:rsidRDefault="0024271E">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25,9</w:t>
            </w:r>
          </w:p>
        </w:tc>
        <w:tc>
          <w:tcPr>
            <w:tcW w:w="777" w:type="dxa"/>
            <w:tcBorders>
              <w:top w:val="single" w:sz="6" w:space="0" w:color="auto"/>
              <w:left w:val="single" w:sz="6" w:space="0" w:color="auto"/>
              <w:bottom w:val="single" w:sz="6" w:space="0" w:color="auto"/>
              <w:right w:val="single" w:sz="6" w:space="0" w:color="auto"/>
            </w:tcBorders>
          </w:tcPr>
          <w:p w14:paraId="64E201AE"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19,0</w:t>
            </w:r>
          </w:p>
        </w:tc>
        <w:tc>
          <w:tcPr>
            <w:tcW w:w="762" w:type="dxa"/>
            <w:tcBorders>
              <w:top w:val="single" w:sz="6" w:space="0" w:color="auto"/>
              <w:left w:val="single" w:sz="6" w:space="0" w:color="auto"/>
              <w:bottom w:val="single" w:sz="6" w:space="0" w:color="auto"/>
              <w:right w:val="single" w:sz="6" w:space="0" w:color="auto"/>
            </w:tcBorders>
          </w:tcPr>
          <w:p w14:paraId="4D676E3D"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17,6</w:t>
            </w:r>
          </w:p>
        </w:tc>
        <w:tc>
          <w:tcPr>
            <w:tcW w:w="700" w:type="dxa"/>
            <w:tcBorders>
              <w:top w:val="single" w:sz="6" w:space="0" w:color="auto"/>
              <w:left w:val="single" w:sz="6" w:space="0" w:color="auto"/>
              <w:bottom w:val="single" w:sz="6" w:space="0" w:color="auto"/>
              <w:right w:val="single" w:sz="6" w:space="0" w:color="auto"/>
            </w:tcBorders>
          </w:tcPr>
          <w:p w14:paraId="13FD07EF"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16,2</w:t>
            </w:r>
          </w:p>
        </w:tc>
        <w:tc>
          <w:tcPr>
            <w:tcW w:w="829" w:type="dxa"/>
            <w:tcBorders>
              <w:top w:val="single" w:sz="6" w:space="0" w:color="auto"/>
              <w:left w:val="single" w:sz="6" w:space="0" w:color="auto"/>
              <w:bottom w:val="single" w:sz="6" w:space="0" w:color="auto"/>
              <w:right w:val="single" w:sz="6" w:space="0" w:color="auto"/>
            </w:tcBorders>
          </w:tcPr>
          <w:p w14:paraId="6D261345"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15,5</w:t>
            </w:r>
          </w:p>
        </w:tc>
        <w:tc>
          <w:tcPr>
            <w:tcW w:w="739" w:type="dxa"/>
            <w:tcBorders>
              <w:top w:val="single" w:sz="6" w:space="0" w:color="auto"/>
              <w:left w:val="single" w:sz="6" w:space="0" w:color="auto"/>
              <w:bottom w:val="single" w:sz="6" w:space="0" w:color="auto"/>
              <w:right w:val="single" w:sz="6" w:space="0" w:color="auto"/>
            </w:tcBorders>
          </w:tcPr>
          <w:p w14:paraId="68BE27CA"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18,5</w:t>
            </w:r>
          </w:p>
        </w:tc>
        <w:tc>
          <w:tcPr>
            <w:tcW w:w="781" w:type="dxa"/>
            <w:tcBorders>
              <w:top w:val="single" w:sz="6" w:space="0" w:color="auto"/>
              <w:left w:val="single" w:sz="6" w:space="0" w:color="auto"/>
              <w:bottom w:val="single" w:sz="6" w:space="0" w:color="auto"/>
              <w:right w:val="single" w:sz="6" w:space="0" w:color="auto"/>
            </w:tcBorders>
          </w:tcPr>
          <w:p w14:paraId="6209559C"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19,3</w:t>
            </w:r>
          </w:p>
        </w:tc>
        <w:tc>
          <w:tcPr>
            <w:tcW w:w="778" w:type="dxa"/>
            <w:tcBorders>
              <w:top w:val="single" w:sz="6" w:space="0" w:color="auto"/>
              <w:left w:val="single" w:sz="6" w:space="0" w:color="auto"/>
              <w:bottom w:val="single" w:sz="6" w:space="0" w:color="auto"/>
              <w:right w:val="single" w:sz="6" w:space="0" w:color="auto"/>
            </w:tcBorders>
          </w:tcPr>
          <w:p w14:paraId="1B262AB9"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14,0</w:t>
            </w:r>
          </w:p>
        </w:tc>
        <w:tc>
          <w:tcPr>
            <w:tcW w:w="851" w:type="dxa"/>
            <w:tcBorders>
              <w:top w:val="single" w:sz="6" w:space="0" w:color="auto"/>
              <w:left w:val="single" w:sz="6" w:space="0" w:color="auto"/>
              <w:bottom w:val="single" w:sz="6" w:space="0" w:color="auto"/>
              <w:right w:val="single" w:sz="6" w:space="0" w:color="auto"/>
            </w:tcBorders>
          </w:tcPr>
          <w:p w14:paraId="2241C803" w14:textId="77777777" w:rsidR="0024271E" w:rsidRPr="003954D9" w:rsidRDefault="0024271E">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8,8</w:t>
            </w:r>
          </w:p>
        </w:tc>
        <w:tc>
          <w:tcPr>
            <w:tcW w:w="861" w:type="dxa"/>
            <w:tcBorders>
              <w:top w:val="single" w:sz="6" w:space="0" w:color="auto"/>
              <w:left w:val="single" w:sz="6" w:space="0" w:color="auto"/>
              <w:bottom w:val="single" w:sz="6" w:space="0" w:color="auto"/>
              <w:right w:val="single" w:sz="6" w:space="0" w:color="auto"/>
            </w:tcBorders>
          </w:tcPr>
          <w:p w14:paraId="50A2D589"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22,1</w:t>
            </w:r>
          </w:p>
        </w:tc>
      </w:tr>
      <w:tr w:rsidR="0024271E" w:rsidRPr="003954D9" w14:paraId="569EA14D" w14:textId="77777777" w:rsidTr="00185E91">
        <w:trPr>
          <w:trHeight w:val="227"/>
        </w:trPr>
        <w:tc>
          <w:tcPr>
            <w:tcW w:w="1873" w:type="dxa"/>
            <w:tcBorders>
              <w:top w:val="single" w:sz="6" w:space="0" w:color="auto"/>
              <w:left w:val="single" w:sz="6" w:space="0" w:color="auto"/>
              <w:bottom w:val="single" w:sz="6" w:space="0" w:color="auto"/>
              <w:right w:val="single" w:sz="6" w:space="0" w:color="auto"/>
            </w:tcBorders>
          </w:tcPr>
          <w:p w14:paraId="5AED418D" w14:textId="144815F4" w:rsidR="0024271E" w:rsidRPr="003954D9" w:rsidRDefault="0024271E">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65-år</w:t>
            </w:r>
          </w:p>
        </w:tc>
        <w:tc>
          <w:tcPr>
            <w:tcW w:w="729" w:type="dxa"/>
            <w:tcBorders>
              <w:top w:val="single" w:sz="6" w:space="0" w:color="auto"/>
              <w:left w:val="single" w:sz="6" w:space="0" w:color="auto"/>
              <w:bottom w:val="single" w:sz="6" w:space="0" w:color="auto"/>
              <w:right w:val="single" w:sz="6" w:space="0" w:color="auto"/>
            </w:tcBorders>
          </w:tcPr>
          <w:p w14:paraId="5AF8AF4A" w14:textId="77777777" w:rsidR="0024271E" w:rsidRPr="003954D9" w:rsidRDefault="0024271E">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11,2</w:t>
            </w:r>
          </w:p>
        </w:tc>
        <w:tc>
          <w:tcPr>
            <w:tcW w:w="777" w:type="dxa"/>
            <w:tcBorders>
              <w:top w:val="single" w:sz="6" w:space="0" w:color="auto"/>
              <w:left w:val="single" w:sz="6" w:space="0" w:color="auto"/>
              <w:bottom w:val="single" w:sz="6" w:space="0" w:color="auto"/>
              <w:right w:val="single" w:sz="6" w:space="0" w:color="auto"/>
            </w:tcBorders>
          </w:tcPr>
          <w:p w14:paraId="11698766"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7,3</w:t>
            </w:r>
          </w:p>
        </w:tc>
        <w:tc>
          <w:tcPr>
            <w:tcW w:w="762" w:type="dxa"/>
            <w:tcBorders>
              <w:top w:val="single" w:sz="6" w:space="0" w:color="auto"/>
              <w:left w:val="single" w:sz="6" w:space="0" w:color="auto"/>
              <w:bottom w:val="single" w:sz="6" w:space="0" w:color="auto"/>
              <w:right w:val="single" w:sz="6" w:space="0" w:color="auto"/>
            </w:tcBorders>
          </w:tcPr>
          <w:p w14:paraId="187BFB8B"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w:t>
            </w:r>
          </w:p>
        </w:tc>
        <w:tc>
          <w:tcPr>
            <w:tcW w:w="700" w:type="dxa"/>
            <w:tcBorders>
              <w:top w:val="single" w:sz="6" w:space="0" w:color="auto"/>
              <w:left w:val="single" w:sz="6" w:space="0" w:color="auto"/>
              <w:bottom w:val="single" w:sz="6" w:space="0" w:color="auto"/>
              <w:right w:val="single" w:sz="6" w:space="0" w:color="auto"/>
            </w:tcBorders>
          </w:tcPr>
          <w:p w14:paraId="676DD2C5" w14:textId="77777777" w:rsidR="0024271E" w:rsidRPr="003954D9" w:rsidRDefault="0024271E">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3,8</w:t>
            </w:r>
          </w:p>
        </w:tc>
        <w:tc>
          <w:tcPr>
            <w:tcW w:w="829" w:type="dxa"/>
            <w:tcBorders>
              <w:top w:val="single" w:sz="6" w:space="0" w:color="auto"/>
              <w:left w:val="single" w:sz="6" w:space="0" w:color="auto"/>
              <w:bottom w:val="single" w:sz="6" w:space="0" w:color="auto"/>
              <w:right w:val="single" w:sz="6" w:space="0" w:color="auto"/>
            </w:tcBorders>
          </w:tcPr>
          <w:p w14:paraId="7B3BB025"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12,6</w:t>
            </w:r>
          </w:p>
        </w:tc>
        <w:tc>
          <w:tcPr>
            <w:tcW w:w="739" w:type="dxa"/>
            <w:tcBorders>
              <w:top w:val="single" w:sz="6" w:space="0" w:color="auto"/>
              <w:left w:val="single" w:sz="6" w:space="0" w:color="auto"/>
              <w:bottom w:val="single" w:sz="6" w:space="0" w:color="auto"/>
              <w:right w:val="single" w:sz="6" w:space="0" w:color="auto"/>
            </w:tcBorders>
          </w:tcPr>
          <w:p w14:paraId="3BE180D0"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7,7</w:t>
            </w:r>
          </w:p>
        </w:tc>
        <w:tc>
          <w:tcPr>
            <w:tcW w:w="781" w:type="dxa"/>
            <w:tcBorders>
              <w:top w:val="single" w:sz="6" w:space="0" w:color="auto"/>
              <w:left w:val="single" w:sz="6" w:space="0" w:color="auto"/>
              <w:bottom w:val="single" w:sz="6" w:space="0" w:color="auto"/>
              <w:right w:val="single" w:sz="6" w:space="0" w:color="auto"/>
            </w:tcBorders>
          </w:tcPr>
          <w:p w14:paraId="551791B0"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w:t>
            </w:r>
          </w:p>
        </w:tc>
        <w:tc>
          <w:tcPr>
            <w:tcW w:w="778" w:type="dxa"/>
            <w:tcBorders>
              <w:top w:val="single" w:sz="6" w:space="0" w:color="auto"/>
              <w:left w:val="single" w:sz="6" w:space="0" w:color="auto"/>
              <w:bottom w:val="single" w:sz="6" w:space="0" w:color="auto"/>
              <w:right w:val="single" w:sz="6" w:space="0" w:color="auto"/>
            </w:tcBorders>
          </w:tcPr>
          <w:p w14:paraId="043CFCE2"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9,2</w:t>
            </w:r>
          </w:p>
        </w:tc>
        <w:tc>
          <w:tcPr>
            <w:tcW w:w="851" w:type="dxa"/>
            <w:tcBorders>
              <w:top w:val="single" w:sz="6" w:space="0" w:color="auto"/>
              <w:left w:val="single" w:sz="6" w:space="0" w:color="auto"/>
              <w:bottom w:val="single" w:sz="6" w:space="0" w:color="auto"/>
              <w:right w:val="single" w:sz="6" w:space="0" w:color="auto"/>
            </w:tcBorders>
          </w:tcPr>
          <w:p w14:paraId="32BE2BD1"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44A3AFDE"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w:t>
            </w:r>
          </w:p>
        </w:tc>
      </w:tr>
      <w:tr w:rsidR="0024271E" w:rsidRPr="003954D9" w14:paraId="22A36634" w14:textId="77777777" w:rsidTr="00185E91">
        <w:trPr>
          <w:trHeight w:val="227"/>
        </w:trPr>
        <w:tc>
          <w:tcPr>
            <w:tcW w:w="1873" w:type="dxa"/>
            <w:tcBorders>
              <w:top w:val="single" w:sz="6" w:space="0" w:color="auto"/>
              <w:left w:val="single" w:sz="6" w:space="0" w:color="auto"/>
              <w:bottom w:val="single" w:sz="6" w:space="0" w:color="auto"/>
              <w:right w:val="single" w:sz="6" w:space="0" w:color="auto"/>
            </w:tcBorders>
          </w:tcPr>
          <w:p w14:paraId="1E9EF605" w14:textId="51ED985C" w:rsidR="0024271E" w:rsidRPr="003954D9" w:rsidRDefault="0024271E">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Ensam</w:t>
            </w:r>
            <w:r w:rsidR="00185E91" w:rsidRPr="003954D9">
              <w:rPr>
                <w:rFonts w:ascii="Calibri" w:hAnsi="Calibri" w:cs="Calibri"/>
                <w:b/>
                <w:color w:val="000000"/>
                <w:sz w:val="16"/>
                <w:szCs w:val="16"/>
              </w:rPr>
              <w:t>st.</w:t>
            </w:r>
            <w:r w:rsidRPr="003954D9">
              <w:rPr>
                <w:rFonts w:ascii="Calibri" w:hAnsi="Calibri" w:cs="Calibri"/>
                <w:b/>
                <w:color w:val="000000"/>
                <w:sz w:val="16"/>
                <w:szCs w:val="16"/>
              </w:rPr>
              <w:t xml:space="preserve"> m.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5350D8A2"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28,4</w:t>
            </w:r>
          </w:p>
        </w:tc>
        <w:tc>
          <w:tcPr>
            <w:tcW w:w="777" w:type="dxa"/>
            <w:tcBorders>
              <w:top w:val="single" w:sz="6" w:space="0" w:color="auto"/>
              <w:left w:val="single" w:sz="6" w:space="0" w:color="auto"/>
              <w:bottom w:val="single" w:sz="6" w:space="0" w:color="auto"/>
              <w:right w:val="single" w:sz="6" w:space="0" w:color="auto"/>
            </w:tcBorders>
          </w:tcPr>
          <w:p w14:paraId="5F93AF3E"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20,1</w:t>
            </w:r>
          </w:p>
        </w:tc>
        <w:tc>
          <w:tcPr>
            <w:tcW w:w="762" w:type="dxa"/>
            <w:tcBorders>
              <w:top w:val="single" w:sz="6" w:space="0" w:color="auto"/>
              <w:left w:val="single" w:sz="6" w:space="0" w:color="auto"/>
              <w:bottom w:val="single" w:sz="6" w:space="0" w:color="auto"/>
              <w:right w:val="single" w:sz="6" w:space="0" w:color="auto"/>
            </w:tcBorders>
          </w:tcPr>
          <w:p w14:paraId="3FB6C90C" w14:textId="77777777" w:rsidR="0024271E" w:rsidRPr="003954D9" w:rsidRDefault="0024271E">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12,1</w:t>
            </w:r>
          </w:p>
        </w:tc>
        <w:tc>
          <w:tcPr>
            <w:tcW w:w="700" w:type="dxa"/>
            <w:tcBorders>
              <w:top w:val="single" w:sz="6" w:space="0" w:color="auto"/>
              <w:left w:val="single" w:sz="6" w:space="0" w:color="auto"/>
              <w:bottom w:val="single" w:sz="6" w:space="0" w:color="auto"/>
              <w:right w:val="single" w:sz="6" w:space="0" w:color="auto"/>
            </w:tcBorders>
          </w:tcPr>
          <w:p w14:paraId="624B9DEF"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22,5</w:t>
            </w:r>
          </w:p>
        </w:tc>
        <w:tc>
          <w:tcPr>
            <w:tcW w:w="829" w:type="dxa"/>
            <w:tcBorders>
              <w:top w:val="single" w:sz="6" w:space="0" w:color="auto"/>
              <w:left w:val="single" w:sz="6" w:space="0" w:color="auto"/>
              <w:bottom w:val="single" w:sz="6" w:space="0" w:color="auto"/>
              <w:right w:val="single" w:sz="6" w:space="0" w:color="auto"/>
            </w:tcBorders>
          </w:tcPr>
          <w:p w14:paraId="09F6CC18"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15,6</w:t>
            </w:r>
          </w:p>
        </w:tc>
        <w:tc>
          <w:tcPr>
            <w:tcW w:w="739" w:type="dxa"/>
            <w:tcBorders>
              <w:top w:val="single" w:sz="6" w:space="0" w:color="auto"/>
              <w:left w:val="single" w:sz="6" w:space="0" w:color="auto"/>
              <w:bottom w:val="single" w:sz="6" w:space="0" w:color="auto"/>
              <w:right w:val="single" w:sz="6" w:space="0" w:color="auto"/>
            </w:tcBorders>
          </w:tcPr>
          <w:p w14:paraId="5C006845"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22,3</w:t>
            </w:r>
          </w:p>
        </w:tc>
        <w:tc>
          <w:tcPr>
            <w:tcW w:w="781" w:type="dxa"/>
            <w:tcBorders>
              <w:top w:val="single" w:sz="6" w:space="0" w:color="auto"/>
              <w:left w:val="single" w:sz="6" w:space="0" w:color="auto"/>
              <w:bottom w:val="single" w:sz="6" w:space="0" w:color="auto"/>
              <w:right w:val="single" w:sz="6" w:space="0" w:color="auto"/>
            </w:tcBorders>
          </w:tcPr>
          <w:p w14:paraId="16ACF7B6"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28,0</w:t>
            </w:r>
          </w:p>
        </w:tc>
        <w:tc>
          <w:tcPr>
            <w:tcW w:w="778" w:type="dxa"/>
            <w:tcBorders>
              <w:top w:val="single" w:sz="6" w:space="0" w:color="auto"/>
              <w:left w:val="single" w:sz="6" w:space="0" w:color="auto"/>
              <w:bottom w:val="single" w:sz="6" w:space="0" w:color="auto"/>
              <w:right w:val="single" w:sz="6" w:space="0" w:color="auto"/>
            </w:tcBorders>
          </w:tcPr>
          <w:p w14:paraId="04A7B007"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14,7</w:t>
            </w:r>
          </w:p>
        </w:tc>
        <w:tc>
          <w:tcPr>
            <w:tcW w:w="851" w:type="dxa"/>
            <w:tcBorders>
              <w:top w:val="single" w:sz="6" w:space="0" w:color="auto"/>
              <w:left w:val="single" w:sz="6" w:space="0" w:color="auto"/>
              <w:bottom w:val="single" w:sz="6" w:space="0" w:color="auto"/>
              <w:right w:val="single" w:sz="6" w:space="0" w:color="auto"/>
            </w:tcBorders>
          </w:tcPr>
          <w:p w14:paraId="3018A4C8"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17,9</w:t>
            </w:r>
          </w:p>
        </w:tc>
        <w:tc>
          <w:tcPr>
            <w:tcW w:w="861" w:type="dxa"/>
            <w:tcBorders>
              <w:top w:val="single" w:sz="6" w:space="0" w:color="auto"/>
              <w:left w:val="single" w:sz="6" w:space="0" w:color="auto"/>
              <w:bottom w:val="single" w:sz="6" w:space="0" w:color="auto"/>
              <w:right w:val="single" w:sz="6" w:space="0" w:color="auto"/>
            </w:tcBorders>
          </w:tcPr>
          <w:p w14:paraId="3C7654E3" w14:textId="77777777" w:rsidR="0024271E" w:rsidRPr="003954D9" w:rsidRDefault="0024271E">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30,7</w:t>
            </w:r>
          </w:p>
        </w:tc>
      </w:tr>
      <w:tr w:rsidR="0024271E" w:rsidRPr="003954D9" w14:paraId="3CB19CA0" w14:textId="77777777" w:rsidTr="00185E91">
        <w:trPr>
          <w:trHeight w:val="227"/>
        </w:trPr>
        <w:tc>
          <w:tcPr>
            <w:tcW w:w="1873" w:type="dxa"/>
            <w:tcBorders>
              <w:top w:val="single" w:sz="6" w:space="0" w:color="auto"/>
              <w:left w:val="single" w:sz="6" w:space="0" w:color="auto"/>
              <w:bottom w:val="single" w:sz="6" w:space="0" w:color="auto"/>
              <w:right w:val="single" w:sz="6" w:space="0" w:color="auto"/>
            </w:tcBorders>
          </w:tcPr>
          <w:p w14:paraId="71949548" w14:textId="355D9B2A" w:rsidR="0024271E" w:rsidRPr="003954D9" w:rsidRDefault="0024271E">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6C2FD46E" w14:textId="77777777" w:rsidR="0024271E" w:rsidRPr="003954D9" w:rsidRDefault="0024271E">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16,2</w:t>
            </w:r>
          </w:p>
        </w:tc>
        <w:tc>
          <w:tcPr>
            <w:tcW w:w="777" w:type="dxa"/>
            <w:tcBorders>
              <w:top w:val="single" w:sz="6" w:space="0" w:color="auto"/>
              <w:left w:val="single" w:sz="6" w:space="0" w:color="auto"/>
              <w:bottom w:val="single" w:sz="6" w:space="0" w:color="auto"/>
              <w:right w:val="single" w:sz="6" w:space="0" w:color="auto"/>
            </w:tcBorders>
          </w:tcPr>
          <w:p w14:paraId="01F561BF"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7,4</w:t>
            </w:r>
          </w:p>
        </w:tc>
        <w:tc>
          <w:tcPr>
            <w:tcW w:w="762" w:type="dxa"/>
            <w:tcBorders>
              <w:top w:val="single" w:sz="6" w:space="0" w:color="auto"/>
              <w:left w:val="single" w:sz="6" w:space="0" w:color="auto"/>
              <w:bottom w:val="single" w:sz="6" w:space="0" w:color="auto"/>
              <w:right w:val="single" w:sz="6" w:space="0" w:color="auto"/>
            </w:tcBorders>
          </w:tcPr>
          <w:p w14:paraId="3DB39183" w14:textId="77777777" w:rsidR="0024271E" w:rsidRPr="003954D9" w:rsidRDefault="0024271E">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4,4</w:t>
            </w:r>
          </w:p>
        </w:tc>
        <w:tc>
          <w:tcPr>
            <w:tcW w:w="700" w:type="dxa"/>
            <w:tcBorders>
              <w:top w:val="single" w:sz="6" w:space="0" w:color="auto"/>
              <w:left w:val="single" w:sz="6" w:space="0" w:color="auto"/>
              <w:bottom w:val="single" w:sz="6" w:space="0" w:color="auto"/>
              <w:right w:val="single" w:sz="6" w:space="0" w:color="auto"/>
            </w:tcBorders>
          </w:tcPr>
          <w:p w14:paraId="2CE2201E"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8,9</w:t>
            </w:r>
          </w:p>
        </w:tc>
        <w:tc>
          <w:tcPr>
            <w:tcW w:w="829" w:type="dxa"/>
            <w:tcBorders>
              <w:top w:val="single" w:sz="6" w:space="0" w:color="auto"/>
              <w:left w:val="single" w:sz="6" w:space="0" w:color="auto"/>
              <w:bottom w:val="single" w:sz="6" w:space="0" w:color="auto"/>
              <w:right w:val="single" w:sz="6" w:space="0" w:color="auto"/>
            </w:tcBorders>
          </w:tcPr>
          <w:p w14:paraId="79F6DAFD"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5,0</w:t>
            </w:r>
          </w:p>
        </w:tc>
        <w:tc>
          <w:tcPr>
            <w:tcW w:w="739" w:type="dxa"/>
            <w:tcBorders>
              <w:top w:val="single" w:sz="6" w:space="0" w:color="auto"/>
              <w:left w:val="single" w:sz="6" w:space="0" w:color="auto"/>
              <w:bottom w:val="single" w:sz="6" w:space="0" w:color="auto"/>
              <w:right w:val="single" w:sz="6" w:space="0" w:color="auto"/>
            </w:tcBorders>
          </w:tcPr>
          <w:p w14:paraId="0E3C0FAE"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10,5</w:t>
            </w:r>
          </w:p>
        </w:tc>
        <w:tc>
          <w:tcPr>
            <w:tcW w:w="781" w:type="dxa"/>
            <w:tcBorders>
              <w:top w:val="single" w:sz="6" w:space="0" w:color="auto"/>
              <w:left w:val="single" w:sz="6" w:space="0" w:color="auto"/>
              <w:bottom w:val="single" w:sz="6" w:space="0" w:color="auto"/>
              <w:right w:val="single" w:sz="6" w:space="0" w:color="auto"/>
            </w:tcBorders>
          </w:tcPr>
          <w:p w14:paraId="31322BC0"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w:t>
            </w:r>
          </w:p>
        </w:tc>
        <w:tc>
          <w:tcPr>
            <w:tcW w:w="778" w:type="dxa"/>
            <w:tcBorders>
              <w:top w:val="single" w:sz="6" w:space="0" w:color="auto"/>
              <w:left w:val="single" w:sz="6" w:space="0" w:color="auto"/>
              <w:bottom w:val="single" w:sz="6" w:space="0" w:color="auto"/>
              <w:right w:val="single" w:sz="6" w:space="0" w:color="auto"/>
            </w:tcBorders>
          </w:tcPr>
          <w:p w14:paraId="6CC53EA9"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6,9</w:t>
            </w:r>
          </w:p>
        </w:tc>
        <w:tc>
          <w:tcPr>
            <w:tcW w:w="851" w:type="dxa"/>
            <w:tcBorders>
              <w:top w:val="single" w:sz="6" w:space="0" w:color="auto"/>
              <w:left w:val="single" w:sz="6" w:space="0" w:color="auto"/>
              <w:bottom w:val="single" w:sz="6" w:space="0" w:color="auto"/>
              <w:right w:val="single" w:sz="6" w:space="0" w:color="auto"/>
            </w:tcBorders>
          </w:tcPr>
          <w:p w14:paraId="6601D865"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6FD79665"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13,6</w:t>
            </w:r>
          </w:p>
        </w:tc>
      </w:tr>
      <w:tr w:rsidR="0024271E" w:rsidRPr="003954D9" w14:paraId="24AE417E" w14:textId="77777777" w:rsidTr="00185E91">
        <w:trPr>
          <w:trHeight w:val="227"/>
        </w:trPr>
        <w:tc>
          <w:tcPr>
            <w:tcW w:w="1873" w:type="dxa"/>
            <w:tcBorders>
              <w:top w:val="single" w:sz="6" w:space="0" w:color="auto"/>
              <w:left w:val="single" w:sz="6" w:space="0" w:color="auto"/>
              <w:bottom w:val="single" w:sz="6" w:space="0" w:color="auto"/>
              <w:right w:val="single" w:sz="6" w:space="0" w:color="auto"/>
            </w:tcBorders>
          </w:tcPr>
          <w:p w14:paraId="04D26A63" w14:textId="57E7875D" w:rsidR="0024271E" w:rsidRPr="003954D9" w:rsidRDefault="0024271E">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65-år</w:t>
            </w:r>
          </w:p>
        </w:tc>
        <w:tc>
          <w:tcPr>
            <w:tcW w:w="729" w:type="dxa"/>
            <w:tcBorders>
              <w:top w:val="single" w:sz="6" w:space="0" w:color="auto"/>
              <w:left w:val="single" w:sz="6" w:space="0" w:color="auto"/>
              <w:bottom w:val="single" w:sz="6" w:space="0" w:color="auto"/>
              <w:right w:val="single" w:sz="6" w:space="0" w:color="auto"/>
            </w:tcBorders>
          </w:tcPr>
          <w:p w14:paraId="17481DA7" w14:textId="77777777" w:rsidR="0024271E" w:rsidRPr="003954D9" w:rsidRDefault="0024271E">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22,8</w:t>
            </w:r>
          </w:p>
        </w:tc>
        <w:tc>
          <w:tcPr>
            <w:tcW w:w="777" w:type="dxa"/>
            <w:tcBorders>
              <w:top w:val="single" w:sz="6" w:space="0" w:color="auto"/>
              <w:left w:val="single" w:sz="6" w:space="0" w:color="auto"/>
              <w:bottom w:val="single" w:sz="6" w:space="0" w:color="auto"/>
              <w:right w:val="single" w:sz="6" w:space="0" w:color="auto"/>
            </w:tcBorders>
          </w:tcPr>
          <w:p w14:paraId="44A6404C"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62" w:type="dxa"/>
            <w:tcBorders>
              <w:top w:val="single" w:sz="6" w:space="0" w:color="auto"/>
              <w:left w:val="single" w:sz="6" w:space="0" w:color="auto"/>
              <w:bottom w:val="single" w:sz="6" w:space="0" w:color="auto"/>
              <w:right w:val="single" w:sz="6" w:space="0" w:color="auto"/>
            </w:tcBorders>
          </w:tcPr>
          <w:p w14:paraId="38FD7907"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00" w:type="dxa"/>
            <w:tcBorders>
              <w:top w:val="single" w:sz="6" w:space="0" w:color="auto"/>
              <w:left w:val="single" w:sz="6" w:space="0" w:color="auto"/>
              <w:bottom w:val="single" w:sz="6" w:space="0" w:color="auto"/>
              <w:right w:val="single" w:sz="6" w:space="0" w:color="auto"/>
            </w:tcBorders>
          </w:tcPr>
          <w:p w14:paraId="6F18DE14"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29" w:type="dxa"/>
            <w:tcBorders>
              <w:top w:val="single" w:sz="6" w:space="0" w:color="auto"/>
              <w:left w:val="single" w:sz="6" w:space="0" w:color="auto"/>
              <w:bottom w:val="single" w:sz="6" w:space="0" w:color="auto"/>
              <w:right w:val="single" w:sz="6" w:space="0" w:color="auto"/>
            </w:tcBorders>
          </w:tcPr>
          <w:p w14:paraId="280C8B9F"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39" w:type="dxa"/>
            <w:tcBorders>
              <w:top w:val="single" w:sz="6" w:space="0" w:color="auto"/>
              <w:left w:val="single" w:sz="6" w:space="0" w:color="auto"/>
              <w:bottom w:val="single" w:sz="6" w:space="0" w:color="auto"/>
              <w:right w:val="single" w:sz="6" w:space="0" w:color="auto"/>
            </w:tcBorders>
          </w:tcPr>
          <w:p w14:paraId="04550B09"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81" w:type="dxa"/>
            <w:tcBorders>
              <w:top w:val="single" w:sz="6" w:space="0" w:color="auto"/>
              <w:left w:val="single" w:sz="6" w:space="0" w:color="auto"/>
              <w:bottom w:val="single" w:sz="6" w:space="0" w:color="auto"/>
              <w:right w:val="single" w:sz="6" w:space="0" w:color="auto"/>
            </w:tcBorders>
          </w:tcPr>
          <w:p w14:paraId="4D951B8E"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9,8</w:t>
            </w:r>
          </w:p>
        </w:tc>
        <w:tc>
          <w:tcPr>
            <w:tcW w:w="778" w:type="dxa"/>
            <w:tcBorders>
              <w:top w:val="single" w:sz="6" w:space="0" w:color="auto"/>
              <w:left w:val="single" w:sz="6" w:space="0" w:color="auto"/>
              <w:bottom w:val="single" w:sz="6" w:space="0" w:color="auto"/>
              <w:right w:val="single" w:sz="6" w:space="0" w:color="auto"/>
            </w:tcBorders>
          </w:tcPr>
          <w:p w14:paraId="6C4EF4C5"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tcPr>
          <w:p w14:paraId="2C110FC5"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2596C91E" w14:textId="77777777" w:rsidR="0024271E" w:rsidRPr="003954D9" w:rsidRDefault="0024271E">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8,3</w:t>
            </w:r>
          </w:p>
        </w:tc>
      </w:tr>
      <w:tr w:rsidR="0024271E" w:rsidRPr="003954D9" w14:paraId="7FB85E18" w14:textId="77777777" w:rsidTr="00185E91">
        <w:trPr>
          <w:trHeight w:val="227"/>
        </w:trPr>
        <w:tc>
          <w:tcPr>
            <w:tcW w:w="1873" w:type="dxa"/>
            <w:tcBorders>
              <w:top w:val="single" w:sz="6" w:space="0" w:color="auto"/>
              <w:left w:val="single" w:sz="6" w:space="0" w:color="auto"/>
              <w:bottom w:val="single" w:sz="6" w:space="0" w:color="auto"/>
              <w:right w:val="single" w:sz="6" w:space="0" w:color="auto"/>
            </w:tcBorders>
          </w:tcPr>
          <w:p w14:paraId="4C133E16" w14:textId="51E29F0F" w:rsidR="0024271E" w:rsidRPr="003954D9" w:rsidRDefault="0024271E">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1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1941BE7E"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15,5</w:t>
            </w:r>
          </w:p>
        </w:tc>
        <w:tc>
          <w:tcPr>
            <w:tcW w:w="777" w:type="dxa"/>
            <w:tcBorders>
              <w:top w:val="single" w:sz="6" w:space="0" w:color="auto"/>
              <w:left w:val="single" w:sz="6" w:space="0" w:color="auto"/>
              <w:bottom w:val="single" w:sz="6" w:space="0" w:color="auto"/>
              <w:right w:val="single" w:sz="6" w:space="0" w:color="auto"/>
            </w:tcBorders>
          </w:tcPr>
          <w:p w14:paraId="0A359BDA"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7,1</w:t>
            </w:r>
          </w:p>
        </w:tc>
        <w:tc>
          <w:tcPr>
            <w:tcW w:w="762" w:type="dxa"/>
            <w:tcBorders>
              <w:top w:val="single" w:sz="6" w:space="0" w:color="auto"/>
              <w:left w:val="single" w:sz="6" w:space="0" w:color="auto"/>
              <w:bottom w:val="single" w:sz="6" w:space="0" w:color="auto"/>
              <w:right w:val="single" w:sz="6" w:space="0" w:color="auto"/>
            </w:tcBorders>
          </w:tcPr>
          <w:p w14:paraId="45A8B6E3"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00" w:type="dxa"/>
            <w:tcBorders>
              <w:top w:val="single" w:sz="6" w:space="0" w:color="auto"/>
              <w:left w:val="single" w:sz="6" w:space="0" w:color="auto"/>
              <w:bottom w:val="single" w:sz="6" w:space="0" w:color="auto"/>
              <w:right w:val="single" w:sz="6" w:space="0" w:color="auto"/>
            </w:tcBorders>
          </w:tcPr>
          <w:p w14:paraId="747D013F"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14,3</w:t>
            </w:r>
          </w:p>
        </w:tc>
        <w:tc>
          <w:tcPr>
            <w:tcW w:w="829" w:type="dxa"/>
            <w:tcBorders>
              <w:top w:val="single" w:sz="6" w:space="0" w:color="auto"/>
              <w:left w:val="single" w:sz="6" w:space="0" w:color="auto"/>
              <w:bottom w:val="single" w:sz="6" w:space="0" w:color="auto"/>
              <w:right w:val="single" w:sz="6" w:space="0" w:color="auto"/>
            </w:tcBorders>
          </w:tcPr>
          <w:p w14:paraId="7AA5C578" w14:textId="77777777" w:rsidR="0024271E" w:rsidRPr="003954D9" w:rsidRDefault="0024271E">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4,8</w:t>
            </w:r>
          </w:p>
        </w:tc>
        <w:tc>
          <w:tcPr>
            <w:tcW w:w="739" w:type="dxa"/>
            <w:tcBorders>
              <w:top w:val="single" w:sz="6" w:space="0" w:color="auto"/>
              <w:left w:val="single" w:sz="6" w:space="0" w:color="auto"/>
              <w:bottom w:val="single" w:sz="6" w:space="0" w:color="auto"/>
              <w:right w:val="single" w:sz="6" w:space="0" w:color="auto"/>
            </w:tcBorders>
          </w:tcPr>
          <w:p w14:paraId="449588E6"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13,4</w:t>
            </w:r>
          </w:p>
        </w:tc>
        <w:tc>
          <w:tcPr>
            <w:tcW w:w="781" w:type="dxa"/>
            <w:tcBorders>
              <w:top w:val="single" w:sz="6" w:space="0" w:color="auto"/>
              <w:left w:val="single" w:sz="6" w:space="0" w:color="auto"/>
              <w:bottom w:val="single" w:sz="6" w:space="0" w:color="auto"/>
              <w:right w:val="single" w:sz="6" w:space="0" w:color="auto"/>
            </w:tcBorders>
          </w:tcPr>
          <w:p w14:paraId="37B1C695" w14:textId="77777777" w:rsidR="0024271E" w:rsidRPr="003954D9" w:rsidRDefault="0024271E">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18,5</w:t>
            </w:r>
          </w:p>
        </w:tc>
        <w:tc>
          <w:tcPr>
            <w:tcW w:w="778" w:type="dxa"/>
            <w:tcBorders>
              <w:top w:val="single" w:sz="6" w:space="0" w:color="auto"/>
              <w:left w:val="single" w:sz="6" w:space="0" w:color="auto"/>
              <w:bottom w:val="single" w:sz="6" w:space="0" w:color="auto"/>
              <w:right w:val="single" w:sz="6" w:space="0" w:color="auto"/>
            </w:tcBorders>
          </w:tcPr>
          <w:p w14:paraId="3A1C129A"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6,7</w:t>
            </w:r>
          </w:p>
        </w:tc>
        <w:tc>
          <w:tcPr>
            <w:tcW w:w="851" w:type="dxa"/>
            <w:tcBorders>
              <w:top w:val="single" w:sz="6" w:space="0" w:color="auto"/>
              <w:left w:val="single" w:sz="6" w:space="0" w:color="auto"/>
              <w:bottom w:val="single" w:sz="6" w:space="0" w:color="auto"/>
              <w:right w:val="single" w:sz="6" w:space="0" w:color="auto"/>
            </w:tcBorders>
          </w:tcPr>
          <w:p w14:paraId="62027AEE"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1432E643"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15,4</w:t>
            </w:r>
          </w:p>
        </w:tc>
      </w:tr>
      <w:tr w:rsidR="0024271E" w:rsidRPr="003954D9" w14:paraId="715EC563" w14:textId="77777777" w:rsidTr="00185E91">
        <w:trPr>
          <w:trHeight w:val="227"/>
        </w:trPr>
        <w:tc>
          <w:tcPr>
            <w:tcW w:w="1873" w:type="dxa"/>
            <w:tcBorders>
              <w:top w:val="single" w:sz="6" w:space="0" w:color="auto"/>
              <w:left w:val="single" w:sz="6" w:space="0" w:color="auto"/>
              <w:bottom w:val="single" w:sz="6" w:space="0" w:color="auto"/>
              <w:right w:val="single" w:sz="6" w:space="0" w:color="auto"/>
            </w:tcBorders>
          </w:tcPr>
          <w:p w14:paraId="5EFEC30A" w14:textId="054DA68A" w:rsidR="0024271E" w:rsidRPr="003954D9" w:rsidRDefault="0024271E">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2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6E8D4E71" w14:textId="77777777" w:rsidR="0024271E" w:rsidRPr="003954D9" w:rsidRDefault="0024271E">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20,5</w:t>
            </w:r>
          </w:p>
        </w:tc>
        <w:tc>
          <w:tcPr>
            <w:tcW w:w="777" w:type="dxa"/>
            <w:tcBorders>
              <w:top w:val="single" w:sz="6" w:space="0" w:color="auto"/>
              <w:left w:val="single" w:sz="6" w:space="0" w:color="auto"/>
              <w:bottom w:val="single" w:sz="6" w:space="0" w:color="auto"/>
              <w:right w:val="single" w:sz="6" w:space="0" w:color="auto"/>
            </w:tcBorders>
          </w:tcPr>
          <w:p w14:paraId="3E072FE6"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11,5</w:t>
            </w:r>
          </w:p>
        </w:tc>
        <w:tc>
          <w:tcPr>
            <w:tcW w:w="762" w:type="dxa"/>
            <w:tcBorders>
              <w:top w:val="single" w:sz="6" w:space="0" w:color="auto"/>
              <w:left w:val="single" w:sz="6" w:space="0" w:color="auto"/>
              <w:bottom w:val="single" w:sz="6" w:space="0" w:color="auto"/>
              <w:right w:val="single" w:sz="6" w:space="0" w:color="auto"/>
            </w:tcBorders>
          </w:tcPr>
          <w:p w14:paraId="34C5654B"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00" w:type="dxa"/>
            <w:tcBorders>
              <w:top w:val="single" w:sz="6" w:space="0" w:color="auto"/>
              <w:left w:val="single" w:sz="6" w:space="0" w:color="auto"/>
              <w:bottom w:val="single" w:sz="6" w:space="0" w:color="auto"/>
              <w:right w:val="single" w:sz="6" w:space="0" w:color="auto"/>
            </w:tcBorders>
          </w:tcPr>
          <w:p w14:paraId="13CBC6D0"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29" w:type="dxa"/>
            <w:tcBorders>
              <w:top w:val="single" w:sz="6" w:space="0" w:color="auto"/>
              <w:left w:val="single" w:sz="6" w:space="0" w:color="auto"/>
              <w:bottom w:val="single" w:sz="6" w:space="0" w:color="auto"/>
              <w:right w:val="single" w:sz="6" w:space="0" w:color="auto"/>
            </w:tcBorders>
          </w:tcPr>
          <w:p w14:paraId="0B96E7DE"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39" w:type="dxa"/>
            <w:tcBorders>
              <w:top w:val="single" w:sz="6" w:space="0" w:color="auto"/>
              <w:left w:val="single" w:sz="6" w:space="0" w:color="auto"/>
              <w:bottom w:val="single" w:sz="6" w:space="0" w:color="auto"/>
              <w:right w:val="single" w:sz="6" w:space="0" w:color="auto"/>
            </w:tcBorders>
          </w:tcPr>
          <w:p w14:paraId="3749DC02"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w:t>
            </w:r>
          </w:p>
        </w:tc>
        <w:tc>
          <w:tcPr>
            <w:tcW w:w="781" w:type="dxa"/>
            <w:tcBorders>
              <w:top w:val="single" w:sz="6" w:space="0" w:color="auto"/>
              <w:left w:val="single" w:sz="6" w:space="0" w:color="auto"/>
              <w:bottom w:val="single" w:sz="6" w:space="0" w:color="auto"/>
              <w:right w:val="single" w:sz="6" w:space="0" w:color="auto"/>
            </w:tcBorders>
          </w:tcPr>
          <w:p w14:paraId="278A0096"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13,5</w:t>
            </w:r>
          </w:p>
        </w:tc>
        <w:tc>
          <w:tcPr>
            <w:tcW w:w="778" w:type="dxa"/>
            <w:tcBorders>
              <w:top w:val="single" w:sz="6" w:space="0" w:color="auto"/>
              <w:left w:val="single" w:sz="6" w:space="0" w:color="auto"/>
              <w:bottom w:val="single" w:sz="6" w:space="0" w:color="auto"/>
              <w:right w:val="single" w:sz="6" w:space="0" w:color="auto"/>
            </w:tcBorders>
          </w:tcPr>
          <w:p w14:paraId="74453562" w14:textId="77777777" w:rsidR="0024271E" w:rsidRPr="003954D9" w:rsidRDefault="0024271E">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5,2</w:t>
            </w:r>
          </w:p>
        </w:tc>
        <w:tc>
          <w:tcPr>
            <w:tcW w:w="851" w:type="dxa"/>
            <w:tcBorders>
              <w:top w:val="single" w:sz="6" w:space="0" w:color="auto"/>
              <w:left w:val="single" w:sz="6" w:space="0" w:color="auto"/>
              <w:bottom w:val="single" w:sz="6" w:space="0" w:color="auto"/>
              <w:right w:val="single" w:sz="6" w:space="0" w:color="auto"/>
            </w:tcBorders>
          </w:tcPr>
          <w:p w14:paraId="1E1DE7F7"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7C58AFD7"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16,0</w:t>
            </w:r>
          </w:p>
        </w:tc>
      </w:tr>
      <w:tr w:rsidR="0024271E" w:rsidRPr="003954D9" w14:paraId="25581B33" w14:textId="77777777" w:rsidTr="00185E91">
        <w:trPr>
          <w:trHeight w:val="227"/>
        </w:trPr>
        <w:tc>
          <w:tcPr>
            <w:tcW w:w="1873" w:type="dxa"/>
            <w:tcBorders>
              <w:top w:val="single" w:sz="6" w:space="0" w:color="auto"/>
              <w:left w:val="single" w:sz="6" w:space="0" w:color="auto"/>
              <w:bottom w:val="single" w:sz="6" w:space="0" w:color="auto"/>
              <w:right w:val="single" w:sz="6" w:space="0" w:color="auto"/>
            </w:tcBorders>
          </w:tcPr>
          <w:p w14:paraId="5BC75196" w14:textId="310835D1" w:rsidR="0024271E" w:rsidRPr="003954D9" w:rsidRDefault="0024271E">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3-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0891D39E" w14:textId="77777777" w:rsidR="0024271E" w:rsidRPr="003954D9" w:rsidRDefault="0024271E">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24,1</w:t>
            </w:r>
          </w:p>
        </w:tc>
        <w:tc>
          <w:tcPr>
            <w:tcW w:w="777" w:type="dxa"/>
            <w:tcBorders>
              <w:top w:val="single" w:sz="6" w:space="0" w:color="auto"/>
              <w:left w:val="single" w:sz="6" w:space="0" w:color="auto"/>
              <w:bottom w:val="single" w:sz="6" w:space="0" w:color="auto"/>
              <w:right w:val="single" w:sz="6" w:space="0" w:color="auto"/>
            </w:tcBorders>
          </w:tcPr>
          <w:p w14:paraId="5D700BFE"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17,6</w:t>
            </w:r>
          </w:p>
        </w:tc>
        <w:tc>
          <w:tcPr>
            <w:tcW w:w="762" w:type="dxa"/>
            <w:tcBorders>
              <w:top w:val="single" w:sz="6" w:space="0" w:color="auto"/>
              <w:left w:val="single" w:sz="6" w:space="0" w:color="auto"/>
              <w:bottom w:val="single" w:sz="6" w:space="0" w:color="auto"/>
              <w:right w:val="single" w:sz="6" w:space="0" w:color="auto"/>
            </w:tcBorders>
          </w:tcPr>
          <w:p w14:paraId="2E8906EF"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00" w:type="dxa"/>
            <w:tcBorders>
              <w:top w:val="single" w:sz="6" w:space="0" w:color="auto"/>
              <w:left w:val="single" w:sz="6" w:space="0" w:color="auto"/>
              <w:bottom w:val="single" w:sz="6" w:space="0" w:color="auto"/>
              <w:right w:val="single" w:sz="6" w:space="0" w:color="auto"/>
            </w:tcBorders>
          </w:tcPr>
          <w:p w14:paraId="59DBDBBC"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29" w:type="dxa"/>
            <w:tcBorders>
              <w:top w:val="single" w:sz="6" w:space="0" w:color="auto"/>
              <w:left w:val="single" w:sz="6" w:space="0" w:color="auto"/>
              <w:bottom w:val="single" w:sz="6" w:space="0" w:color="auto"/>
              <w:right w:val="single" w:sz="6" w:space="0" w:color="auto"/>
            </w:tcBorders>
          </w:tcPr>
          <w:p w14:paraId="62899E20"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39" w:type="dxa"/>
            <w:tcBorders>
              <w:top w:val="single" w:sz="6" w:space="0" w:color="auto"/>
              <w:left w:val="single" w:sz="6" w:space="0" w:color="auto"/>
              <w:bottom w:val="single" w:sz="6" w:space="0" w:color="auto"/>
              <w:right w:val="single" w:sz="6" w:space="0" w:color="auto"/>
            </w:tcBorders>
          </w:tcPr>
          <w:p w14:paraId="548421DE"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781" w:type="dxa"/>
            <w:tcBorders>
              <w:top w:val="single" w:sz="6" w:space="0" w:color="auto"/>
              <w:left w:val="single" w:sz="6" w:space="0" w:color="auto"/>
              <w:bottom w:val="single" w:sz="6" w:space="0" w:color="auto"/>
              <w:right w:val="single" w:sz="6" w:space="0" w:color="auto"/>
            </w:tcBorders>
          </w:tcPr>
          <w:p w14:paraId="6C141F3B"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778" w:type="dxa"/>
            <w:tcBorders>
              <w:top w:val="single" w:sz="6" w:space="0" w:color="auto"/>
              <w:left w:val="single" w:sz="6" w:space="0" w:color="auto"/>
              <w:bottom w:val="single" w:sz="6" w:space="0" w:color="auto"/>
              <w:right w:val="single" w:sz="6" w:space="0" w:color="auto"/>
            </w:tcBorders>
          </w:tcPr>
          <w:p w14:paraId="5AFF159D" w14:textId="77777777" w:rsidR="0024271E" w:rsidRPr="003954D9" w:rsidRDefault="0024271E">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15,9</w:t>
            </w:r>
          </w:p>
        </w:tc>
        <w:tc>
          <w:tcPr>
            <w:tcW w:w="851" w:type="dxa"/>
            <w:tcBorders>
              <w:top w:val="single" w:sz="6" w:space="0" w:color="auto"/>
              <w:left w:val="single" w:sz="6" w:space="0" w:color="auto"/>
              <w:bottom w:val="single" w:sz="6" w:space="0" w:color="auto"/>
              <w:right w:val="single" w:sz="6" w:space="0" w:color="auto"/>
            </w:tcBorders>
          </w:tcPr>
          <w:p w14:paraId="06ED198E"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50FA172E" w14:textId="77777777" w:rsidR="0024271E" w:rsidRPr="003954D9" w:rsidRDefault="0024271E">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24,1</w:t>
            </w:r>
          </w:p>
        </w:tc>
      </w:tr>
      <w:tr w:rsidR="0024271E" w:rsidRPr="003954D9" w14:paraId="3B363585" w14:textId="77777777" w:rsidTr="00185E91">
        <w:trPr>
          <w:trHeight w:val="227"/>
        </w:trPr>
        <w:tc>
          <w:tcPr>
            <w:tcW w:w="1873" w:type="dxa"/>
            <w:tcBorders>
              <w:top w:val="single" w:sz="6" w:space="0" w:color="auto"/>
              <w:left w:val="single" w:sz="6" w:space="0" w:color="auto"/>
              <w:bottom w:val="single" w:sz="6" w:space="0" w:color="auto"/>
              <w:right w:val="single" w:sz="6" w:space="0" w:color="auto"/>
            </w:tcBorders>
          </w:tcPr>
          <w:p w14:paraId="4018450D" w14:textId="6CB6D572" w:rsidR="0024271E" w:rsidRPr="003954D9" w:rsidRDefault="0024271E">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Övr</w:t>
            </w:r>
            <w:r w:rsidR="00DD3DF3">
              <w:rPr>
                <w:rFonts w:ascii="Calibri" w:hAnsi="Calibri" w:cs="Calibri"/>
                <w:b/>
                <w:color w:val="000000"/>
                <w:sz w:val="16"/>
                <w:szCs w:val="16"/>
              </w:rPr>
              <w:t>.</w:t>
            </w:r>
            <w:r w:rsidRPr="003954D9">
              <w:rPr>
                <w:rFonts w:ascii="Calibri" w:hAnsi="Calibri" w:cs="Calibri"/>
                <w:b/>
                <w:color w:val="000000"/>
                <w:sz w:val="16"/>
                <w:szCs w:val="16"/>
              </w:rPr>
              <w:t xml:space="preserve"> hushåll u. barn </w:t>
            </w:r>
          </w:p>
        </w:tc>
        <w:tc>
          <w:tcPr>
            <w:tcW w:w="729" w:type="dxa"/>
            <w:tcBorders>
              <w:top w:val="single" w:sz="6" w:space="0" w:color="auto"/>
              <w:left w:val="single" w:sz="6" w:space="0" w:color="auto"/>
              <w:bottom w:val="single" w:sz="6" w:space="0" w:color="auto"/>
              <w:right w:val="single" w:sz="6" w:space="0" w:color="auto"/>
            </w:tcBorders>
          </w:tcPr>
          <w:p w14:paraId="7E1DCF2C"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12,4</w:t>
            </w:r>
          </w:p>
        </w:tc>
        <w:tc>
          <w:tcPr>
            <w:tcW w:w="777" w:type="dxa"/>
            <w:tcBorders>
              <w:top w:val="single" w:sz="6" w:space="0" w:color="auto"/>
              <w:left w:val="single" w:sz="6" w:space="0" w:color="auto"/>
              <w:bottom w:val="single" w:sz="6" w:space="0" w:color="auto"/>
              <w:right w:val="single" w:sz="6" w:space="0" w:color="auto"/>
            </w:tcBorders>
          </w:tcPr>
          <w:p w14:paraId="58A1C7D0" w14:textId="77777777" w:rsidR="0024271E" w:rsidRPr="003954D9" w:rsidRDefault="0024271E">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14,6</w:t>
            </w:r>
          </w:p>
        </w:tc>
        <w:tc>
          <w:tcPr>
            <w:tcW w:w="762" w:type="dxa"/>
            <w:tcBorders>
              <w:top w:val="single" w:sz="6" w:space="0" w:color="auto"/>
              <w:left w:val="single" w:sz="6" w:space="0" w:color="auto"/>
              <w:bottom w:val="single" w:sz="6" w:space="0" w:color="auto"/>
              <w:right w:val="single" w:sz="6" w:space="0" w:color="auto"/>
            </w:tcBorders>
          </w:tcPr>
          <w:p w14:paraId="517B6814"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10,4</w:t>
            </w:r>
          </w:p>
        </w:tc>
        <w:tc>
          <w:tcPr>
            <w:tcW w:w="700" w:type="dxa"/>
            <w:tcBorders>
              <w:top w:val="single" w:sz="6" w:space="0" w:color="auto"/>
              <w:left w:val="single" w:sz="6" w:space="0" w:color="auto"/>
              <w:bottom w:val="single" w:sz="6" w:space="0" w:color="auto"/>
              <w:right w:val="single" w:sz="6" w:space="0" w:color="auto"/>
            </w:tcBorders>
          </w:tcPr>
          <w:p w14:paraId="0654A83A"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15,6</w:t>
            </w:r>
          </w:p>
        </w:tc>
        <w:tc>
          <w:tcPr>
            <w:tcW w:w="829" w:type="dxa"/>
            <w:tcBorders>
              <w:top w:val="single" w:sz="6" w:space="0" w:color="auto"/>
              <w:left w:val="single" w:sz="6" w:space="0" w:color="auto"/>
              <w:bottom w:val="single" w:sz="6" w:space="0" w:color="auto"/>
              <w:right w:val="single" w:sz="6" w:space="0" w:color="auto"/>
            </w:tcBorders>
          </w:tcPr>
          <w:p w14:paraId="78C66E31"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w:t>
            </w:r>
          </w:p>
        </w:tc>
        <w:tc>
          <w:tcPr>
            <w:tcW w:w="739" w:type="dxa"/>
            <w:tcBorders>
              <w:top w:val="single" w:sz="6" w:space="0" w:color="auto"/>
              <w:left w:val="single" w:sz="6" w:space="0" w:color="auto"/>
              <w:bottom w:val="single" w:sz="6" w:space="0" w:color="auto"/>
              <w:right w:val="single" w:sz="6" w:space="0" w:color="auto"/>
            </w:tcBorders>
          </w:tcPr>
          <w:p w14:paraId="6F7E45AF"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9,7</w:t>
            </w:r>
          </w:p>
        </w:tc>
        <w:tc>
          <w:tcPr>
            <w:tcW w:w="781" w:type="dxa"/>
            <w:tcBorders>
              <w:top w:val="single" w:sz="6" w:space="0" w:color="auto"/>
              <w:left w:val="single" w:sz="6" w:space="0" w:color="auto"/>
              <w:bottom w:val="single" w:sz="6" w:space="0" w:color="auto"/>
              <w:right w:val="single" w:sz="6" w:space="0" w:color="auto"/>
            </w:tcBorders>
          </w:tcPr>
          <w:p w14:paraId="5A443C64"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13,2</w:t>
            </w:r>
          </w:p>
        </w:tc>
        <w:tc>
          <w:tcPr>
            <w:tcW w:w="778" w:type="dxa"/>
            <w:tcBorders>
              <w:top w:val="single" w:sz="6" w:space="0" w:color="auto"/>
              <w:left w:val="single" w:sz="6" w:space="0" w:color="auto"/>
              <w:bottom w:val="single" w:sz="6" w:space="0" w:color="auto"/>
              <w:right w:val="single" w:sz="6" w:space="0" w:color="auto"/>
            </w:tcBorders>
          </w:tcPr>
          <w:p w14:paraId="06CD9EE0" w14:textId="77777777" w:rsidR="0024271E" w:rsidRPr="003954D9" w:rsidRDefault="0024271E">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4,9</w:t>
            </w:r>
          </w:p>
        </w:tc>
        <w:tc>
          <w:tcPr>
            <w:tcW w:w="851" w:type="dxa"/>
            <w:tcBorders>
              <w:top w:val="single" w:sz="6" w:space="0" w:color="auto"/>
              <w:left w:val="single" w:sz="6" w:space="0" w:color="auto"/>
              <w:bottom w:val="single" w:sz="6" w:space="0" w:color="auto"/>
              <w:right w:val="single" w:sz="6" w:space="0" w:color="auto"/>
            </w:tcBorders>
          </w:tcPr>
          <w:p w14:paraId="1954A2FC"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5EFD6C72"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14,1</w:t>
            </w:r>
          </w:p>
        </w:tc>
      </w:tr>
      <w:tr w:rsidR="0024271E" w:rsidRPr="003954D9" w14:paraId="6D8500FC" w14:textId="77777777" w:rsidTr="00185E91">
        <w:trPr>
          <w:trHeight w:val="227"/>
        </w:trPr>
        <w:tc>
          <w:tcPr>
            <w:tcW w:w="1873" w:type="dxa"/>
            <w:tcBorders>
              <w:top w:val="single" w:sz="6" w:space="0" w:color="auto"/>
              <w:left w:val="single" w:sz="6" w:space="0" w:color="auto"/>
              <w:bottom w:val="single" w:sz="6" w:space="0" w:color="auto"/>
              <w:right w:val="single" w:sz="6" w:space="0" w:color="auto"/>
            </w:tcBorders>
          </w:tcPr>
          <w:p w14:paraId="29AFFC92" w14:textId="7851B962" w:rsidR="0024271E" w:rsidRPr="003954D9" w:rsidRDefault="00DD3DF3">
            <w:pPr>
              <w:autoSpaceDE w:val="0"/>
              <w:autoSpaceDN w:val="0"/>
              <w:adjustRightInd w:val="0"/>
              <w:rPr>
                <w:rFonts w:ascii="Calibri" w:hAnsi="Calibri" w:cs="Calibri"/>
                <w:b/>
                <w:color w:val="000000"/>
                <w:sz w:val="16"/>
                <w:szCs w:val="16"/>
              </w:rPr>
            </w:pPr>
            <w:r>
              <w:rPr>
                <w:rFonts w:ascii="Calibri" w:hAnsi="Calibri" w:cs="Calibri"/>
                <w:b/>
                <w:color w:val="000000"/>
                <w:sz w:val="16"/>
                <w:szCs w:val="16"/>
              </w:rPr>
              <w:t>Övr.</w:t>
            </w:r>
            <w:r w:rsidR="0024271E" w:rsidRPr="003954D9">
              <w:rPr>
                <w:rFonts w:ascii="Calibri" w:hAnsi="Calibri" w:cs="Calibri"/>
                <w:b/>
                <w:color w:val="000000"/>
                <w:sz w:val="16"/>
                <w:szCs w:val="16"/>
              </w:rPr>
              <w:t xml:space="preserve"> hushåll med barn</w:t>
            </w:r>
          </w:p>
        </w:tc>
        <w:tc>
          <w:tcPr>
            <w:tcW w:w="729" w:type="dxa"/>
            <w:tcBorders>
              <w:top w:val="single" w:sz="6" w:space="0" w:color="auto"/>
              <w:left w:val="single" w:sz="6" w:space="0" w:color="auto"/>
              <w:bottom w:val="single" w:sz="6" w:space="0" w:color="auto"/>
              <w:right w:val="single" w:sz="6" w:space="0" w:color="auto"/>
            </w:tcBorders>
          </w:tcPr>
          <w:p w14:paraId="5F792AEE"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15,0</w:t>
            </w:r>
          </w:p>
        </w:tc>
        <w:tc>
          <w:tcPr>
            <w:tcW w:w="777" w:type="dxa"/>
            <w:tcBorders>
              <w:top w:val="single" w:sz="6" w:space="0" w:color="auto"/>
              <w:left w:val="single" w:sz="6" w:space="0" w:color="auto"/>
              <w:bottom w:val="single" w:sz="6" w:space="0" w:color="auto"/>
              <w:right w:val="single" w:sz="6" w:space="0" w:color="auto"/>
            </w:tcBorders>
          </w:tcPr>
          <w:p w14:paraId="4670C7A6"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9,4</w:t>
            </w:r>
          </w:p>
        </w:tc>
        <w:tc>
          <w:tcPr>
            <w:tcW w:w="762" w:type="dxa"/>
            <w:tcBorders>
              <w:top w:val="single" w:sz="6" w:space="0" w:color="auto"/>
              <w:left w:val="single" w:sz="6" w:space="0" w:color="auto"/>
              <w:bottom w:val="single" w:sz="6" w:space="0" w:color="auto"/>
              <w:right w:val="single" w:sz="6" w:space="0" w:color="auto"/>
            </w:tcBorders>
          </w:tcPr>
          <w:p w14:paraId="6FA80750" w14:textId="77777777" w:rsidR="0024271E" w:rsidRPr="003954D9" w:rsidRDefault="0024271E">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5,9</w:t>
            </w:r>
          </w:p>
        </w:tc>
        <w:tc>
          <w:tcPr>
            <w:tcW w:w="700" w:type="dxa"/>
            <w:tcBorders>
              <w:top w:val="single" w:sz="6" w:space="0" w:color="auto"/>
              <w:left w:val="single" w:sz="6" w:space="0" w:color="auto"/>
              <w:bottom w:val="single" w:sz="6" w:space="0" w:color="auto"/>
              <w:right w:val="single" w:sz="6" w:space="0" w:color="auto"/>
            </w:tcBorders>
          </w:tcPr>
          <w:p w14:paraId="1C2D8A5E"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13,1</w:t>
            </w:r>
          </w:p>
        </w:tc>
        <w:tc>
          <w:tcPr>
            <w:tcW w:w="829" w:type="dxa"/>
            <w:tcBorders>
              <w:top w:val="single" w:sz="6" w:space="0" w:color="auto"/>
              <w:left w:val="single" w:sz="6" w:space="0" w:color="auto"/>
              <w:bottom w:val="single" w:sz="6" w:space="0" w:color="auto"/>
              <w:right w:val="single" w:sz="6" w:space="0" w:color="auto"/>
            </w:tcBorders>
          </w:tcPr>
          <w:p w14:paraId="1A21E6D5"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8,1</w:t>
            </w:r>
          </w:p>
        </w:tc>
        <w:tc>
          <w:tcPr>
            <w:tcW w:w="739" w:type="dxa"/>
            <w:tcBorders>
              <w:top w:val="single" w:sz="6" w:space="0" w:color="auto"/>
              <w:left w:val="single" w:sz="6" w:space="0" w:color="auto"/>
              <w:bottom w:val="single" w:sz="6" w:space="0" w:color="auto"/>
              <w:right w:val="single" w:sz="6" w:space="0" w:color="auto"/>
            </w:tcBorders>
          </w:tcPr>
          <w:p w14:paraId="21A13313"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11,0</w:t>
            </w:r>
          </w:p>
        </w:tc>
        <w:tc>
          <w:tcPr>
            <w:tcW w:w="781" w:type="dxa"/>
            <w:tcBorders>
              <w:top w:val="single" w:sz="6" w:space="0" w:color="auto"/>
              <w:left w:val="single" w:sz="6" w:space="0" w:color="auto"/>
              <w:bottom w:val="single" w:sz="6" w:space="0" w:color="auto"/>
              <w:right w:val="single" w:sz="6" w:space="0" w:color="auto"/>
            </w:tcBorders>
          </w:tcPr>
          <w:p w14:paraId="4031347F"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778" w:type="dxa"/>
            <w:tcBorders>
              <w:top w:val="single" w:sz="6" w:space="0" w:color="auto"/>
              <w:left w:val="single" w:sz="6" w:space="0" w:color="auto"/>
              <w:bottom w:val="single" w:sz="6" w:space="0" w:color="auto"/>
              <w:right w:val="single" w:sz="6" w:space="0" w:color="auto"/>
            </w:tcBorders>
          </w:tcPr>
          <w:p w14:paraId="3AB7C8C0"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c>
          <w:tcPr>
            <w:tcW w:w="851" w:type="dxa"/>
            <w:tcBorders>
              <w:top w:val="single" w:sz="6" w:space="0" w:color="auto"/>
              <w:left w:val="single" w:sz="6" w:space="0" w:color="auto"/>
              <w:bottom w:val="single" w:sz="6" w:space="0" w:color="auto"/>
              <w:right w:val="single" w:sz="6" w:space="0" w:color="auto"/>
            </w:tcBorders>
          </w:tcPr>
          <w:p w14:paraId="379D34B5" w14:textId="77777777" w:rsidR="0024271E" w:rsidRPr="003954D9" w:rsidRDefault="0024271E">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24FBDE1F" w14:textId="77777777" w:rsidR="0024271E" w:rsidRPr="003954D9" w:rsidRDefault="0024271E">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16,5</w:t>
            </w:r>
          </w:p>
        </w:tc>
      </w:tr>
      <w:tr w:rsidR="0024271E" w:rsidRPr="003954D9" w14:paraId="4CE86B33" w14:textId="77777777" w:rsidTr="00185E91">
        <w:trPr>
          <w:trHeight w:val="227"/>
        </w:trPr>
        <w:tc>
          <w:tcPr>
            <w:tcW w:w="1873" w:type="dxa"/>
            <w:tcBorders>
              <w:top w:val="single" w:sz="6" w:space="0" w:color="auto"/>
              <w:left w:val="single" w:sz="6" w:space="0" w:color="auto"/>
              <w:bottom w:val="single" w:sz="6" w:space="0" w:color="auto"/>
              <w:right w:val="single" w:sz="6" w:space="0" w:color="auto"/>
            </w:tcBorders>
          </w:tcPr>
          <w:p w14:paraId="2283A674" w14:textId="77777777" w:rsidR="0024271E" w:rsidRPr="003954D9" w:rsidRDefault="0024271E">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Antal</w:t>
            </w:r>
          </w:p>
        </w:tc>
        <w:tc>
          <w:tcPr>
            <w:tcW w:w="729" w:type="dxa"/>
            <w:tcBorders>
              <w:top w:val="single" w:sz="6" w:space="0" w:color="auto"/>
              <w:left w:val="single" w:sz="6" w:space="0" w:color="auto"/>
              <w:bottom w:val="single" w:sz="6" w:space="0" w:color="auto"/>
              <w:right w:val="single" w:sz="6" w:space="0" w:color="auto"/>
            </w:tcBorders>
          </w:tcPr>
          <w:p w14:paraId="2F9580FD"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862</w:t>
            </w:r>
          </w:p>
        </w:tc>
        <w:tc>
          <w:tcPr>
            <w:tcW w:w="777" w:type="dxa"/>
            <w:tcBorders>
              <w:top w:val="single" w:sz="6" w:space="0" w:color="auto"/>
              <w:left w:val="single" w:sz="6" w:space="0" w:color="auto"/>
              <w:bottom w:val="single" w:sz="6" w:space="0" w:color="auto"/>
              <w:right w:val="single" w:sz="6" w:space="0" w:color="auto"/>
            </w:tcBorders>
          </w:tcPr>
          <w:p w14:paraId="15824361"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762" w:type="dxa"/>
            <w:tcBorders>
              <w:top w:val="single" w:sz="6" w:space="0" w:color="auto"/>
              <w:left w:val="single" w:sz="6" w:space="0" w:color="auto"/>
              <w:bottom w:val="single" w:sz="6" w:space="0" w:color="auto"/>
              <w:right w:val="single" w:sz="6" w:space="0" w:color="auto"/>
            </w:tcBorders>
          </w:tcPr>
          <w:p w14:paraId="415F8F12"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700" w:type="dxa"/>
            <w:tcBorders>
              <w:top w:val="single" w:sz="6" w:space="0" w:color="auto"/>
              <w:left w:val="single" w:sz="6" w:space="0" w:color="auto"/>
              <w:bottom w:val="single" w:sz="6" w:space="0" w:color="auto"/>
              <w:right w:val="single" w:sz="6" w:space="0" w:color="auto"/>
            </w:tcBorders>
          </w:tcPr>
          <w:p w14:paraId="0A006D2D"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829" w:type="dxa"/>
            <w:tcBorders>
              <w:top w:val="single" w:sz="6" w:space="0" w:color="auto"/>
              <w:left w:val="single" w:sz="6" w:space="0" w:color="auto"/>
              <w:bottom w:val="single" w:sz="6" w:space="0" w:color="auto"/>
              <w:right w:val="single" w:sz="6" w:space="0" w:color="auto"/>
            </w:tcBorders>
          </w:tcPr>
          <w:p w14:paraId="4D68FD56"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289</w:t>
            </w:r>
          </w:p>
        </w:tc>
        <w:tc>
          <w:tcPr>
            <w:tcW w:w="739" w:type="dxa"/>
            <w:tcBorders>
              <w:top w:val="single" w:sz="6" w:space="0" w:color="auto"/>
              <w:left w:val="single" w:sz="6" w:space="0" w:color="auto"/>
              <w:bottom w:val="single" w:sz="6" w:space="0" w:color="auto"/>
              <w:right w:val="single" w:sz="6" w:space="0" w:color="auto"/>
            </w:tcBorders>
          </w:tcPr>
          <w:p w14:paraId="4FCBA99A"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193</w:t>
            </w:r>
          </w:p>
        </w:tc>
        <w:tc>
          <w:tcPr>
            <w:tcW w:w="781" w:type="dxa"/>
            <w:tcBorders>
              <w:top w:val="single" w:sz="6" w:space="0" w:color="auto"/>
              <w:left w:val="single" w:sz="6" w:space="0" w:color="auto"/>
              <w:bottom w:val="single" w:sz="6" w:space="0" w:color="auto"/>
              <w:right w:val="single" w:sz="6" w:space="0" w:color="auto"/>
            </w:tcBorders>
          </w:tcPr>
          <w:p w14:paraId="53365F39"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434</w:t>
            </w:r>
          </w:p>
        </w:tc>
        <w:tc>
          <w:tcPr>
            <w:tcW w:w="778" w:type="dxa"/>
            <w:tcBorders>
              <w:top w:val="single" w:sz="6" w:space="0" w:color="auto"/>
              <w:left w:val="single" w:sz="6" w:space="0" w:color="auto"/>
              <w:bottom w:val="single" w:sz="6" w:space="0" w:color="auto"/>
              <w:right w:val="single" w:sz="6" w:space="0" w:color="auto"/>
            </w:tcBorders>
          </w:tcPr>
          <w:p w14:paraId="67EFE539"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255</w:t>
            </w:r>
          </w:p>
        </w:tc>
        <w:tc>
          <w:tcPr>
            <w:tcW w:w="851" w:type="dxa"/>
            <w:tcBorders>
              <w:top w:val="single" w:sz="6" w:space="0" w:color="auto"/>
              <w:left w:val="single" w:sz="6" w:space="0" w:color="auto"/>
              <w:bottom w:val="single" w:sz="6" w:space="0" w:color="auto"/>
              <w:right w:val="single" w:sz="6" w:space="0" w:color="auto"/>
            </w:tcBorders>
          </w:tcPr>
          <w:p w14:paraId="79399B8A"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861" w:type="dxa"/>
            <w:tcBorders>
              <w:top w:val="single" w:sz="6" w:space="0" w:color="auto"/>
              <w:left w:val="single" w:sz="6" w:space="0" w:color="auto"/>
              <w:bottom w:val="single" w:sz="6" w:space="0" w:color="auto"/>
              <w:right w:val="single" w:sz="6" w:space="0" w:color="auto"/>
            </w:tcBorders>
          </w:tcPr>
          <w:p w14:paraId="3210E330" w14:textId="77777777" w:rsidR="0024271E" w:rsidRPr="003954D9" w:rsidRDefault="0024271E">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636</w:t>
            </w:r>
          </w:p>
        </w:tc>
      </w:tr>
    </w:tbl>
    <w:p w14:paraId="278A88DE" w14:textId="77777777" w:rsidR="00B96BA1" w:rsidRPr="003954D9" w:rsidRDefault="00B96BA1" w:rsidP="00B96BA1">
      <w:pPr>
        <w:rPr>
          <w:sz w:val="16"/>
          <w:szCs w:val="16"/>
        </w:rPr>
      </w:pPr>
      <w:r w:rsidRPr="004F7B81">
        <w:rPr>
          <w:b/>
          <w:color w:val="FF0000"/>
          <w:sz w:val="16"/>
          <w:szCs w:val="16"/>
        </w:rPr>
        <w:t>Röd färg högsta</w:t>
      </w:r>
      <w:r w:rsidRPr="004F7B81">
        <w:rPr>
          <w:color w:val="FF0000"/>
          <w:sz w:val="16"/>
          <w:szCs w:val="16"/>
        </w:rPr>
        <w:t xml:space="preserve"> </w:t>
      </w:r>
      <w:r w:rsidRPr="003954D9">
        <w:rPr>
          <w:sz w:val="16"/>
          <w:szCs w:val="16"/>
        </w:rPr>
        <w:t xml:space="preserve">och </w:t>
      </w:r>
      <w:r w:rsidRPr="003954D9">
        <w:rPr>
          <w:b/>
          <w:color w:val="0070C0"/>
          <w:sz w:val="16"/>
          <w:szCs w:val="16"/>
        </w:rPr>
        <w:t>blå färg lägsta</w:t>
      </w:r>
      <w:r w:rsidRPr="003954D9">
        <w:rPr>
          <w:color w:val="0070C0"/>
          <w:sz w:val="16"/>
          <w:szCs w:val="16"/>
        </w:rPr>
        <w:t xml:space="preserve"> </w:t>
      </w:r>
      <w:r w:rsidRPr="003954D9">
        <w:rPr>
          <w:sz w:val="16"/>
          <w:szCs w:val="16"/>
        </w:rPr>
        <w:t>värde i grupp.</w:t>
      </w:r>
    </w:p>
    <w:p w14:paraId="30FF2638" w14:textId="1D6ADFD7" w:rsidR="00CF47FE" w:rsidRPr="003954D9" w:rsidRDefault="00540A4D" w:rsidP="00540A4D">
      <w:pPr>
        <w:pStyle w:val="Rubrik1"/>
      </w:pPr>
      <w:bookmarkStart w:id="142" w:name="_Toc463184420"/>
      <w:bookmarkStart w:id="143" w:name="_Toc464828425"/>
      <w:bookmarkStart w:id="144" w:name="_Toc467818481"/>
      <w:bookmarkStart w:id="145" w:name="_Toc468614367"/>
      <w:r w:rsidRPr="003954D9">
        <w:lastRenderedPageBreak/>
        <w:t xml:space="preserve">6. </w:t>
      </w:r>
      <w:r w:rsidR="00CF47FE" w:rsidRPr="003954D9">
        <w:t>Lägenhetstyper</w:t>
      </w:r>
      <w:r w:rsidR="001C58D8" w:rsidRPr="003954D9">
        <w:t xml:space="preserve"> och risk att flytta vid hyreshöjning</w:t>
      </w:r>
      <w:bookmarkEnd w:id="142"/>
      <w:bookmarkEnd w:id="143"/>
      <w:bookmarkEnd w:id="144"/>
      <w:bookmarkEnd w:id="145"/>
    </w:p>
    <w:p w14:paraId="58AEB1AE" w14:textId="30540D6E" w:rsidR="00CF47FE" w:rsidRPr="003954D9" w:rsidRDefault="00CF47FE" w:rsidP="00540A4D">
      <w:pPr>
        <w:pStyle w:val="Rubrik2"/>
      </w:pPr>
      <w:bookmarkStart w:id="146" w:name="_Toc463184421"/>
      <w:bookmarkStart w:id="147" w:name="_Toc464828426"/>
      <w:r w:rsidRPr="003954D9">
        <w:t xml:space="preserve">Lägenhetstyper i hela </w:t>
      </w:r>
      <w:r w:rsidR="00A917D2" w:rsidRPr="003954D9">
        <w:t>urvalet</w:t>
      </w:r>
      <w:bookmarkEnd w:id="146"/>
      <w:bookmarkEnd w:id="147"/>
    </w:p>
    <w:p w14:paraId="097A3EE0" w14:textId="1A39CA98" w:rsidR="00CF47FE" w:rsidRPr="003954D9" w:rsidRDefault="00CF47FE" w:rsidP="00CF47FE">
      <w:r w:rsidRPr="003954D9">
        <w:t xml:space="preserve">De vanligaste lägenhetstyperna i de utvalda fastigheterna </w:t>
      </w:r>
      <w:r w:rsidR="00D36DC3" w:rsidRPr="003954D9">
        <w:t xml:space="preserve">är </w:t>
      </w:r>
      <w:r w:rsidRPr="003954D9">
        <w:t xml:space="preserve">2 rum och kök </w:t>
      </w:r>
      <w:r w:rsidR="00D36DC3" w:rsidRPr="003954D9">
        <w:t>(</w:t>
      </w:r>
      <w:r w:rsidRPr="003954D9">
        <w:t xml:space="preserve">7 400 </w:t>
      </w:r>
      <w:r w:rsidR="00D36DC3" w:rsidRPr="003954D9">
        <w:t xml:space="preserve">lägenheter eller 32 </w:t>
      </w:r>
      <w:r w:rsidRPr="003954D9">
        <w:t xml:space="preserve">procent) och 3 rum och kök </w:t>
      </w:r>
      <w:r w:rsidR="00D36DC3" w:rsidRPr="003954D9">
        <w:t>(</w:t>
      </w:r>
      <w:r w:rsidRPr="003954D9">
        <w:t xml:space="preserve">7 100 </w:t>
      </w:r>
      <w:r w:rsidR="00D36DC3" w:rsidRPr="003954D9">
        <w:t xml:space="preserve">lägenheter eller </w:t>
      </w:r>
      <w:r w:rsidRPr="003954D9">
        <w:t xml:space="preserve">31 procent). </w:t>
      </w:r>
      <w:r w:rsidR="00905EFE" w:rsidRPr="003954D9">
        <w:t xml:space="preserve"> </w:t>
      </w:r>
      <w:r w:rsidR="00D36DC3" w:rsidRPr="003954D9">
        <w:t xml:space="preserve">Lägenhetstypen med </w:t>
      </w:r>
      <w:r w:rsidR="00905EFE" w:rsidRPr="003954D9">
        <w:t>flest</w:t>
      </w:r>
      <w:r w:rsidR="00D36DC3" w:rsidRPr="003954D9">
        <w:t xml:space="preserve"> personer</w:t>
      </w:r>
      <w:r w:rsidR="00905EFE" w:rsidRPr="003954D9">
        <w:t xml:space="preserve"> </w:t>
      </w:r>
      <w:r w:rsidR="00D36DC3" w:rsidRPr="003954D9">
        <w:t xml:space="preserve">är </w:t>
      </w:r>
      <w:r w:rsidR="00905EFE" w:rsidRPr="003954D9">
        <w:t>3 rok</w:t>
      </w:r>
      <w:r w:rsidR="00D36DC3" w:rsidRPr="003954D9">
        <w:t xml:space="preserve"> (19 000)</w:t>
      </w:r>
      <w:r w:rsidR="00905EFE" w:rsidRPr="003954D9">
        <w:t xml:space="preserve">. De minsta lägenheterna är 1 rum och kokvrå + 1 rum och kokskåp som redovisas </w:t>
      </w:r>
      <w:r w:rsidR="00D36DC3" w:rsidRPr="003954D9">
        <w:t>som en grupp</w:t>
      </w:r>
      <w:r w:rsidR="00905EFE" w:rsidRPr="003954D9">
        <w:t>. Detsamma gäller 2 rum och kokvrå och 2 rum och kokskåp.</w:t>
      </w:r>
    </w:p>
    <w:p w14:paraId="5F746254" w14:textId="730069BB" w:rsidR="00905EFE" w:rsidRPr="003954D9" w:rsidRDefault="00905EFE" w:rsidP="00CF47FE">
      <w:r w:rsidRPr="003954D9">
        <w:t xml:space="preserve">Rymligast bor </w:t>
      </w:r>
      <w:r w:rsidR="00D36DC3" w:rsidRPr="003954D9">
        <w:t>boende</w:t>
      </w:r>
      <w:r w:rsidRPr="003954D9">
        <w:t xml:space="preserve"> i 2 rok, med 35 kvm per person. Lägst utrymmesstandard har </w:t>
      </w:r>
      <w:r w:rsidR="00D36DC3" w:rsidRPr="003954D9">
        <w:t>boen</w:t>
      </w:r>
      <w:r w:rsidRPr="003954D9">
        <w:t>de i de minsta lägenheterna med 22 kvm per person. Anmärkningsvärt är att antalet personer per lägenhet är högre</w:t>
      </w:r>
      <w:r w:rsidR="00D36DC3" w:rsidRPr="003954D9">
        <w:t xml:space="preserve"> i</w:t>
      </w:r>
      <w:r w:rsidRPr="003954D9">
        <w:t xml:space="preserve"> 1 rokv+1roksk på 30 kvm (1,28) än i 1 rok på 40 kvm (1,34).</w:t>
      </w:r>
    </w:p>
    <w:p w14:paraId="79517E25" w14:textId="2D51941A" w:rsidR="0082650F" w:rsidRPr="003954D9" w:rsidRDefault="00A917D2" w:rsidP="00E064D1">
      <w:r w:rsidRPr="003954D9">
        <w:t>I 3 rok har man minst kvar per person utöver skälig levnadsnivå när dagen</w:t>
      </w:r>
      <w:r w:rsidR="00D36DC3" w:rsidRPr="003954D9">
        <w:t>s</w:t>
      </w:r>
      <w:r w:rsidRPr="003954D9">
        <w:t xml:space="preserve"> hyra är betald. Mest har de som bor i 1 rok.</w:t>
      </w:r>
    </w:p>
    <w:p w14:paraId="0F156195" w14:textId="43679F27" w:rsidR="00CF47FE" w:rsidRPr="003954D9" w:rsidRDefault="00905EFE" w:rsidP="00B12933">
      <w:pPr>
        <w:pStyle w:val="Rubrik5"/>
      </w:pPr>
      <w:r w:rsidRPr="003954D9">
        <w:t xml:space="preserve">Tabell </w:t>
      </w:r>
      <w:r w:rsidR="005B413F" w:rsidRPr="003954D9">
        <w:t>6:1</w:t>
      </w:r>
      <w:r w:rsidRPr="003954D9">
        <w:t>: Antal och andel lägenheter, medelyta, antal personer, yta per person</w:t>
      </w:r>
      <w:r w:rsidR="00A917D2" w:rsidRPr="003954D9">
        <w:t xml:space="preserve">, </w:t>
      </w:r>
      <w:r w:rsidRPr="003954D9">
        <w:t>personer per lägenhet</w:t>
      </w:r>
      <w:r w:rsidR="00A917D2" w:rsidRPr="003954D9">
        <w:t xml:space="preserve"> och disponibel inkomst utöver skälig levnadsnivå per person</w:t>
      </w:r>
      <w:r w:rsidRPr="003954D9">
        <w:t xml:space="preserve"> efter lägenhetstyp – </w:t>
      </w:r>
      <w:r w:rsidR="00A917D2" w:rsidRPr="003954D9">
        <w:t>Alla</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691"/>
        <w:gridCol w:w="564"/>
        <w:gridCol w:w="729"/>
        <w:gridCol w:w="564"/>
        <w:gridCol w:w="746"/>
        <w:gridCol w:w="817"/>
        <w:gridCol w:w="915"/>
        <w:gridCol w:w="819"/>
        <w:gridCol w:w="2150"/>
      </w:tblGrid>
      <w:tr w:rsidR="00AC6EEA" w:rsidRPr="003954D9" w14:paraId="445F6705" w14:textId="77777777" w:rsidTr="00AC6EEA">
        <w:trPr>
          <w:trHeight w:val="227"/>
        </w:trPr>
        <w:tc>
          <w:tcPr>
            <w:tcW w:w="881" w:type="dxa"/>
            <w:vMerge w:val="restart"/>
          </w:tcPr>
          <w:p w14:paraId="529C26C1" w14:textId="3A77463D" w:rsidR="00AC6EEA" w:rsidRPr="003954D9" w:rsidRDefault="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w:t>
            </w:r>
            <w:r w:rsidR="00365C66" w:rsidRPr="003954D9">
              <w:rPr>
                <w:rFonts w:ascii="Calibri" w:hAnsi="Calibri" w:cs="Calibri"/>
                <w:b/>
                <w:bCs/>
                <w:color w:val="000000"/>
                <w:sz w:val="16"/>
                <w:szCs w:val="16"/>
              </w:rPr>
              <w:t>hets typ</w:t>
            </w:r>
          </w:p>
        </w:tc>
        <w:tc>
          <w:tcPr>
            <w:tcW w:w="1255" w:type="dxa"/>
            <w:gridSpan w:val="2"/>
          </w:tcPr>
          <w:p w14:paraId="2A71F2C1" w14:textId="221E188B" w:rsidR="00AC6EEA" w:rsidRPr="003954D9" w:rsidRDefault="00AC6EEA" w:rsidP="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Hushåll</w:t>
            </w:r>
          </w:p>
        </w:tc>
        <w:tc>
          <w:tcPr>
            <w:tcW w:w="1293" w:type="dxa"/>
            <w:gridSpan w:val="2"/>
          </w:tcPr>
          <w:p w14:paraId="707AA96E" w14:textId="77777777" w:rsidR="00AC6EEA" w:rsidRPr="003954D9" w:rsidRDefault="00AC6EEA" w:rsidP="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w:t>
            </w:r>
          </w:p>
        </w:tc>
        <w:tc>
          <w:tcPr>
            <w:tcW w:w="746" w:type="dxa"/>
            <w:vMerge w:val="restart"/>
          </w:tcPr>
          <w:p w14:paraId="4B2DDB0A" w14:textId="44B4DC8B" w:rsidR="00AC6EEA" w:rsidRPr="003954D9" w:rsidRDefault="00AC6EEA" w:rsidP="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Hyra kr/mån</w:t>
            </w:r>
          </w:p>
        </w:tc>
        <w:tc>
          <w:tcPr>
            <w:tcW w:w="1732" w:type="dxa"/>
            <w:gridSpan w:val="2"/>
          </w:tcPr>
          <w:p w14:paraId="576659B0" w14:textId="18F98715" w:rsidR="00AC6EEA" w:rsidRPr="003954D9" w:rsidRDefault="00AC6EEA" w:rsidP="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Boarea</w:t>
            </w:r>
          </w:p>
        </w:tc>
        <w:tc>
          <w:tcPr>
            <w:tcW w:w="819" w:type="dxa"/>
            <w:vMerge w:val="restart"/>
          </w:tcPr>
          <w:p w14:paraId="0C8B9D3E" w14:textId="77777777" w:rsidR="00AC6EEA" w:rsidRPr="003954D9" w:rsidRDefault="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 hushåll</w:t>
            </w:r>
          </w:p>
        </w:tc>
        <w:tc>
          <w:tcPr>
            <w:tcW w:w="2150" w:type="dxa"/>
            <w:vMerge w:val="restart"/>
          </w:tcPr>
          <w:p w14:paraId="631C0101" w14:textId="77777777" w:rsidR="00AC6EEA" w:rsidRPr="003954D9" w:rsidRDefault="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Disp. ink/månad och person utöver skälig levnadsnivå</w:t>
            </w:r>
          </w:p>
        </w:tc>
      </w:tr>
      <w:tr w:rsidR="00AC6EEA" w:rsidRPr="003954D9" w14:paraId="0AE4446F" w14:textId="77777777" w:rsidTr="00AC6EEA">
        <w:trPr>
          <w:trHeight w:val="227"/>
        </w:trPr>
        <w:tc>
          <w:tcPr>
            <w:tcW w:w="881" w:type="dxa"/>
            <w:vMerge/>
          </w:tcPr>
          <w:p w14:paraId="1AFFF4A0" w14:textId="77777777" w:rsidR="00AC6EEA" w:rsidRPr="003954D9" w:rsidRDefault="00AC6EEA">
            <w:pPr>
              <w:autoSpaceDE w:val="0"/>
              <w:autoSpaceDN w:val="0"/>
              <w:adjustRightInd w:val="0"/>
              <w:jc w:val="right"/>
              <w:rPr>
                <w:rFonts w:ascii="Calibri" w:hAnsi="Calibri" w:cs="Calibri"/>
                <w:b/>
                <w:bCs/>
                <w:color w:val="000000"/>
                <w:sz w:val="16"/>
                <w:szCs w:val="16"/>
              </w:rPr>
            </w:pPr>
          </w:p>
        </w:tc>
        <w:tc>
          <w:tcPr>
            <w:tcW w:w="691" w:type="dxa"/>
          </w:tcPr>
          <w:p w14:paraId="68584E60" w14:textId="77777777" w:rsidR="00AC6EEA" w:rsidRPr="003954D9" w:rsidRDefault="00AC6EEA" w:rsidP="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564" w:type="dxa"/>
          </w:tcPr>
          <w:p w14:paraId="1EC3B82E" w14:textId="77777777" w:rsidR="00AC6EEA" w:rsidRPr="003954D9" w:rsidRDefault="00AC6EEA" w:rsidP="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729" w:type="dxa"/>
          </w:tcPr>
          <w:p w14:paraId="557D877D" w14:textId="77777777" w:rsidR="00AC6EEA" w:rsidRPr="003954D9" w:rsidRDefault="00AC6EEA" w:rsidP="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564" w:type="dxa"/>
          </w:tcPr>
          <w:p w14:paraId="4BC3AAE3" w14:textId="77777777" w:rsidR="00AC6EEA" w:rsidRPr="003954D9" w:rsidRDefault="00AC6EEA" w:rsidP="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746" w:type="dxa"/>
            <w:vMerge/>
          </w:tcPr>
          <w:p w14:paraId="2C7FB68F" w14:textId="6A8C389A" w:rsidR="00AC6EEA" w:rsidRPr="003954D9" w:rsidRDefault="00AC6EEA" w:rsidP="00AC6EEA">
            <w:pPr>
              <w:autoSpaceDE w:val="0"/>
              <w:autoSpaceDN w:val="0"/>
              <w:adjustRightInd w:val="0"/>
              <w:rPr>
                <w:rFonts w:ascii="Calibri" w:hAnsi="Calibri" w:cs="Calibri"/>
                <w:b/>
                <w:bCs/>
                <w:color w:val="000000"/>
                <w:sz w:val="16"/>
                <w:szCs w:val="16"/>
              </w:rPr>
            </w:pPr>
          </w:p>
        </w:tc>
        <w:tc>
          <w:tcPr>
            <w:tcW w:w="817" w:type="dxa"/>
          </w:tcPr>
          <w:p w14:paraId="3A8B5B99" w14:textId="4C5B8FF7" w:rsidR="00AC6EEA" w:rsidRPr="003954D9" w:rsidRDefault="00AC6EEA" w:rsidP="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Medelv.</w:t>
            </w:r>
          </w:p>
        </w:tc>
        <w:tc>
          <w:tcPr>
            <w:tcW w:w="914" w:type="dxa"/>
          </w:tcPr>
          <w:p w14:paraId="0F45D9A5" w14:textId="77777777" w:rsidR="00AC6EEA" w:rsidRPr="003954D9" w:rsidRDefault="00AC6EEA" w:rsidP="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 pers.</w:t>
            </w:r>
          </w:p>
        </w:tc>
        <w:tc>
          <w:tcPr>
            <w:tcW w:w="819" w:type="dxa"/>
            <w:vMerge/>
          </w:tcPr>
          <w:p w14:paraId="05BB5959" w14:textId="77777777" w:rsidR="00AC6EEA" w:rsidRPr="003954D9" w:rsidRDefault="00AC6EEA">
            <w:pPr>
              <w:autoSpaceDE w:val="0"/>
              <w:autoSpaceDN w:val="0"/>
              <w:adjustRightInd w:val="0"/>
              <w:jc w:val="right"/>
              <w:rPr>
                <w:rFonts w:ascii="Calibri" w:hAnsi="Calibri" w:cs="Calibri"/>
                <w:b/>
                <w:bCs/>
                <w:color w:val="000000"/>
                <w:sz w:val="16"/>
                <w:szCs w:val="16"/>
              </w:rPr>
            </w:pPr>
          </w:p>
        </w:tc>
        <w:tc>
          <w:tcPr>
            <w:tcW w:w="2150" w:type="dxa"/>
            <w:vMerge/>
          </w:tcPr>
          <w:p w14:paraId="7F5F6CF7" w14:textId="77777777" w:rsidR="00AC6EEA" w:rsidRPr="003954D9" w:rsidRDefault="00AC6EEA">
            <w:pPr>
              <w:autoSpaceDE w:val="0"/>
              <w:autoSpaceDN w:val="0"/>
              <w:adjustRightInd w:val="0"/>
              <w:jc w:val="right"/>
              <w:rPr>
                <w:rFonts w:ascii="Calibri" w:hAnsi="Calibri" w:cs="Calibri"/>
                <w:b/>
                <w:bCs/>
                <w:color w:val="000000"/>
                <w:sz w:val="16"/>
                <w:szCs w:val="16"/>
              </w:rPr>
            </w:pPr>
          </w:p>
        </w:tc>
      </w:tr>
      <w:tr w:rsidR="00AC6EEA" w:rsidRPr="003954D9" w14:paraId="3DDB8E59" w14:textId="77777777" w:rsidTr="00AC6EEA">
        <w:trPr>
          <w:trHeight w:val="227"/>
        </w:trPr>
        <w:tc>
          <w:tcPr>
            <w:tcW w:w="881" w:type="dxa"/>
          </w:tcPr>
          <w:p w14:paraId="7221FDCF" w14:textId="77777777" w:rsidR="00AC6EEA" w:rsidRPr="003954D9" w:rsidRDefault="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1 rokv </w:t>
            </w:r>
          </w:p>
        </w:tc>
        <w:tc>
          <w:tcPr>
            <w:tcW w:w="691" w:type="dxa"/>
          </w:tcPr>
          <w:p w14:paraId="1D12E3D7"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2 524</w:t>
            </w:r>
          </w:p>
        </w:tc>
        <w:tc>
          <w:tcPr>
            <w:tcW w:w="564" w:type="dxa"/>
          </w:tcPr>
          <w:p w14:paraId="78BB6979"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10,9</w:t>
            </w:r>
          </w:p>
        </w:tc>
        <w:tc>
          <w:tcPr>
            <w:tcW w:w="729" w:type="dxa"/>
          </w:tcPr>
          <w:p w14:paraId="48CA33E7"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3 494</w:t>
            </w:r>
          </w:p>
        </w:tc>
        <w:tc>
          <w:tcPr>
            <w:tcW w:w="564" w:type="dxa"/>
          </w:tcPr>
          <w:p w14:paraId="103602F5"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6,8</w:t>
            </w:r>
          </w:p>
        </w:tc>
        <w:tc>
          <w:tcPr>
            <w:tcW w:w="746" w:type="dxa"/>
          </w:tcPr>
          <w:p w14:paraId="031C22E9"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3 038</w:t>
            </w:r>
          </w:p>
        </w:tc>
        <w:tc>
          <w:tcPr>
            <w:tcW w:w="817" w:type="dxa"/>
          </w:tcPr>
          <w:p w14:paraId="6973F712"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30,1</w:t>
            </w:r>
          </w:p>
        </w:tc>
        <w:tc>
          <w:tcPr>
            <w:tcW w:w="914" w:type="dxa"/>
          </w:tcPr>
          <w:p w14:paraId="20DA50C0"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21,7</w:t>
            </w:r>
          </w:p>
        </w:tc>
        <w:tc>
          <w:tcPr>
            <w:tcW w:w="819" w:type="dxa"/>
          </w:tcPr>
          <w:p w14:paraId="72588CBF"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w:t>
            </w:r>
          </w:p>
        </w:tc>
        <w:tc>
          <w:tcPr>
            <w:tcW w:w="2150" w:type="dxa"/>
          </w:tcPr>
          <w:p w14:paraId="4A1C61AA"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2 332</w:t>
            </w:r>
          </w:p>
        </w:tc>
      </w:tr>
      <w:tr w:rsidR="00AC6EEA" w:rsidRPr="003954D9" w14:paraId="3772D6CB" w14:textId="77777777" w:rsidTr="00AC6EEA">
        <w:trPr>
          <w:trHeight w:val="227"/>
        </w:trPr>
        <w:tc>
          <w:tcPr>
            <w:tcW w:w="881" w:type="dxa"/>
          </w:tcPr>
          <w:p w14:paraId="2AF0D323" w14:textId="77777777" w:rsidR="00AC6EEA" w:rsidRPr="003954D9" w:rsidRDefault="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w:t>
            </w:r>
          </w:p>
        </w:tc>
        <w:tc>
          <w:tcPr>
            <w:tcW w:w="691" w:type="dxa"/>
          </w:tcPr>
          <w:p w14:paraId="73E0A148"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1 355</w:t>
            </w:r>
          </w:p>
        </w:tc>
        <w:tc>
          <w:tcPr>
            <w:tcW w:w="564" w:type="dxa"/>
          </w:tcPr>
          <w:p w14:paraId="0B983082"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w:t>
            </w:r>
          </w:p>
        </w:tc>
        <w:tc>
          <w:tcPr>
            <w:tcW w:w="729" w:type="dxa"/>
          </w:tcPr>
          <w:p w14:paraId="6889ADB0"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1 810</w:t>
            </w:r>
          </w:p>
        </w:tc>
        <w:tc>
          <w:tcPr>
            <w:tcW w:w="564" w:type="dxa"/>
          </w:tcPr>
          <w:p w14:paraId="04D91734"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w:t>
            </w:r>
          </w:p>
        </w:tc>
        <w:tc>
          <w:tcPr>
            <w:tcW w:w="746" w:type="dxa"/>
          </w:tcPr>
          <w:p w14:paraId="175BC656"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3 737</w:t>
            </w:r>
          </w:p>
        </w:tc>
        <w:tc>
          <w:tcPr>
            <w:tcW w:w="817" w:type="dxa"/>
          </w:tcPr>
          <w:p w14:paraId="36D49DAC"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39,9</w:t>
            </w:r>
          </w:p>
        </w:tc>
        <w:tc>
          <w:tcPr>
            <w:tcW w:w="914" w:type="dxa"/>
          </w:tcPr>
          <w:p w14:paraId="15B18D74"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29,9</w:t>
            </w:r>
          </w:p>
        </w:tc>
        <w:tc>
          <w:tcPr>
            <w:tcW w:w="819" w:type="dxa"/>
          </w:tcPr>
          <w:p w14:paraId="578C56EF"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1,34</w:t>
            </w:r>
          </w:p>
        </w:tc>
        <w:tc>
          <w:tcPr>
            <w:tcW w:w="2150" w:type="dxa"/>
          </w:tcPr>
          <w:p w14:paraId="3DEFE6B7"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2 839</w:t>
            </w:r>
          </w:p>
        </w:tc>
      </w:tr>
      <w:tr w:rsidR="00AC6EEA" w:rsidRPr="003954D9" w14:paraId="2E65E369" w14:textId="77777777" w:rsidTr="00AC6EEA">
        <w:trPr>
          <w:trHeight w:val="227"/>
        </w:trPr>
        <w:tc>
          <w:tcPr>
            <w:tcW w:w="881" w:type="dxa"/>
          </w:tcPr>
          <w:p w14:paraId="4BA6FB31" w14:textId="77777777" w:rsidR="00AC6EEA" w:rsidRPr="003954D9" w:rsidRDefault="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2 rokv  </w:t>
            </w:r>
          </w:p>
        </w:tc>
        <w:tc>
          <w:tcPr>
            <w:tcW w:w="691" w:type="dxa"/>
          </w:tcPr>
          <w:p w14:paraId="5FFF71A6"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1 018</w:t>
            </w:r>
          </w:p>
        </w:tc>
        <w:tc>
          <w:tcPr>
            <w:tcW w:w="564" w:type="dxa"/>
          </w:tcPr>
          <w:p w14:paraId="65B7C7E4"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4,4</w:t>
            </w:r>
          </w:p>
        </w:tc>
        <w:tc>
          <w:tcPr>
            <w:tcW w:w="729" w:type="dxa"/>
          </w:tcPr>
          <w:p w14:paraId="567C66D2"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1 673</w:t>
            </w:r>
          </w:p>
        </w:tc>
        <w:tc>
          <w:tcPr>
            <w:tcW w:w="564" w:type="dxa"/>
          </w:tcPr>
          <w:p w14:paraId="7D815CD4"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w:t>
            </w:r>
          </w:p>
        </w:tc>
        <w:tc>
          <w:tcPr>
            <w:tcW w:w="746" w:type="dxa"/>
          </w:tcPr>
          <w:p w14:paraId="66D32959"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4 205</w:t>
            </w:r>
          </w:p>
        </w:tc>
        <w:tc>
          <w:tcPr>
            <w:tcW w:w="817" w:type="dxa"/>
          </w:tcPr>
          <w:p w14:paraId="4DE630BE"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47,7</w:t>
            </w:r>
          </w:p>
        </w:tc>
        <w:tc>
          <w:tcPr>
            <w:tcW w:w="914" w:type="dxa"/>
          </w:tcPr>
          <w:p w14:paraId="12E8DB11"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w:t>
            </w:r>
          </w:p>
        </w:tc>
        <w:tc>
          <w:tcPr>
            <w:tcW w:w="819" w:type="dxa"/>
          </w:tcPr>
          <w:p w14:paraId="0A28E030"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1,64</w:t>
            </w:r>
          </w:p>
        </w:tc>
        <w:tc>
          <w:tcPr>
            <w:tcW w:w="2150" w:type="dxa"/>
          </w:tcPr>
          <w:p w14:paraId="5D2D5013"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2 346</w:t>
            </w:r>
          </w:p>
        </w:tc>
      </w:tr>
      <w:tr w:rsidR="00AC6EEA" w:rsidRPr="003954D9" w14:paraId="319088A9" w14:textId="77777777" w:rsidTr="00AC6EEA">
        <w:trPr>
          <w:trHeight w:val="227"/>
        </w:trPr>
        <w:tc>
          <w:tcPr>
            <w:tcW w:w="881" w:type="dxa"/>
          </w:tcPr>
          <w:p w14:paraId="15D20C50" w14:textId="77777777" w:rsidR="00AC6EEA" w:rsidRPr="003954D9" w:rsidRDefault="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w:t>
            </w:r>
          </w:p>
        </w:tc>
        <w:tc>
          <w:tcPr>
            <w:tcW w:w="691" w:type="dxa"/>
          </w:tcPr>
          <w:p w14:paraId="362F1262"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7 394</w:t>
            </w:r>
          </w:p>
        </w:tc>
        <w:tc>
          <w:tcPr>
            <w:tcW w:w="564" w:type="dxa"/>
          </w:tcPr>
          <w:p w14:paraId="46E111B8"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32,1</w:t>
            </w:r>
          </w:p>
        </w:tc>
        <w:tc>
          <w:tcPr>
            <w:tcW w:w="729" w:type="dxa"/>
          </w:tcPr>
          <w:p w14:paraId="43718AB2"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12 342</w:t>
            </w:r>
          </w:p>
        </w:tc>
        <w:tc>
          <w:tcPr>
            <w:tcW w:w="564" w:type="dxa"/>
          </w:tcPr>
          <w:p w14:paraId="75E2BA1C"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w:t>
            </w:r>
          </w:p>
        </w:tc>
        <w:tc>
          <w:tcPr>
            <w:tcW w:w="746" w:type="dxa"/>
          </w:tcPr>
          <w:p w14:paraId="160AB025"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4 976</w:t>
            </w:r>
          </w:p>
        </w:tc>
        <w:tc>
          <w:tcPr>
            <w:tcW w:w="817" w:type="dxa"/>
          </w:tcPr>
          <w:p w14:paraId="33144B8A"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58,6</w:t>
            </w:r>
          </w:p>
        </w:tc>
        <w:tc>
          <w:tcPr>
            <w:tcW w:w="914" w:type="dxa"/>
          </w:tcPr>
          <w:p w14:paraId="2CA2CDA4"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35,1</w:t>
            </w:r>
          </w:p>
        </w:tc>
        <w:tc>
          <w:tcPr>
            <w:tcW w:w="819" w:type="dxa"/>
          </w:tcPr>
          <w:p w14:paraId="7CB7E49E"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2150" w:type="dxa"/>
          </w:tcPr>
          <w:p w14:paraId="35CA6BA6"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2 149</w:t>
            </w:r>
          </w:p>
        </w:tc>
      </w:tr>
      <w:tr w:rsidR="00AC6EEA" w:rsidRPr="003954D9" w14:paraId="467D82E6" w14:textId="77777777" w:rsidTr="00AC6EEA">
        <w:trPr>
          <w:trHeight w:val="227"/>
        </w:trPr>
        <w:tc>
          <w:tcPr>
            <w:tcW w:w="881" w:type="dxa"/>
          </w:tcPr>
          <w:p w14:paraId="10D78E91" w14:textId="77777777" w:rsidR="00AC6EEA" w:rsidRPr="003954D9" w:rsidRDefault="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3 rok</w:t>
            </w:r>
          </w:p>
        </w:tc>
        <w:tc>
          <w:tcPr>
            <w:tcW w:w="691" w:type="dxa"/>
          </w:tcPr>
          <w:p w14:paraId="38851BFB"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7 121</w:t>
            </w:r>
          </w:p>
        </w:tc>
        <w:tc>
          <w:tcPr>
            <w:tcW w:w="564" w:type="dxa"/>
          </w:tcPr>
          <w:p w14:paraId="658F34B6"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30,9</w:t>
            </w:r>
          </w:p>
        </w:tc>
        <w:tc>
          <w:tcPr>
            <w:tcW w:w="729" w:type="dxa"/>
          </w:tcPr>
          <w:p w14:paraId="41E623BA"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19 064</w:t>
            </w:r>
          </w:p>
        </w:tc>
        <w:tc>
          <w:tcPr>
            <w:tcW w:w="564" w:type="dxa"/>
          </w:tcPr>
          <w:p w14:paraId="34F568D8"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37,1</w:t>
            </w:r>
          </w:p>
        </w:tc>
        <w:tc>
          <w:tcPr>
            <w:tcW w:w="746" w:type="dxa"/>
          </w:tcPr>
          <w:p w14:paraId="45C3EAE1"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5 903</w:t>
            </w:r>
          </w:p>
        </w:tc>
        <w:tc>
          <w:tcPr>
            <w:tcW w:w="817" w:type="dxa"/>
          </w:tcPr>
          <w:p w14:paraId="08168D5D"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76,0</w:t>
            </w:r>
          </w:p>
        </w:tc>
        <w:tc>
          <w:tcPr>
            <w:tcW w:w="914" w:type="dxa"/>
          </w:tcPr>
          <w:p w14:paraId="6439D12B"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28,4</w:t>
            </w:r>
          </w:p>
        </w:tc>
        <w:tc>
          <w:tcPr>
            <w:tcW w:w="819" w:type="dxa"/>
          </w:tcPr>
          <w:p w14:paraId="191A5B28"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2,68</w:t>
            </w:r>
          </w:p>
        </w:tc>
        <w:tc>
          <w:tcPr>
            <w:tcW w:w="2150" w:type="dxa"/>
          </w:tcPr>
          <w:p w14:paraId="2327BCAA"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1 359</w:t>
            </w:r>
          </w:p>
        </w:tc>
      </w:tr>
      <w:tr w:rsidR="00AC6EEA" w:rsidRPr="003954D9" w14:paraId="4149B65E" w14:textId="77777777" w:rsidTr="00AC6EEA">
        <w:trPr>
          <w:trHeight w:val="227"/>
        </w:trPr>
        <w:tc>
          <w:tcPr>
            <w:tcW w:w="881" w:type="dxa"/>
          </w:tcPr>
          <w:p w14:paraId="581393C9" w14:textId="77777777" w:rsidR="00AC6EEA" w:rsidRPr="003954D9" w:rsidRDefault="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4 rok</w:t>
            </w:r>
          </w:p>
        </w:tc>
        <w:tc>
          <w:tcPr>
            <w:tcW w:w="691" w:type="dxa"/>
          </w:tcPr>
          <w:p w14:paraId="021964E2"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3 034</w:t>
            </w:r>
          </w:p>
        </w:tc>
        <w:tc>
          <w:tcPr>
            <w:tcW w:w="564" w:type="dxa"/>
          </w:tcPr>
          <w:p w14:paraId="233FE3EE"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13,2</w:t>
            </w:r>
          </w:p>
        </w:tc>
        <w:tc>
          <w:tcPr>
            <w:tcW w:w="729" w:type="dxa"/>
          </w:tcPr>
          <w:p w14:paraId="6517F348"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10 642</w:t>
            </w:r>
          </w:p>
        </w:tc>
        <w:tc>
          <w:tcPr>
            <w:tcW w:w="564" w:type="dxa"/>
          </w:tcPr>
          <w:p w14:paraId="62DD0F7C"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20,7</w:t>
            </w:r>
          </w:p>
        </w:tc>
        <w:tc>
          <w:tcPr>
            <w:tcW w:w="746" w:type="dxa"/>
          </w:tcPr>
          <w:p w14:paraId="55A7EB53"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6 997</w:t>
            </w:r>
          </w:p>
        </w:tc>
        <w:tc>
          <w:tcPr>
            <w:tcW w:w="817" w:type="dxa"/>
          </w:tcPr>
          <w:p w14:paraId="25FBC2D8"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91,9</w:t>
            </w:r>
          </w:p>
        </w:tc>
        <w:tc>
          <w:tcPr>
            <w:tcW w:w="914" w:type="dxa"/>
          </w:tcPr>
          <w:p w14:paraId="466E9D54"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26,2</w:t>
            </w:r>
          </w:p>
        </w:tc>
        <w:tc>
          <w:tcPr>
            <w:tcW w:w="819" w:type="dxa"/>
          </w:tcPr>
          <w:p w14:paraId="1C967696"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3,51</w:t>
            </w:r>
          </w:p>
        </w:tc>
        <w:tc>
          <w:tcPr>
            <w:tcW w:w="2150" w:type="dxa"/>
          </w:tcPr>
          <w:p w14:paraId="53500E84"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1 964</w:t>
            </w:r>
          </w:p>
        </w:tc>
      </w:tr>
      <w:tr w:rsidR="00AC6EEA" w:rsidRPr="003954D9" w14:paraId="2388ABB9" w14:textId="77777777" w:rsidTr="00AC6EEA">
        <w:trPr>
          <w:trHeight w:val="227"/>
        </w:trPr>
        <w:tc>
          <w:tcPr>
            <w:tcW w:w="881" w:type="dxa"/>
          </w:tcPr>
          <w:p w14:paraId="43E61AE0" w14:textId="77777777" w:rsidR="00AC6EEA" w:rsidRPr="003954D9" w:rsidRDefault="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5 - rok</w:t>
            </w:r>
          </w:p>
        </w:tc>
        <w:tc>
          <w:tcPr>
            <w:tcW w:w="691" w:type="dxa"/>
          </w:tcPr>
          <w:p w14:paraId="6DA1DE56"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606</w:t>
            </w:r>
          </w:p>
        </w:tc>
        <w:tc>
          <w:tcPr>
            <w:tcW w:w="564" w:type="dxa"/>
          </w:tcPr>
          <w:p w14:paraId="75DB76B6"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729" w:type="dxa"/>
          </w:tcPr>
          <w:p w14:paraId="7F660C7D"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2 425</w:t>
            </w:r>
          </w:p>
        </w:tc>
        <w:tc>
          <w:tcPr>
            <w:tcW w:w="564" w:type="dxa"/>
          </w:tcPr>
          <w:p w14:paraId="08FA18AA"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4,7</w:t>
            </w:r>
          </w:p>
        </w:tc>
        <w:tc>
          <w:tcPr>
            <w:tcW w:w="746" w:type="dxa"/>
          </w:tcPr>
          <w:p w14:paraId="7D90F1F8"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9 042</w:t>
            </w:r>
          </w:p>
        </w:tc>
        <w:tc>
          <w:tcPr>
            <w:tcW w:w="817" w:type="dxa"/>
          </w:tcPr>
          <w:p w14:paraId="3C9FAA7C"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113,7</w:t>
            </w:r>
          </w:p>
        </w:tc>
        <w:tc>
          <w:tcPr>
            <w:tcW w:w="914" w:type="dxa"/>
          </w:tcPr>
          <w:p w14:paraId="545C2665"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28,4</w:t>
            </w:r>
          </w:p>
        </w:tc>
        <w:tc>
          <w:tcPr>
            <w:tcW w:w="819" w:type="dxa"/>
          </w:tcPr>
          <w:p w14:paraId="6E39D83D"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4,00</w:t>
            </w:r>
          </w:p>
        </w:tc>
        <w:tc>
          <w:tcPr>
            <w:tcW w:w="2150" w:type="dxa"/>
          </w:tcPr>
          <w:p w14:paraId="3C299D69"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2 042</w:t>
            </w:r>
          </w:p>
        </w:tc>
      </w:tr>
      <w:tr w:rsidR="00AC6EEA" w:rsidRPr="003954D9" w14:paraId="5A7141B5" w14:textId="77777777" w:rsidTr="00AC6EEA">
        <w:trPr>
          <w:trHeight w:val="227"/>
        </w:trPr>
        <w:tc>
          <w:tcPr>
            <w:tcW w:w="881" w:type="dxa"/>
          </w:tcPr>
          <w:p w14:paraId="4D30A53C" w14:textId="77777777" w:rsidR="00AC6EEA" w:rsidRPr="003954D9" w:rsidRDefault="00AC6EEA">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Samtliga</w:t>
            </w:r>
          </w:p>
        </w:tc>
        <w:tc>
          <w:tcPr>
            <w:tcW w:w="691" w:type="dxa"/>
          </w:tcPr>
          <w:p w14:paraId="5E3FBE25"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23 052</w:t>
            </w:r>
          </w:p>
        </w:tc>
        <w:tc>
          <w:tcPr>
            <w:tcW w:w="564" w:type="dxa"/>
          </w:tcPr>
          <w:p w14:paraId="4E6E78FE"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w:t>
            </w:r>
          </w:p>
        </w:tc>
        <w:tc>
          <w:tcPr>
            <w:tcW w:w="729" w:type="dxa"/>
          </w:tcPr>
          <w:p w14:paraId="7F248328"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51 450</w:t>
            </w:r>
          </w:p>
        </w:tc>
        <w:tc>
          <w:tcPr>
            <w:tcW w:w="564" w:type="dxa"/>
          </w:tcPr>
          <w:p w14:paraId="36C8A266"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w:t>
            </w:r>
          </w:p>
        </w:tc>
        <w:tc>
          <w:tcPr>
            <w:tcW w:w="746" w:type="dxa"/>
          </w:tcPr>
          <w:p w14:paraId="4A0AE91D"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5 316</w:t>
            </w:r>
          </w:p>
        </w:tc>
        <w:tc>
          <w:tcPr>
            <w:tcW w:w="817" w:type="dxa"/>
          </w:tcPr>
          <w:p w14:paraId="1F9DD102"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65,1</w:t>
            </w:r>
          </w:p>
        </w:tc>
        <w:tc>
          <w:tcPr>
            <w:tcW w:w="914" w:type="dxa"/>
          </w:tcPr>
          <w:p w14:paraId="0467FA8B"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29,2</w:t>
            </w:r>
          </w:p>
        </w:tc>
        <w:tc>
          <w:tcPr>
            <w:tcW w:w="819" w:type="dxa"/>
          </w:tcPr>
          <w:p w14:paraId="24035E8B"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2,23</w:t>
            </w:r>
          </w:p>
        </w:tc>
        <w:tc>
          <w:tcPr>
            <w:tcW w:w="2150" w:type="dxa"/>
          </w:tcPr>
          <w:p w14:paraId="304ECF3E" w14:textId="77777777" w:rsidR="00AC6EEA" w:rsidRPr="003954D9" w:rsidRDefault="00AC6EEA">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1 856</w:t>
            </w:r>
          </w:p>
        </w:tc>
      </w:tr>
    </w:tbl>
    <w:p w14:paraId="090814B0" w14:textId="6766F3D8" w:rsidR="00905EFE" w:rsidRPr="003954D9" w:rsidRDefault="00D37919" w:rsidP="00CF47FE">
      <w:pPr>
        <w:rPr>
          <w:sz w:val="16"/>
          <w:szCs w:val="16"/>
        </w:rPr>
      </w:pPr>
      <w:r w:rsidRPr="003954D9">
        <w:rPr>
          <w:sz w:val="16"/>
          <w:szCs w:val="16"/>
        </w:rPr>
        <w:t>1 rokv inkluderar även 1 rum och kokskåp</w:t>
      </w:r>
    </w:p>
    <w:p w14:paraId="73A582AD" w14:textId="2717306B" w:rsidR="00D37919" w:rsidRPr="003954D9" w:rsidRDefault="00D37919" w:rsidP="00CF47FE">
      <w:pPr>
        <w:rPr>
          <w:sz w:val="16"/>
          <w:szCs w:val="16"/>
        </w:rPr>
      </w:pPr>
      <w:r w:rsidRPr="003954D9">
        <w:rPr>
          <w:sz w:val="16"/>
          <w:szCs w:val="16"/>
        </w:rPr>
        <w:t>2 rokv inkluderar även 2 rum och kokskåp</w:t>
      </w:r>
    </w:p>
    <w:p w14:paraId="5F2F9A7A" w14:textId="6D74D3AF" w:rsidR="00CF47FE" w:rsidRPr="003954D9" w:rsidRDefault="003F4E62" w:rsidP="00540A4D">
      <w:pPr>
        <w:pStyle w:val="Rubrik2"/>
      </w:pPr>
      <w:bookmarkStart w:id="148" w:name="_Toc463184422"/>
      <w:bookmarkStart w:id="149" w:name="_Toc464828427"/>
      <w:r w:rsidRPr="003954D9">
        <w:t>Lägenhetstyper i stadsdelarna</w:t>
      </w:r>
      <w:bookmarkEnd w:id="148"/>
      <w:bookmarkEnd w:id="149"/>
    </w:p>
    <w:p w14:paraId="4BFD06FA" w14:textId="797760A1" w:rsidR="0056032A" w:rsidRPr="003954D9" w:rsidRDefault="0056032A" w:rsidP="0056032A">
      <w:pPr>
        <w:pStyle w:val="Rubrik3"/>
      </w:pPr>
      <w:bookmarkStart w:id="150" w:name="_Toc464828428"/>
      <w:r w:rsidRPr="003954D9">
        <w:t xml:space="preserve">Hushåll med </w:t>
      </w:r>
      <w:r w:rsidR="003A4398" w:rsidRPr="003954D9">
        <w:t>minst</w:t>
      </w:r>
      <w:r w:rsidRPr="003954D9">
        <w:t xml:space="preserve"> boendeyta per person</w:t>
      </w:r>
      <w:bookmarkEnd w:id="150"/>
    </w:p>
    <w:p w14:paraId="3F91034D" w14:textId="531BB42E" w:rsidR="003F4E62" w:rsidRPr="003954D9" w:rsidRDefault="003F4E62" w:rsidP="003F4E62">
      <w:r w:rsidRPr="003954D9">
        <w:t>Lägenhetsfördelningen skiljer sig en hel del mellan stadsdelarna</w:t>
      </w:r>
      <w:r w:rsidR="00511CCB" w:rsidRPr="003954D9">
        <w:t>. Anmärkningsvärd</w:t>
      </w:r>
      <w:r w:rsidR="00B96BA1" w:rsidRPr="003954D9">
        <w:t xml:space="preserve"> är den höga andelen mycket små lägenheter</w:t>
      </w:r>
      <w:r w:rsidR="00746F11">
        <w:t xml:space="preserve"> (1 rokv) </w:t>
      </w:r>
      <w:r w:rsidR="00B96BA1" w:rsidRPr="003954D9">
        <w:t xml:space="preserve">i Lundby, 42 procent. Även i Centrum </w:t>
      </w:r>
      <w:r w:rsidR="00746F11">
        <w:t xml:space="preserve">och Örgryte-Härlanda </w:t>
      </w:r>
      <w:r w:rsidR="00B96BA1" w:rsidRPr="003954D9">
        <w:t>är denna andel ganska hög, 18 procent</w:t>
      </w:r>
      <w:r w:rsidR="00746F11">
        <w:t xml:space="preserve"> medan Örgryte-Härlanda har en hög andel 1 rok</w:t>
      </w:r>
      <w:r w:rsidR="00B96BA1" w:rsidRPr="003954D9">
        <w:t>.</w:t>
      </w:r>
      <w:r w:rsidR="00746F11">
        <w:t xml:space="preserve"> Höga andelar medelstora lägenheter (2 rok o 3 rok) har </w:t>
      </w:r>
      <w:r w:rsidR="000B1A2B">
        <w:t xml:space="preserve">Angered, Östra Göteborg, Västra Göteborg och Västra Hisingen. De stora lägenheterna (4 rok och 5 rok) i undersökningen finns framför allt i Örgryte Härlanda, Västra Hisingen, Norra Hisingen samt i Askim-Frölunda- Högsbo. </w:t>
      </w:r>
    </w:p>
    <w:p w14:paraId="349E3195" w14:textId="442ACD18" w:rsidR="003F4E62" w:rsidRPr="003954D9" w:rsidRDefault="003F4E62" w:rsidP="00B12933">
      <w:pPr>
        <w:pStyle w:val="Rubrik5"/>
      </w:pPr>
      <w:r w:rsidRPr="003954D9">
        <w:t xml:space="preserve">Tabell </w:t>
      </w:r>
      <w:r w:rsidR="00AA6054" w:rsidRPr="003954D9">
        <w:t>6:2</w:t>
      </w:r>
      <w:r w:rsidR="00DD505D" w:rsidRPr="003954D9">
        <w:t>: Andel och antal</w:t>
      </w:r>
      <w:r w:rsidRPr="003954D9">
        <w:t xml:space="preserve"> lägenheter efter lägenhetstyp och stadsdel</w:t>
      </w:r>
    </w:p>
    <w:tbl>
      <w:tblPr>
        <w:tblW w:w="890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708"/>
        <w:gridCol w:w="850"/>
        <w:gridCol w:w="806"/>
        <w:gridCol w:w="660"/>
        <w:gridCol w:w="821"/>
        <w:gridCol w:w="790"/>
        <w:gridCol w:w="789"/>
        <w:gridCol w:w="773"/>
        <w:gridCol w:w="838"/>
        <w:gridCol w:w="854"/>
      </w:tblGrid>
      <w:tr w:rsidR="003F4E62" w:rsidRPr="003954D9" w14:paraId="4AC56308" w14:textId="77777777" w:rsidTr="008B39A1">
        <w:trPr>
          <w:trHeight w:val="227"/>
        </w:trPr>
        <w:tc>
          <w:tcPr>
            <w:tcW w:w="1018" w:type="dxa"/>
          </w:tcPr>
          <w:p w14:paraId="51F618B1" w14:textId="1C4D12E3" w:rsidR="003F4E62" w:rsidRPr="003954D9" w:rsidRDefault="003F4E6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w:t>
            </w:r>
            <w:r w:rsidR="008B39A1" w:rsidRPr="003954D9">
              <w:rPr>
                <w:rFonts w:ascii="Calibri" w:hAnsi="Calibri" w:cs="Calibri"/>
                <w:b/>
                <w:bCs/>
                <w:color w:val="000000"/>
                <w:sz w:val="16"/>
                <w:szCs w:val="16"/>
              </w:rPr>
              <w:t>-</w:t>
            </w:r>
            <w:proofErr w:type="spellStart"/>
            <w:r w:rsidRPr="003954D9">
              <w:rPr>
                <w:rFonts w:ascii="Calibri" w:hAnsi="Calibri" w:cs="Calibri"/>
                <w:b/>
                <w:bCs/>
                <w:color w:val="000000"/>
                <w:sz w:val="16"/>
                <w:szCs w:val="16"/>
              </w:rPr>
              <w:t>hetstyp</w:t>
            </w:r>
            <w:proofErr w:type="spellEnd"/>
          </w:p>
        </w:tc>
        <w:tc>
          <w:tcPr>
            <w:tcW w:w="708" w:type="dxa"/>
          </w:tcPr>
          <w:p w14:paraId="691E2879" w14:textId="77777777" w:rsidR="003F4E62" w:rsidRPr="003954D9" w:rsidRDefault="003F4E6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50" w:type="dxa"/>
          </w:tcPr>
          <w:p w14:paraId="4503928F" w14:textId="7B572C4D" w:rsidR="003F4E62" w:rsidRPr="003954D9" w:rsidRDefault="003F4E6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 Frölunda- Högsbo</w:t>
            </w:r>
          </w:p>
        </w:tc>
        <w:tc>
          <w:tcPr>
            <w:tcW w:w="806" w:type="dxa"/>
          </w:tcPr>
          <w:p w14:paraId="351A414E" w14:textId="77777777" w:rsidR="003F4E62" w:rsidRPr="003954D9" w:rsidRDefault="003F4E6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660" w:type="dxa"/>
          </w:tcPr>
          <w:p w14:paraId="4B482082" w14:textId="77777777" w:rsidR="003F4E62" w:rsidRPr="003954D9" w:rsidRDefault="003F4E6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21" w:type="dxa"/>
          </w:tcPr>
          <w:p w14:paraId="2913E688" w14:textId="113B7FC3" w:rsidR="003F4E62" w:rsidRPr="003954D9" w:rsidRDefault="003F4E6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 Linné</w:t>
            </w:r>
          </w:p>
        </w:tc>
        <w:tc>
          <w:tcPr>
            <w:tcW w:w="790" w:type="dxa"/>
          </w:tcPr>
          <w:p w14:paraId="7B7FB7EF" w14:textId="77777777" w:rsidR="003F4E62" w:rsidRPr="003954D9" w:rsidRDefault="003F4E6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89" w:type="dxa"/>
          </w:tcPr>
          <w:p w14:paraId="6DC0456E" w14:textId="77777777" w:rsidR="003F4E62" w:rsidRPr="003954D9" w:rsidRDefault="003F4E6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73" w:type="dxa"/>
          </w:tcPr>
          <w:p w14:paraId="043485AD" w14:textId="4CA053C5" w:rsidR="003F4E62" w:rsidRPr="003954D9" w:rsidRDefault="003F4E6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 Härlanda</w:t>
            </w:r>
          </w:p>
        </w:tc>
        <w:tc>
          <w:tcPr>
            <w:tcW w:w="838" w:type="dxa"/>
          </w:tcPr>
          <w:p w14:paraId="6DF8E2EF" w14:textId="77777777" w:rsidR="003F4E62" w:rsidRPr="003954D9" w:rsidRDefault="003F4E6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54" w:type="dxa"/>
          </w:tcPr>
          <w:p w14:paraId="0026E7A9" w14:textId="77777777" w:rsidR="003F4E62" w:rsidRPr="003954D9" w:rsidRDefault="003F4E62">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3F4E62" w:rsidRPr="003954D9" w14:paraId="227C4BDB" w14:textId="77777777" w:rsidTr="008B39A1">
        <w:trPr>
          <w:trHeight w:val="227"/>
        </w:trPr>
        <w:tc>
          <w:tcPr>
            <w:tcW w:w="1018" w:type="dxa"/>
          </w:tcPr>
          <w:p w14:paraId="117513C8" w14:textId="5AD9501D" w:rsidR="003F4E62" w:rsidRPr="003954D9" w:rsidRDefault="003F4E62">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1 rokv </w:t>
            </w:r>
          </w:p>
        </w:tc>
        <w:tc>
          <w:tcPr>
            <w:tcW w:w="708" w:type="dxa"/>
          </w:tcPr>
          <w:p w14:paraId="5384AC62"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c>
          <w:tcPr>
            <w:tcW w:w="850" w:type="dxa"/>
          </w:tcPr>
          <w:p w14:paraId="23D60571"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12,0</w:t>
            </w:r>
          </w:p>
        </w:tc>
        <w:tc>
          <w:tcPr>
            <w:tcW w:w="806" w:type="dxa"/>
          </w:tcPr>
          <w:p w14:paraId="649B91B9"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18,4</w:t>
            </w:r>
          </w:p>
        </w:tc>
        <w:tc>
          <w:tcPr>
            <w:tcW w:w="660" w:type="dxa"/>
          </w:tcPr>
          <w:p w14:paraId="3F323F99"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42,4</w:t>
            </w:r>
          </w:p>
        </w:tc>
        <w:tc>
          <w:tcPr>
            <w:tcW w:w="821" w:type="dxa"/>
          </w:tcPr>
          <w:p w14:paraId="05BE9ED0"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c>
          <w:tcPr>
            <w:tcW w:w="790" w:type="dxa"/>
          </w:tcPr>
          <w:p w14:paraId="7CDF36F3"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w:t>
            </w:r>
          </w:p>
        </w:tc>
        <w:tc>
          <w:tcPr>
            <w:tcW w:w="789" w:type="dxa"/>
          </w:tcPr>
          <w:p w14:paraId="1A4BFA9F"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6,8</w:t>
            </w:r>
          </w:p>
        </w:tc>
        <w:tc>
          <w:tcPr>
            <w:tcW w:w="773" w:type="dxa"/>
          </w:tcPr>
          <w:p w14:paraId="6FDA606E"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9,3</w:t>
            </w:r>
          </w:p>
        </w:tc>
        <w:tc>
          <w:tcPr>
            <w:tcW w:w="838" w:type="dxa"/>
          </w:tcPr>
          <w:p w14:paraId="27B23E6B"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002060"/>
                <w:sz w:val="16"/>
                <w:szCs w:val="16"/>
              </w:rPr>
              <w:t>6,9</w:t>
            </w:r>
          </w:p>
        </w:tc>
        <w:tc>
          <w:tcPr>
            <w:tcW w:w="854" w:type="dxa"/>
          </w:tcPr>
          <w:p w14:paraId="7C115C6B"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11,0</w:t>
            </w:r>
          </w:p>
        </w:tc>
      </w:tr>
      <w:tr w:rsidR="003F4E62" w:rsidRPr="003954D9" w14:paraId="52434898" w14:textId="77777777" w:rsidTr="008B39A1">
        <w:trPr>
          <w:trHeight w:val="227"/>
        </w:trPr>
        <w:tc>
          <w:tcPr>
            <w:tcW w:w="1018" w:type="dxa"/>
          </w:tcPr>
          <w:p w14:paraId="1576D5A5" w14:textId="77777777" w:rsidR="003F4E62" w:rsidRPr="003954D9" w:rsidRDefault="003F4E62">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1 rok</w:t>
            </w:r>
          </w:p>
        </w:tc>
        <w:tc>
          <w:tcPr>
            <w:tcW w:w="708" w:type="dxa"/>
          </w:tcPr>
          <w:p w14:paraId="0AEEE08E"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w:t>
            </w:r>
          </w:p>
        </w:tc>
        <w:tc>
          <w:tcPr>
            <w:tcW w:w="850" w:type="dxa"/>
          </w:tcPr>
          <w:p w14:paraId="09295140"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w:t>
            </w:r>
          </w:p>
        </w:tc>
        <w:tc>
          <w:tcPr>
            <w:tcW w:w="806" w:type="dxa"/>
          </w:tcPr>
          <w:p w14:paraId="111EB76E"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w:t>
            </w:r>
          </w:p>
        </w:tc>
        <w:tc>
          <w:tcPr>
            <w:tcW w:w="660" w:type="dxa"/>
          </w:tcPr>
          <w:p w14:paraId="626FACC2"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1,2</w:t>
            </w:r>
          </w:p>
        </w:tc>
        <w:tc>
          <w:tcPr>
            <w:tcW w:w="821" w:type="dxa"/>
          </w:tcPr>
          <w:p w14:paraId="71437859"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12,4</w:t>
            </w:r>
          </w:p>
        </w:tc>
        <w:tc>
          <w:tcPr>
            <w:tcW w:w="790" w:type="dxa"/>
          </w:tcPr>
          <w:p w14:paraId="446CE16C"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6,1</w:t>
            </w:r>
          </w:p>
        </w:tc>
        <w:tc>
          <w:tcPr>
            <w:tcW w:w="789" w:type="dxa"/>
          </w:tcPr>
          <w:p w14:paraId="2010C613"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w:t>
            </w:r>
          </w:p>
        </w:tc>
        <w:tc>
          <w:tcPr>
            <w:tcW w:w="773" w:type="dxa"/>
          </w:tcPr>
          <w:p w14:paraId="3E8B9893"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17,0</w:t>
            </w:r>
          </w:p>
        </w:tc>
        <w:tc>
          <w:tcPr>
            <w:tcW w:w="838" w:type="dxa"/>
          </w:tcPr>
          <w:p w14:paraId="0C6918CC"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w:t>
            </w:r>
          </w:p>
        </w:tc>
        <w:tc>
          <w:tcPr>
            <w:tcW w:w="854" w:type="dxa"/>
          </w:tcPr>
          <w:p w14:paraId="36E8F1F9"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w:t>
            </w:r>
          </w:p>
        </w:tc>
      </w:tr>
      <w:tr w:rsidR="003F4E62" w:rsidRPr="003954D9" w14:paraId="1472D661" w14:textId="77777777" w:rsidTr="008B39A1">
        <w:trPr>
          <w:trHeight w:val="227"/>
        </w:trPr>
        <w:tc>
          <w:tcPr>
            <w:tcW w:w="1018" w:type="dxa"/>
          </w:tcPr>
          <w:p w14:paraId="7A44D019" w14:textId="30B5963A" w:rsidR="003F4E62" w:rsidRPr="003954D9" w:rsidRDefault="00AF18F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rokv</w:t>
            </w:r>
          </w:p>
        </w:tc>
        <w:tc>
          <w:tcPr>
            <w:tcW w:w="708" w:type="dxa"/>
          </w:tcPr>
          <w:p w14:paraId="3CF049F7"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w:t>
            </w:r>
          </w:p>
        </w:tc>
        <w:tc>
          <w:tcPr>
            <w:tcW w:w="850" w:type="dxa"/>
          </w:tcPr>
          <w:p w14:paraId="69525E5F"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0,7</w:t>
            </w:r>
          </w:p>
        </w:tc>
        <w:tc>
          <w:tcPr>
            <w:tcW w:w="806" w:type="dxa"/>
          </w:tcPr>
          <w:p w14:paraId="17FB53F5"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c>
          <w:tcPr>
            <w:tcW w:w="660" w:type="dxa"/>
          </w:tcPr>
          <w:p w14:paraId="1FD091A2"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7,6</w:t>
            </w:r>
          </w:p>
        </w:tc>
        <w:tc>
          <w:tcPr>
            <w:tcW w:w="821" w:type="dxa"/>
          </w:tcPr>
          <w:p w14:paraId="1F6FAD19"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8,7</w:t>
            </w:r>
          </w:p>
        </w:tc>
        <w:tc>
          <w:tcPr>
            <w:tcW w:w="790" w:type="dxa"/>
          </w:tcPr>
          <w:p w14:paraId="1A50693B"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7,5</w:t>
            </w:r>
          </w:p>
        </w:tc>
        <w:tc>
          <w:tcPr>
            <w:tcW w:w="789" w:type="dxa"/>
          </w:tcPr>
          <w:p w14:paraId="19E1CB69"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0,0</w:t>
            </w:r>
          </w:p>
        </w:tc>
        <w:tc>
          <w:tcPr>
            <w:tcW w:w="773" w:type="dxa"/>
          </w:tcPr>
          <w:p w14:paraId="06453FDC"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w:t>
            </w:r>
          </w:p>
        </w:tc>
        <w:tc>
          <w:tcPr>
            <w:tcW w:w="838" w:type="dxa"/>
          </w:tcPr>
          <w:p w14:paraId="29AF7DB1" w14:textId="77777777" w:rsidR="003F4E62" w:rsidRPr="003954D9" w:rsidRDefault="003F4E62">
            <w:pPr>
              <w:autoSpaceDE w:val="0"/>
              <w:autoSpaceDN w:val="0"/>
              <w:adjustRightInd w:val="0"/>
              <w:jc w:val="right"/>
              <w:rPr>
                <w:rFonts w:ascii="Calibri" w:hAnsi="Calibri" w:cs="Calibri"/>
                <w:color w:val="000000"/>
                <w:sz w:val="16"/>
                <w:szCs w:val="16"/>
              </w:rPr>
            </w:pPr>
          </w:p>
        </w:tc>
        <w:tc>
          <w:tcPr>
            <w:tcW w:w="854" w:type="dxa"/>
          </w:tcPr>
          <w:p w14:paraId="4C75AD91"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w:t>
            </w:r>
          </w:p>
        </w:tc>
      </w:tr>
      <w:tr w:rsidR="003F4E62" w:rsidRPr="003954D9" w14:paraId="4401D3AE" w14:textId="77777777" w:rsidTr="008B39A1">
        <w:trPr>
          <w:trHeight w:val="227"/>
        </w:trPr>
        <w:tc>
          <w:tcPr>
            <w:tcW w:w="1018" w:type="dxa"/>
          </w:tcPr>
          <w:p w14:paraId="1496FEB0" w14:textId="77777777" w:rsidR="003F4E62" w:rsidRPr="003954D9" w:rsidRDefault="003F4E62">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2 rok</w:t>
            </w:r>
          </w:p>
        </w:tc>
        <w:tc>
          <w:tcPr>
            <w:tcW w:w="708" w:type="dxa"/>
          </w:tcPr>
          <w:p w14:paraId="7FB5694B"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28,3</w:t>
            </w:r>
          </w:p>
        </w:tc>
        <w:tc>
          <w:tcPr>
            <w:tcW w:w="850" w:type="dxa"/>
          </w:tcPr>
          <w:p w14:paraId="6D956DC3"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24,5</w:t>
            </w:r>
          </w:p>
        </w:tc>
        <w:tc>
          <w:tcPr>
            <w:tcW w:w="806" w:type="dxa"/>
          </w:tcPr>
          <w:p w14:paraId="18A0B413"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38,3</w:t>
            </w:r>
          </w:p>
        </w:tc>
        <w:tc>
          <w:tcPr>
            <w:tcW w:w="660" w:type="dxa"/>
          </w:tcPr>
          <w:p w14:paraId="6828F579"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24,3</w:t>
            </w:r>
          </w:p>
        </w:tc>
        <w:tc>
          <w:tcPr>
            <w:tcW w:w="821" w:type="dxa"/>
          </w:tcPr>
          <w:p w14:paraId="065E021F"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38,7</w:t>
            </w:r>
          </w:p>
        </w:tc>
        <w:tc>
          <w:tcPr>
            <w:tcW w:w="790" w:type="dxa"/>
          </w:tcPr>
          <w:p w14:paraId="5F840699"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34,6</w:t>
            </w:r>
          </w:p>
        </w:tc>
        <w:tc>
          <w:tcPr>
            <w:tcW w:w="789" w:type="dxa"/>
          </w:tcPr>
          <w:p w14:paraId="66FE0348"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37,1</w:t>
            </w:r>
          </w:p>
        </w:tc>
        <w:tc>
          <w:tcPr>
            <w:tcW w:w="773" w:type="dxa"/>
          </w:tcPr>
          <w:p w14:paraId="39D0C9FB"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26,9</w:t>
            </w:r>
          </w:p>
        </w:tc>
        <w:tc>
          <w:tcPr>
            <w:tcW w:w="838" w:type="dxa"/>
          </w:tcPr>
          <w:p w14:paraId="19E18072"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40,7</w:t>
            </w:r>
          </w:p>
        </w:tc>
        <w:tc>
          <w:tcPr>
            <w:tcW w:w="854" w:type="dxa"/>
          </w:tcPr>
          <w:p w14:paraId="7B095C38"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33,4</w:t>
            </w:r>
          </w:p>
        </w:tc>
      </w:tr>
      <w:tr w:rsidR="003F4E62" w:rsidRPr="003954D9" w14:paraId="7D6A49F9" w14:textId="77777777" w:rsidTr="008B39A1">
        <w:trPr>
          <w:trHeight w:val="227"/>
        </w:trPr>
        <w:tc>
          <w:tcPr>
            <w:tcW w:w="1018" w:type="dxa"/>
          </w:tcPr>
          <w:p w14:paraId="15229C5F" w14:textId="77777777" w:rsidR="003F4E62" w:rsidRPr="003954D9" w:rsidRDefault="003F4E62">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3 rok</w:t>
            </w:r>
          </w:p>
        </w:tc>
        <w:tc>
          <w:tcPr>
            <w:tcW w:w="708" w:type="dxa"/>
          </w:tcPr>
          <w:p w14:paraId="6BD59A09"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40,3</w:t>
            </w:r>
          </w:p>
        </w:tc>
        <w:tc>
          <w:tcPr>
            <w:tcW w:w="850" w:type="dxa"/>
          </w:tcPr>
          <w:p w14:paraId="7C834DF1"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41,8</w:t>
            </w:r>
          </w:p>
        </w:tc>
        <w:tc>
          <w:tcPr>
            <w:tcW w:w="806" w:type="dxa"/>
          </w:tcPr>
          <w:p w14:paraId="54520E5C"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23,3</w:t>
            </w:r>
          </w:p>
        </w:tc>
        <w:tc>
          <w:tcPr>
            <w:tcW w:w="660" w:type="dxa"/>
          </w:tcPr>
          <w:p w14:paraId="6AFDCA58"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7,9</w:t>
            </w:r>
          </w:p>
        </w:tc>
        <w:tc>
          <w:tcPr>
            <w:tcW w:w="821" w:type="dxa"/>
          </w:tcPr>
          <w:p w14:paraId="25487387"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20,5</w:t>
            </w:r>
          </w:p>
        </w:tc>
        <w:tc>
          <w:tcPr>
            <w:tcW w:w="790" w:type="dxa"/>
          </w:tcPr>
          <w:p w14:paraId="6784C8B3"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23,0</w:t>
            </w:r>
          </w:p>
        </w:tc>
        <w:tc>
          <w:tcPr>
            <w:tcW w:w="789" w:type="dxa"/>
          </w:tcPr>
          <w:p w14:paraId="6C145FE1"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34,5</w:t>
            </w:r>
          </w:p>
        </w:tc>
        <w:tc>
          <w:tcPr>
            <w:tcW w:w="773" w:type="dxa"/>
          </w:tcPr>
          <w:p w14:paraId="64AF274F"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25,9</w:t>
            </w:r>
          </w:p>
        </w:tc>
        <w:tc>
          <w:tcPr>
            <w:tcW w:w="838" w:type="dxa"/>
          </w:tcPr>
          <w:p w14:paraId="2E83E32F"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32,8</w:t>
            </w:r>
          </w:p>
        </w:tc>
        <w:tc>
          <w:tcPr>
            <w:tcW w:w="854" w:type="dxa"/>
          </w:tcPr>
          <w:p w14:paraId="14AF419E"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33,4</w:t>
            </w:r>
          </w:p>
        </w:tc>
      </w:tr>
      <w:tr w:rsidR="003F4E62" w:rsidRPr="003954D9" w14:paraId="3F100BF4" w14:textId="77777777" w:rsidTr="008B39A1">
        <w:trPr>
          <w:trHeight w:val="227"/>
        </w:trPr>
        <w:tc>
          <w:tcPr>
            <w:tcW w:w="1018" w:type="dxa"/>
          </w:tcPr>
          <w:p w14:paraId="71A4DFFF" w14:textId="77777777" w:rsidR="003F4E62" w:rsidRPr="003954D9" w:rsidRDefault="003F4E62">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4 rok</w:t>
            </w:r>
          </w:p>
        </w:tc>
        <w:tc>
          <w:tcPr>
            <w:tcW w:w="708" w:type="dxa"/>
          </w:tcPr>
          <w:p w14:paraId="5D32344B"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13,9</w:t>
            </w:r>
          </w:p>
        </w:tc>
        <w:tc>
          <w:tcPr>
            <w:tcW w:w="850" w:type="dxa"/>
          </w:tcPr>
          <w:p w14:paraId="6A0D086C"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16,6</w:t>
            </w:r>
          </w:p>
        </w:tc>
        <w:tc>
          <w:tcPr>
            <w:tcW w:w="806" w:type="dxa"/>
          </w:tcPr>
          <w:p w14:paraId="1108F5A6"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5,1</w:t>
            </w:r>
          </w:p>
        </w:tc>
        <w:tc>
          <w:tcPr>
            <w:tcW w:w="660" w:type="dxa"/>
          </w:tcPr>
          <w:p w14:paraId="1FC48FB0"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14,1</w:t>
            </w:r>
          </w:p>
        </w:tc>
        <w:tc>
          <w:tcPr>
            <w:tcW w:w="821" w:type="dxa"/>
          </w:tcPr>
          <w:p w14:paraId="52C9171F"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8,4</w:t>
            </w:r>
          </w:p>
        </w:tc>
        <w:tc>
          <w:tcPr>
            <w:tcW w:w="790" w:type="dxa"/>
          </w:tcPr>
          <w:p w14:paraId="0788E558"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19,0</w:t>
            </w:r>
          </w:p>
        </w:tc>
        <w:tc>
          <w:tcPr>
            <w:tcW w:w="789" w:type="dxa"/>
          </w:tcPr>
          <w:p w14:paraId="29D315B8"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17,1</w:t>
            </w:r>
          </w:p>
        </w:tc>
        <w:tc>
          <w:tcPr>
            <w:tcW w:w="773" w:type="dxa"/>
          </w:tcPr>
          <w:p w14:paraId="21F508E4"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15,1</w:t>
            </w:r>
          </w:p>
        </w:tc>
        <w:tc>
          <w:tcPr>
            <w:tcW w:w="838" w:type="dxa"/>
          </w:tcPr>
          <w:p w14:paraId="5062CC86"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16,4</w:t>
            </w:r>
          </w:p>
        </w:tc>
        <w:tc>
          <w:tcPr>
            <w:tcW w:w="854" w:type="dxa"/>
          </w:tcPr>
          <w:p w14:paraId="794D0545"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10,7</w:t>
            </w:r>
          </w:p>
        </w:tc>
      </w:tr>
      <w:tr w:rsidR="003F4E62" w:rsidRPr="003954D9" w14:paraId="31754863" w14:textId="77777777" w:rsidTr="008B39A1">
        <w:trPr>
          <w:trHeight w:val="227"/>
        </w:trPr>
        <w:tc>
          <w:tcPr>
            <w:tcW w:w="1018" w:type="dxa"/>
          </w:tcPr>
          <w:p w14:paraId="65A76A01" w14:textId="77777777" w:rsidR="003F4E62" w:rsidRPr="003954D9" w:rsidRDefault="003F4E62">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5 - rok</w:t>
            </w:r>
          </w:p>
        </w:tc>
        <w:tc>
          <w:tcPr>
            <w:tcW w:w="708" w:type="dxa"/>
          </w:tcPr>
          <w:p w14:paraId="629A8473"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w:t>
            </w:r>
          </w:p>
        </w:tc>
        <w:tc>
          <w:tcPr>
            <w:tcW w:w="850" w:type="dxa"/>
          </w:tcPr>
          <w:p w14:paraId="5CD812AE"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w:t>
            </w:r>
          </w:p>
        </w:tc>
        <w:tc>
          <w:tcPr>
            <w:tcW w:w="806" w:type="dxa"/>
          </w:tcPr>
          <w:p w14:paraId="6851946B"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4,5</w:t>
            </w:r>
          </w:p>
        </w:tc>
        <w:tc>
          <w:tcPr>
            <w:tcW w:w="660" w:type="dxa"/>
          </w:tcPr>
          <w:p w14:paraId="1CB7CCB4"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w:t>
            </w:r>
          </w:p>
        </w:tc>
        <w:tc>
          <w:tcPr>
            <w:tcW w:w="821" w:type="dxa"/>
          </w:tcPr>
          <w:p w14:paraId="5234C438"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4,2</w:t>
            </w:r>
          </w:p>
        </w:tc>
        <w:tc>
          <w:tcPr>
            <w:tcW w:w="790" w:type="dxa"/>
          </w:tcPr>
          <w:p w14:paraId="4D588657" w14:textId="77777777" w:rsidR="003F4E62" w:rsidRPr="003954D9" w:rsidRDefault="003F4E62">
            <w:pPr>
              <w:autoSpaceDE w:val="0"/>
              <w:autoSpaceDN w:val="0"/>
              <w:adjustRightInd w:val="0"/>
              <w:jc w:val="right"/>
              <w:rPr>
                <w:rFonts w:ascii="Calibri" w:hAnsi="Calibri" w:cs="Calibri"/>
                <w:b/>
                <w:color w:val="002060"/>
                <w:sz w:val="16"/>
                <w:szCs w:val="16"/>
              </w:rPr>
            </w:pPr>
            <w:r w:rsidRPr="003954D9">
              <w:rPr>
                <w:rFonts w:ascii="Calibri" w:hAnsi="Calibri" w:cs="Calibri"/>
                <w:b/>
                <w:color w:val="0070C0"/>
                <w:sz w:val="16"/>
                <w:szCs w:val="16"/>
              </w:rPr>
              <w:t>0,0</w:t>
            </w:r>
          </w:p>
        </w:tc>
        <w:tc>
          <w:tcPr>
            <w:tcW w:w="789" w:type="dxa"/>
          </w:tcPr>
          <w:p w14:paraId="582683F5"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w:t>
            </w:r>
          </w:p>
        </w:tc>
        <w:tc>
          <w:tcPr>
            <w:tcW w:w="773" w:type="dxa"/>
          </w:tcPr>
          <w:p w14:paraId="58A12B5D"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4,4</w:t>
            </w:r>
          </w:p>
        </w:tc>
        <w:tc>
          <w:tcPr>
            <w:tcW w:w="838" w:type="dxa"/>
          </w:tcPr>
          <w:p w14:paraId="3A097510" w14:textId="77777777" w:rsidR="003F4E62" w:rsidRPr="003954D9" w:rsidRDefault="003F4E62">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0,0</w:t>
            </w:r>
          </w:p>
        </w:tc>
        <w:tc>
          <w:tcPr>
            <w:tcW w:w="854" w:type="dxa"/>
          </w:tcPr>
          <w:p w14:paraId="17DCBE55"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0,3</w:t>
            </w:r>
          </w:p>
        </w:tc>
      </w:tr>
      <w:tr w:rsidR="003F4E62" w:rsidRPr="003954D9" w14:paraId="40193F12" w14:textId="77777777" w:rsidTr="008B39A1">
        <w:trPr>
          <w:trHeight w:val="227"/>
        </w:trPr>
        <w:tc>
          <w:tcPr>
            <w:tcW w:w="1018" w:type="dxa"/>
          </w:tcPr>
          <w:p w14:paraId="7B66C093" w14:textId="77777777" w:rsidR="003F4E62" w:rsidRPr="003954D9" w:rsidRDefault="003F4E62">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Samtliga</w:t>
            </w:r>
          </w:p>
        </w:tc>
        <w:tc>
          <w:tcPr>
            <w:tcW w:w="708" w:type="dxa"/>
          </w:tcPr>
          <w:p w14:paraId="2FF6B39A"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850" w:type="dxa"/>
          </w:tcPr>
          <w:p w14:paraId="2654D983"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806" w:type="dxa"/>
          </w:tcPr>
          <w:p w14:paraId="202943C5"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660" w:type="dxa"/>
          </w:tcPr>
          <w:p w14:paraId="6A19937D"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821" w:type="dxa"/>
          </w:tcPr>
          <w:p w14:paraId="723C01B7"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790" w:type="dxa"/>
          </w:tcPr>
          <w:p w14:paraId="031ACB7C"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789" w:type="dxa"/>
          </w:tcPr>
          <w:p w14:paraId="35FD0D38"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773" w:type="dxa"/>
          </w:tcPr>
          <w:p w14:paraId="47F0E786"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838" w:type="dxa"/>
          </w:tcPr>
          <w:p w14:paraId="7FEEE9C6"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854" w:type="dxa"/>
          </w:tcPr>
          <w:p w14:paraId="0B8B58EE"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r>
      <w:tr w:rsidR="003F4E62" w:rsidRPr="003954D9" w14:paraId="08495E55" w14:textId="77777777" w:rsidTr="008B39A1">
        <w:trPr>
          <w:trHeight w:val="227"/>
        </w:trPr>
        <w:tc>
          <w:tcPr>
            <w:tcW w:w="1018" w:type="dxa"/>
          </w:tcPr>
          <w:p w14:paraId="23956065" w14:textId="63F441B7" w:rsidR="003F4E62" w:rsidRPr="003954D9" w:rsidRDefault="003F4E62">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Antal</w:t>
            </w:r>
          </w:p>
        </w:tc>
        <w:tc>
          <w:tcPr>
            <w:tcW w:w="708" w:type="dxa"/>
          </w:tcPr>
          <w:p w14:paraId="349FC7C7"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4 480</w:t>
            </w:r>
          </w:p>
        </w:tc>
        <w:tc>
          <w:tcPr>
            <w:tcW w:w="850" w:type="dxa"/>
          </w:tcPr>
          <w:p w14:paraId="70BFE2E6"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2 390</w:t>
            </w:r>
          </w:p>
        </w:tc>
        <w:tc>
          <w:tcPr>
            <w:tcW w:w="806" w:type="dxa"/>
          </w:tcPr>
          <w:p w14:paraId="0C7087F2"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2 060</w:t>
            </w:r>
          </w:p>
        </w:tc>
        <w:tc>
          <w:tcPr>
            <w:tcW w:w="660" w:type="dxa"/>
          </w:tcPr>
          <w:p w14:paraId="541C0217"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908</w:t>
            </w:r>
          </w:p>
        </w:tc>
        <w:tc>
          <w:tcPr>
            <w:tcW w:w="821" w:type="dxa"/>
          </w:tcPr>
          <w:p w14:paraId="51890884"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2 651</w:t>
            </w:r>
          </w:p>
        </w:tc>
        <w:tc>
          <w:tcPr>
            <w:tcW w:w="790" w:type="dxa"/>
          </w:tcPr>
          <w:p w14:paraId="111899D4"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1 385</w:t>
            </w:r>
          </w:p>
        </w:tc>
        <w:tc>
          <w:tcPr>
            <w:tcW w:w="789" w:type="dxa"/>
          </w:tcPr>
          <w:p w14:paraId="77D226BD"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2 790</w:t>
            </w:r>
          </w:p>
        </w:tc>
        <w:tc>
          <w:tcPr>
            <w:tcW w:w="773" w:type="dxa"/>
          </w:tcPr>
          <w:p w14:paraId="542520DD"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2 589</w:t>
            </w:r>
          </w:p>
        </w:tc>
        <w:tc>
          <w:tcPr>
            <w:tcW w:w="838" w:type="dxa"/>
          </w:tcPr>
          <w:p w14:paraId="2F6A9009"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317</w:t>
            </w:r>
          </w:p>
        </w:tc>
        <w:tc>
          <w:tcPr>
            <w:tcW w:w="854" w:type="dxa"/>
          </w:tcPr>
          <w:p w14:paraId="26246344" w14:textId="77777777" w:rsidR="003F4E62" w:rsidRPr="003954D9" w:rsidRDefault="003F4E62">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3 482</w:t>
            </w:r>
          </w:p>
        </w:tc>
      </w:tr>
    </w:tbl>
    <w:p w14:paraId="08F4D1CB" w14:textId="61F6A0F1" w:rsidR="00B96BA1" w:rsidRPr="003954D9" w:rsidRDefault="00B96BA1" w:rsidP="00B96BA1">
      <w:pPr>
        <w:rPr>
          <w:sz w:val="16"/>
          <w:szCs w:val="16"/>
        </w:rPr>
      </w:pPr>
      <w:r w:rsidRPr="007824C9">
        <w:rPr>
          <w:b/>
          <w:color w:val="FF0000"/>
          <w:sz w:val="16"/>
          <w:szCs w:val="16"/>
        </w:rPr>
        <w:t>Röd färg högsta</w:t>
      </w:r>
      <w:r w:rsidRPr="007824C9">
        <w:rPr>
          <w:color w:val="FF0000"/>
          <w:sz w:val="16"/>
          <w:szCs w:val="16"/>
        </w:rPr>
        <w:t xml:space="preserve"> </w:t>
      </w:r>
      <w:r w:rsidRPr="003954D9">
        <w:rPr>
          <w:sz w:val="16"/>
          <w:szCs w:val="16"/>
        </w:rPr>
        <w:t xml:space="preserve">och </w:t>
      </w:r>
      <w:r w:rsidRPr="007824C9">
        <w:rPr>
          <w:b/>
          <w:color w:val="0070C0"/>
          <w:sz w:val="16"/>
          <w:szCs w:val="16"/>
        </w:rPr>
        <w:t>blå färg lägsta</w:t>
      </w:r>
      <w:r w:rsidRPr="007824C9">
        <w:rPr>
          <w:color w:val="0070C0"/>
          <w:sz w:val="16"/>
          <w:szCs w:val="16"/>
        </w:rPr>
        <w:t xml:space="preserve"> </w:t>
      </w:r>
      <w:r w:rsidRPr="003954D9">
        <w:rPr>
          <w:sz w:val="16"/>
          <w:szCs w:val="16"/>
        </w:rPr>
        <w:t>värde i grupp.</w:t>
      </w:r>
    </w:p>
    <w:p w14:paraId="766CCF30" w14:textId="77777777" w:rsidR="00D36DC3" w:rsidRDefault="00D36DC3" w:rsidP="00D36DC3"/>
    <w:p w14:paraId="5517A4E7" w14:textId="68DC33DB" w:rsidR="007B4A6F" w:rsidRPr="003954D9" w:rsidRDefault="00D36DC3" w:rsidP="00D36DC3">
      <w:r w:rsidRPr="003954D9">
        <w:lastRenderedPageBreak/>
        <w:t xml:space="preserve">Hushållen med den </w:t>
      </w:r>
      <w:r w:rsidR="003A4398" w:rsidRPr="003954D9">
        <w:t>minsta</w:t>
      </w:r>
      <w:r w:rsidRPr="003954D9">
        <w:t xml:space="preserve"> boendeytan återfinns i</w:t>
      </w:r>
      <w:r w:rsidR="001F244E" w:rsidRPr="003954D9">
        <w:t xml:space="preserve"> </w:t>
      </w:r>
      <w:r w:rsidRPr="003954D9">
        <w:t xml:space="preserve">fyra </w:t>
      </w:r>
      <w:r w:rsidR="001F244E" w:rsidRPr="003954D9">
        <w:t xml:space="preserve">av </w:t>
      </w:r>
      <w:r w:rsidRPr="003954D9">
        <w:t xml:space="preserve">de sju </w:t>
      </w:r>
      <w:r w:rsidR="001F244E" w:rsidRPr="003954D9">
        <w:t>lägenhetstyper</w:t>
      </w:r>
      <w:r w:rsidRPr="003954D9">
        <w:t xml:space="preserve">na </w:t>
      </w:r>
      <w:r w:rsidR="001F244E" w:rsidRPr="003954D9">
        <w:t>i Angered</w:t>
      </w:r>
      <w:r w:rsidRPr="003954D9">
        <w:t xml:space="preserve">. Där har man också totalt </w:t>
      </w:r>
      <w:r w:rsidR="001F244E" w:rsidRPr="003954D9">
        <w:t xml:space="preserve">den </w:t>
      </w:r>
      <w:r w:rsidR="003A4398" w:rsidRPr="003954D9">
        <w:t>minsta</w:t>
      </w:r>
      <w:r w:rsidR="001F244E" w:rsidRPr="003954D9">
        <w:t xml:space="preserve"> boendeytan per person</w:t>
      </w:r>
      <w:r w:rsidR="00511CCB" w:rsidRPr="003954D9">
        <w:t xml:space="preserve"> </w:t>
      </w:r>
      <w:r w:rsidR="0056032A" w:rsidRPr="003954D9">
        <w:t>(”Alla” i tabellen)</w:t>
      </w:r>
      <w:r w:rsidR="001F244E" w:rsidRPr="003954D9">
        <w:t xml:space="preserve">. </w:t>
      </w:r>
      <w:r w:rsidR="0056032A" w:rsidRPr="003954D9">
        <w:t>D</w:t>
      </w:r>
      <w:r w:rsidR="001F244E" w:rsidRPr="003954D9">
        <w:t xml:space="preserve">e återstående </w:t>
      </w:r>
      <w:r w:rsidR="0056032A" w:rsidRPr="003954D9">
        <w:t xml:space="preserve">tre </w:t>
      </w:r>
      <w:r w:rsidR="001F244E" w:rsidRPr="003954D9">
        <w:t xml:space="preserve">lägenhetstyperna </w:t>
      </w:r>
      <w:r w:rsidR="0056032A" w:rsidRPr="003954D9">
        <w:t xml:space="preserve">med lägst boendeyta </w:t>
      </w:r>
      <w:r w:rsidR="001F244E" w:rsidRPr="003954D9">
        <w:t>finns</w:t>
      </w:r>
      <w:r w:rsidR="00515BC5" w:rsidRPr="003954D9">
        <w:t xml:space="preserve"> </w:t>
      </w:r>
      <w:r w:rsidR="001F244E" w:rsidRPr="003954D9">
        <w:t xml:space="preserve">i </w:t>
      </w:r>
      <w:r w:rsidR="00515BC5" w:rsidRPr="003954D9">
        <w:t xml:space="preserve">Norra Hisingen, Västra Hisingen och Östra Göteborg. I Majorna-Linné, Örgryte-Härlanda samt i Västra Göteborg har de boende den största boendeytan person i vardera 2 lägenhetstyper. De fåtaliga hushållen i Västra Göteborg har den </w:t>
      </w:r>
      <w:r w:rsidR="003A4398" w:rsidRPr="003954D9">
        <w:t>största</w:t>
      </w:r>
      <w:r w:rsidR="00515BC5" w:rsidRPr="003954D9">
        <w:t xml:space="preserve"> boendeytan pe</w:t>
      </w:r>
      <w:r w:rsidR="004F7B81">
        <w:t>r person totalt. Se tabell 6:3.</w:t>
      </w:r>
    </w:p>
    <w:p w14:paraId="4D892A7F" w14:textId="34F0A757" w:rsidR="007B4A6F" w:rsidRPr="003954D9" w:rsidRDefault="007B4A6F" w:rsidP="007B4A6F">
      <w:pPr>
        <w:pStyle w:val="Rubrik5"/>
      </w:pPr>
      <w:r w:rsidRPr="003954D9">
        <w:t>Tabell 6:3: Lägenhetstyp</w:t>
      </w:r>
      <w:r w:rsidR="008D47B8" w:rsidRPr="003954D9">
        <w:t>, boende</w:t>
      </w:r>
      <w:r w:rsidRPr="003954D9">
        <w:t>yta per person och stadsdel</w:t>
      </w:r>
    </w:p>
    <w:tbl>
      <w:tblPr>
        <w:tblW w:w="0" w:type="auto"/>
        <w:tblInd w:w="-38" w:type="dxa"/>
        <w:tblLayout w:type="fixed"/>
        <w:tblLook w:val="0000" w:firstRow="0" w:lastRow="0" w:firstColumn="0" w:lastColumn="0" w:noHBand="0" w:noVBand="0"/>
      </w:tblPr>
      <w:tblGrid>
        <w:gridCol w:w="739"/>
        <w:gridCol w:w="851"/>
        <w:gridCol w:w="992"/>
        <w:gridCol w:w="850"/>
        <w:gridCol w:w="709"/>
        <w:gridCol w:w="851"/>
        <w:gridCol w:w="850"/>
        <w:gridCol w:w="851"/>
        <w:gridCol w:w="850"/>
        <w:gridCol w:w="851"/>
        <w:gridCol w:w="981"/>
      </w:tblGrid>
      <w:tr w:rsidR="007B4A6F" w:rsidRPr="003954D9" w14:paraId="6F52D413" w14:textId="77777777" w:rsidTr="008D47B8">
        <w:trPr>
          <w:trHeight w:val="227"/>
        </w:trPr>
        <w:tc>
          <w:tcPr>
            <w:tcW w:w="739" w:type="dxa"/>
            <w:tcBorders>
              <w:top w:val="single" w:sz="6" w:space="0" w:color="auto"/>
              <w:left w:val="single" w:sz="6" w:space="0" w:color="auto"/>
              <w:bottom w:val="single" w:sz="6" w:space="0" w:color="auto"/>
              <w:right w:val="single" w:sz="6" w:space="0" w:color="auto"/>
            </w:tcBorders>
          </w:tcPr>
          <w:p w14:paraId="6F3B6F43"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w:t>
            </w:r>
            <w:proofErr w:type="spellStart"/>
            <w:r w:rsidRPr="003954D9">
              <w:rPr>
                <w:rFonts w:ascii="Calibri" w:hAnsi="Calibri" w:cs="Calibri"/>
                <w:b/>
                <w:bCs/>
                <w:color w:val="000000"/>
                <w:sz w:val="16"/>
                <w:szCs w:val="16"/>
              </w:rPr>
              <w:t>hetstyp</w:t>
            </w:r>
            <w:proofErr w:type="spellEnd"/>
          </w:p>
        </w:tc>
        <w:tc>
          <w:tcPr>
            <w:tcW w:w="851" w:type="dxa"/>
            <w:tcBorders>
              <w:top w:val="single" w:sz="6" w:space="0" w:color="auto"/>
              <w:left w:val="single" w:sz="6" w:space="0" w:color="auto"/>
              <w:bottom w:val="single" w:sz="6" w:space="0" w:color="auto"/>
              <w:right w:val="single" w:sz="6" w:space="0" w:color="auto"/>
            </w:tcBorders>
          </w:tcPr>
          <w:p w14:paraId="56283D2C"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92" w:type="dxa"/>
            <w:tcBorders>
              <w:top w:val="single" w:sz="6" w:space="0" w:color="auto"/>
              <w:left w:val="single" w:sz="6" w:space="0" w:color="auto"/>
              <w:bottom w:val="single" w:sz="6" w:space="0" w:color="auto"/>
              <w:right w:val="single" w:sz="6" w:space="0" w:color="auto"/>
            </w:tcBorders>
          </w:tcPr>
          <w:p w14:paraId="60BFA71C"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50" w:type="dxa"/>
            <w:tcBorders>
              <w:top w:val="single" w:sz="6" w:space="0" w:color="auto"/>
              <w:left w:val="single" w:sz="6" w:space="0" w:color="auto"/>
              <w:bottom w:val="single" w:sz="6" w:space="0" w:color="auto"/>
              <w:right w:val="single" w:sz="6" w:space="0" w:color="auto"/>
            </w:tcBorders>
          </w:tcPr>
          <w:p w14:paraId="337ACD1E"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9" w:type="dxa"/>
            <w:tcBorders>
              <w:top w:val="single" w:sz="6" w:space="0" w:color="auto"/>
              <w:left w:val="single" w:sz="6" w:space="0" w:color="auto"/>
              <w:bottom w:val="single" w:sz="6" w:space="0" w:color="auto"/>
              <w:right w:val="single" w:sz="6" w:space="0" w:color="auto"/>
            </w:tcBorders>
          </w:tcPr>
          <w:p w14:paraId="091BB99D"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51" w:type="dxa"/>
            <w:tcBorders>
              <w:top w:val="single" w:sz="6" w:space="0" w:color="auto"/>
              <w:left w:val="single" w:sz="6" w:space="0" w:color="auto"/>
              <w:bottom w:val="single" w:sz="6" w:space="0" w:color="auto"/>
              <w:right w:val="single" w:sz="6" w:space="0" w:color="auto"/>
            </w:tcBorders>
          </w:tcPr>
          <w:p w14:paraId="07AC7AFB"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850" w:type="dxa"/>
            <w:tcBorders>
              <w:top w:val="single" w:sz="6" w:space="0" w:color="auto"/>
              <w:left w:val="single" w:sz="6" w:space="0" w:color="auto"/>
              <w:bottom w:val="single" w:sz="6" w:space="0" w:color="auto"/>
              <w:right w:val="single" w:sz="6" w:space="0" w:color="auto"/>
            </w:tcBorders>
          </w:tcPr>
          <w:p w14:paraId="7EF69279"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51" w:type="dxa"/>
            <w:tcBorders>
              <w:top w:val="single" w:sz="6" w:space="0" w:color="auto"/>
              <w:left w:val="single" w:sz="6" w:space="0" w:color="auto"/>
              <w:bottom w:val="single" w:sz="6" w:space="0" w:color="auto"/>
              <w:right w:val="single" w:sz="6" w:space="0" w:color="auto"/>
            </w:tcBorders>
          </w:tcPr>
          <w:p w14:paraId="545E1B00"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50" w:type="dxa"/>
            <w:tcBorders>
              <w:top w:val="single" w:sz="6" w:space="0" w:color="auto"/>
              <w:left w:val="single" w:sz="6" w:space="0" w:color="auto"/>
              <w:bottom w:val="single" w:sz="6" w:space="0" w:color="auto"/>
              <w:right w:val="single" w:sz="6" w:space="0" w:color="auto"/>
            </w:tcBorders>
          </w:tcPr>
          <w:p w14:paraId="393EB055"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34FF84D9"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81" w:type="dxa"/>
            <w:tcBorders>
              <w:top w:val="single" w:sz="6" w:space="0" w:color="auto"/>
              <w:left w:val="single" w:sz="6" w:space="0" w:color="auto"/>
              <w:bottom w:val="single" w:sz="6" w:space="0" w:color="auto"/>
              <w:right w:val="single" w:sz="6" w:space="0" w:color="auto"/>
            </w:tcBorders>
          </w:tcPr>
          <w:p w14:paraId="499835C0"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7B4A6F" w:rsidRPr="003954D9" w14:paraId="711D9AD0" w14:textId="77777777" w:rsidTr="008D47B8">
        <w:trPr>
          <w:trHeight w:val="227"/>
        </w:trPr>
        <w:tc>
          <w:tcPr>
            <w:tcW w:w="739" w:type="dxa"/>
            <w:tcBorders>
              <w:top w:val="single" w:sz="6" w:space="0" w:color="auto"/>
              <w:left w:val="single" w:sz="6" w:space="0" w:color="auto"/>
              <w:bottom w:val="single" w:sz="6" w:space="0" w:color="auto"/>
              <w:right w:val="single" w:sz="6" w:space="0" w:color="auto"/>
            </w:tcBorders>
          </w:tcPr>
          <w:p w14:paraId="579EC820" w14:textId="77777777" w:rsidR="007B4A6F" w:rsidRPr="003954D9" w:rsidRDefault="007B4A6F">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1 rokv</w:t>
            </w:r>
          </w:p>
        </w:tc>
        <w:tc>
          <w:tcPr>
            <w:tcW w:w="851" w:type="dxa"/>
            <w:tcBorders>
              <w:top w:val="single" w:sz="6" w:space="0" w:color="auto"/>
              <w:left w:val="single" w:sz="6" w:space="0" w:color="auto"/>
              <w:bottom w:val="single" w:sz="6" w:space="0" w:color="auto"/>
              <w:right w:val="single" w:sz="6" w:space="0" w:color="auto"/>
            </w:tcBorders>
          </w:tcPr>
          <w:p w14:paraId="01704AC5"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22,6</w:t>
            </w:r>
          </w:p>
        </w:tc>
        <w:tc>
          <w:tcPr>
            <w:tcW w:w="992" w:type="dxa"/>
            <w:tcBorders>
              <w:top w:val="single" w:sz="6" w:space="0" w:color="auto"/>
              <w:left w:val="single" w:sz="6" w:space="0" w:color="auto"/>
              <w:bottom w:val="single" w:sz="6" w:space="0" w:color="auto"/>
              <w:right w:val="single" w:sz="6" w:space="0" w:color="auto"/>
            </w:tcBorders>
          </w:tcPr>
          <w:p w14:paraId="4BF1248F"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25,3</w:t>
            </w:r>
          </w:p>
        </w:tc>
        <w:tc>
          <w:tcPr>
            <w:tcW w:w="850" w:type="dxa"/>
            <w:tcBorders>
              <w:top w:val="single" w:sz="6" w:space="0" w:color="auto"/>
              <w:left w:val="single" w:sz="6" w:space="0" w:color="auto"/>
              <w:bottom w:val="single" w:sz="6" w:space="0" w:color="auto"/>
              <w:right w:val="single" w:sz="6" w:space="0" w:color="auto"/>
            </w:tcBorders>
          </w:tcPr>
          <w:p w14:paraId="7D14563E"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23,2</w:t>
            </w:r>
          </w:p>
        </w:tc>
        <w:tc>
          <w:tcPr>
            <w:tcW w:w="709" w:type="dxa"/>
            <w:tcBorders>
              <w:top w:val="single" w:sz="6" w:space="0" w:color="auto"/>
              <w:left w:val="single" w:sz="6" w:space="0" w:color="auto"/>
              <w:bottom w:val="single" w:sz="6" w:space="0" w:color="auto"/>
              <w:right w:val="single" w:sz="6" w:space="0" w:color="auto"/>
            </w:tcBorders>
          </w:tcPr>
          <w:p w14:paraId="103D7B18"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21,2</w:t>
            </w:r>
          </w:p>
        </w:tc>
        <w:tc>
          <w:tcPr>
            <w:tcW w:w="851" w:type="dxa"/>
            <w:tcBorders>
              <w:top w:val="single" w:sz="6" w:space="0" w:color="auto"/>
              <w:left w:val="single" w:sz="6" w:space="0" w:color="auto"/>
              <w:bottom w:val="single" w:sz="6" w:space="0" w:color="auto"/>
              <w:right w:val="single" w:sz="6" w:space="0" w:color="auto"/>
            </w:tcBorders>
          </w:tcPr>
          <w:p w14:paraId="21A7F0DB"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25,3</w:t>
            </w:r>
          </w:p>
        </w:tc>
        <w:tc>
          <w:tcPr>
            <w:tcW w:w="850" w:type="dxa"/>
            <w:tcBorders>
              <w:top w:val="single" w:sz="6" w:space="0" w:color="auto"/>
              <w:left w:val="single" w:sz="6" w:space="0" w:color="auto"/>
              <w:bottom w:val="single" w:sz="6" w:space="0" w:color="auto"/>
              <w:right w:val="single" w:sz="6" w:space="0" w:color="auto"/>
            </w:tcBorders>
          </w:tcPr>
          <w:p w14:paraId="42CFD0AF" w14:textId="77777777" w:rsidR="007B4A6F" w:rsidRPr="003954D9" w:rsidRDefault="007B4A6F">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16,7</w:t>
            </w:r>
          </w:p>
        </w:tc>
        <w:tc>
          <w:tcPr>
            <w:tcW w:w="851" w:type="dxa"/>
            <w:tcBorders>
              <w:top w:val="single" w:sz="6" w:space="0" w:color="auto"/>
              <w:left w:val="single" w:sz="6" w:space="0" w:color="auto"/>
              <w:bottom w:val="single" w:sz="6" w:space="0" w:color="auto"/>
              <w:right w:val="single" w:sz="6" w:space="0" w:color="auto"/>
            </w:tcBorders>
          </w:tcPr>
          <w:p w14:paraId="39859C39"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c>
          <w:tcPr>
            <w:tcW w:w="850" w:type="dxa"/>
            <w:tcBorders>
              <w:top w:val="single" w:sz="6" w:space="0" w:color="auto"/>
              <w:left w:val="single" w:sz="6" w:space="0" w:color="auto"/>
              <w:bottom w:val="single" w:sz="6" w:space="0" w:color="auto"/>
              <w:right w:val="single" w:sz="6" w:space="0" w:color="auto"/>
            </w:tcBorders>
          </w:tcPr>
          <w:p w14:paraId="55C6F798"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20,3</w:t>
            </w:r>
          </w:p>
        </w:tc>
        <w:tc>
          <w:tcPr>
            <w:tcW w:w="851" w:type="dxa"/>
            <w:tcBorders>
              <w:top w:val="single" w:sz="6" w:space="0" w:color="auto"/>
              <w:left w:val="single" w:sz="6" w:space="0" w:color="auto"/>
              <w:bottom w:val="single" w:sz="6" w:space="0" w:color="auto"/>
              <w:right w:val="single" w:sz="6" w:space="0" w:color="auto"/>
            </w:tcBorders>
          </w:tcPr>
          <w:p w14:paraId="4D156799"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36,9</w:t>
            </w:r>
          </w:p>
        </w:tc>
        <w:tc>
          <w:tcPr>
            <w:tcW w:w="981" w:type="dxa"/>
            <w:tcBorders>
              <w:top w:val="single" w:sz="6" w:space="0" w:color="auto"/>
              <w:left w:val="single" w:sz="6" w:space="0" w:color="auto"/>
              <w:bottom w:val="single" w:sz="6" w:space="0" w:color="auto"/>
              <w:right w:val="single" w:sz="6" w:space="0" w:color="auto"/>
            </w:tcBorders>
          </w:tcPr>
          <w:p w14:paraId="49342934"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18,2</w:t>
            </w:r>
          </w:p>
        </w:tc>
      </w:tr>
      <w:tr w:rsidR="007B4A6F" w:rsidRPr="003954D9" w14:paraId="1624F2DF" w14:textId="77777777" w:rsidTr="008D47B8">
        <w:trPr>
          <w:trHeight w:val="227"/>
        </w:trPr>
        <w:tc>
          <w:tcPr>
            <w:tcW w:w="739" w:type="dxa"/>
            <w:tcBorders>
              <w:top w:val="single" w:sz="6" w:space="0" w:color="auto"/>
              <w:left w:val="single" w:sz="6" w:space="0" w:color="auto"/>
              <w:bottom w:val="single" w:sz="6" w:space="0" w:color="auto"/>
              <w:right w:val="single" w:sz="6" w:space="0" w:color="auto"/>
            </w:tcBorders>
          </w:tcPr>
          <w:p w14:paraId="17C8FF1F"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w:t>
            </w:r>
          </w:p>
        </w:tc>
        <w:tc>
          <w:tcPr>
            <w:tcW w:w="851" w:type="dxa"/>
            <w:tcBorders>
              <w:top w:val="single" w:sz="6" w:space="0" w:color="auto"/>
              <w:left w:val="single" w:sz="6" w:space="0" w:color="auto"/>
              <w:bottom w:val="single" w:sz="6" w:space="0" w:color="auto"/>
              <w:right w:val="single" w:sz="6" w:space="0" w:color="auto"/>
            </w:tcBorders>
          </w:tcPr>
          <w:p w14:paraId="14F00EEC"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26,5</w:t>
            </w:r>
          </w:p>
        </w:tc>
        <w:tc>
          <w:tcPr>
            <w:tcW w:w="992" w:type="dxa"/>
            <w:tcBorders>
              <w:top w:val="single" w:sz="6" w:space="0" w:color="auto"/>
              <w:left w:val="single" w:sz="6" w:space="0" w:color="auto"/>
              <w:bottom w:val="single" w:sz="6" w:space="0" w:color="auto"/>
              <w:right w:val="single" w:sz="6" w:space="0" w:color="auto"/>
            </w:tcBorders>
          </w:tcPr>
          <w:p w14:paraId="58793239"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30,4</w:t>
            </w:r>
          </w:p>
        </w:tc>
        <w:tc>
          <w:tcPr>
            <w:tcW w:w="850" w:type="dxa"/>
            <w:tcBorders>
              <w:top w:val="single" w:sz="6" w:space="0" w:color="auto"/>
              <w:left w:val="single" w:sz="6" w:space="0" w:color="auto"/>
              <w:bottom w:val="single" w:sz="6" w:space="0" w:color="auto"/>
              <w:right w:val="single" w:sz="6" w:space="0" w:color="auto"/>
            </w:tcBorders>
          </w:tcPr>
          <w:p w14:paraId="3C88A147"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29,7</w:t>
            </w:r>
          </w:p>
        </w:tc>
        <w:tc>
          <w:tcPr>
            <w:tcW w:w="709" w:type="dxa"/>
            <w:tcBorders>
              <w:top w:val="single" w:sz="6" w:space="0" w:color="auto"/>
              <w:left w:val="single" w:sz="6" w:space="0" w:color="auto"/>
              <w:bottom w:val="single" w:sz="6" w:space="0" w:color="auto"/>
              <w:right w:val="single" w:sz="6" w:space="0" w:color="auto"/>
            </w:tcBorders>
          </w:tcPr>
          <w:p w14:paraId="60A00233"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38,4</w:t>
            </w:r>
          </w:p>
        </w:tc>
        <w:tc>
          <w:tcPr>
            <w:tcW w:w="851" w:type="dxa"/>
            <w:tcBorders>
              <w:top w:val="single" w:sz="6" w:space="0" w:color="auto"/>
              <w:left w:val="single" w:sz="6" w:space="0" w:color="auto"/>
              <w:bottom w:val="single" w:sz="6" w:space="0" w:color="auto"/>
              <w:right w:val="single" w:sz="6" w:space="0" w:color="auto"/>
            </w:tcBorders>
          </w:tcPr>
          <w:p w14:paraId="75813D75"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32,6</w:t>
            </w:r>
          </w:p>
        </w:tc>
        <w:tc>
          <w:tcPr>
            <w:tcW w:w="850" w:type="dxa"/>
            <w:tcBorders>
              <w:top w:val="single" w:sz="6" w:space="0" w:color="auto"/>
              <w:left w:val="single" w:sz="6" w:space="0" w:color="auto"/>
              <w:bottom w:val="single" w:sz="6" w:space="0" w:color="auto"/>
              <w:right w:val="single" w:sz="6" w:space="0" w:color="auto"/>
            </w:tcBorders>
          </w:tcPr>
          <w:p w14:paraId="7A1FB706"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30,3</w:t>
            </w:r>
          </w:p>
        </w:tc>
        <w:tc>
          <w:tcPr>
            <w:tcW w:w="851" w:type="dxa"/>
            <w:tcBorders>
              <w:top w:val="single" w:sz="6" w:space="0" w:color="auto"/>
              <w:left w:val="single" w:sz="6" w:space="0" w:color="auto"/>
              <w:bottom w:val="single" w:sz="6" w:space="0" w:color="auto"/>
              <w:right w:val="single" w:sz="6" w:space="0" w:color="auto"/>
            </w:tcBorders>
          </w:tcPr>
          <w:p w14:paraId="2DBD5565"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33,2</w:t>
            </w:r>
          </w:p>
        </w:tc>
        <w:tc>
          <w:tcPr>
            <w:tcW w:w="850" w:type="dxa"/>
            <w:tcBorders>
              <w:top w:val="single" w:sz="6" w:space="0" w:color="auto"/>
              <w:left w:val="single" w:sz="6" w:space="0" w:color="auto"/>
              <w:bottom w:val="single" w:sz="6" w:space="0" w:color="auto"/>
              <w:right w:val="single" w:sz="6" w:space="0" w:color="auto"/>
            </w:tcBorders>
          </w:tcPr>
          <w:p w14:paraId="5381D30A"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28,4</w:t>
            </w:r>
          </w:p>
        </w:tc>
        <w:tc>
          <w:tcPr>
            <w:tcW w:w="851" w:type="dxa"/>
            <w:tcBorders>
              <w:top w:val="single" w:sz="6" w:space="0" w:color="auto"/>
              <w:left w:val="single" w:sz="6" w:space="0" w:color="auto"/>
              <w:bottom w:val="single" w:sz="6" w:space="0" w:color="auto"/>
              <w:right w:val="single" w:sz="6" w:space="0" w:color="auto"/>
            </w:tcBorders>
          </w:tcPr>
          <w:p w14:paraId="368A0E2F"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30,2</w:t>
            </w:r>
          </w:p>
        </w:tc>
        <w:tc>
          <w:tcPr>
            <w:tcW w:w="981" w:type="dxa"/>
            <w:tcBorders>
              <w:top w:val="single" w:sz="6" w:space="0" w:color="auto"/>
              <w:left w:val="single" w:sz="6" w:space="0" w:color="auto"/>
              <w:bottom w:val="single" w:sz="6" w:space="0" w:color="auto"/>
              <w:right w:val="single" w:sz="6" w:space="0" w:color="auto"/>
            </w:tcBorders>
          </w:tcPr>
          <w:p w14:paraId="694EFBF6"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29,2</w:t>
            </w:r>
          </w:p>
        </w:tc>
      </w:tr>
      <w:tr w:rsidR="007B4A6F" w:rsidRPr="003954D9" w14:paraId="3A880AEB" w14:textId="77777777" w:rsidTr="008D47B8">
        <w:trPr>
          <w:trHeight w:val="227"/>
        </w:trPr>
        <w:tc>
          <w:tcPr>
            <w:tcW w:w="739" w:type="dxa"/>
            <w:tcBorders>
              <w:top w:val="single" w:sz="6" w:space="0" w:color="auto"/>
              <w:left w:val="single" w:sz="6" w:space="0" w:color="auto"/>
              <w:bottom w:val="single" w:sz="6" w:space="0" w:color="auto"/>
              <w:right w:val="single" w:sz="6" w:space="0" w:color="auto"/>
            </w:tcBorders>
          </w:tcPr>
          <w:p w14:paraId="22861B12"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rokv</w:t>
            </w:r>
          </w:p>
        </w:tc>
        <w:tc>
          <w:tcPr>
            <w:tcW w:w="851" w:type="dxa"/>
            <w:tcBorders>
              <w:top w:val="single" w:sz="6" w:space="0" w:color="auto"/>
              <w:left w:val="single" w:sz="6" w:space="0" w:color="auto"/>
              <w:bottom w:val="single" w:sz="6" w:space="0" w:color="auto"/>
              <w:right w:val="single" w:sz="6" w:space="0" w:color="auto"/>
            </w:tcBorders>
          </w:tcPr>
          <w:p w14:paraId="0DC95503"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26,0</w:t>
            </w:r>
          </w:p>
        </w:tc>
        <w:tc>
          <w:tcPr>
            <w:tcW w:w="992" w:type="dxa"/>
            <w:tcBorders>
              <w:top w:val="single" w:sz="6" w:space="0" w:color="auto"/>
              <w:left w:val="single" w:sz="6" w:space="0" w:color="auto"/>
              <w:bottom w:val="single" w:sz="6" w:space="0" w:color="auto"/>
              <w:right w:val="single" w:sz="6" w:space="0" w:color="auto"/>
            </w:tcBorders>
          </w:tcPr>
          <w:p w14:paraId="7FCF14E6"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30,9</w:t>
            </w:r>
          </w:p>
        </w:tc>
        <w:tc>
          <w:tcPr>
            <w:tcW w:w="850" w:type="dxa"/>
            <w:tcBorders>
              <w:top w:val="single" w:sz="6" w:space="0" w:color="auto"/>
              <w:left w:val="single" w:sz="6" w:space="0" w:color="auto"/>
              <w:bottom w:val="single" w:sz="6" w:space="0" w:color="auto"/>
              <w:right w:val="single" w:sz="6" w:space="0" w:color="auto"/>
            </w:tcBorders>
          </w:tcPr>
          <w:p w14:paraId="4661C054"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sz w:val="16"/>
                <w:szCs w:val="16"/>
              </w:rPr>
              <w:t>35,8</w:t>
            </w:r>
          </w:p>
        </w:tc>
        <w:tc>
          <w:tcPr>
            <w:tcW w:w="709" w:type="dxa"/>
            <w:tcBorders>
              <w:top w:val="single" w:sz="6" w:space="0" w:color="auto"/>
              <w:left w:val="single" w:sz="6" w:space="0" w:color="auto"/>
              <w:bottom w:val="single" w:sz="6" w:space="0" w:color="auto"/>
              <w:right w:val="single" w:sz="6" w:space="0" w:color="auto"/>
            </w:tcBorders>
          </w:tcPr>
          <w:p w14:paraId="2F1C2B43"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26,2</w:t>
            </w:r>
          </w:p>
        </w:tc>
        <w:tc>
          <w:tcPr>
            <w:tcW w:w="851" w:type="dxa"/>
            <w:tcBorders>
              <w:top w:val="single" w:sz="6" w:space="0" w:color="auto"/>
              <w:left w:val="single" w:sz="6" w:space="0" w:color="auto"/>
              <w:bottom w:val="single" w:sz="6" w:space="0" w:color="auto"/>
              <w:right w:val="single" w:sz="6" w:space="0" w:color="auto"/>
            </w:tcBorders>
          </w:tcPr>
          <w:p w14:paraId="66B46D86"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sz w:val="16"/>
                <w:szCs w:val="16"/>
              </w:rPr>
              <w:t>35,7</w:t>
            </w:r>
          </w:p>
        </w:tc>
        <w:tc>
          <w:tcPr>
            <w:tcW w:w="850" w:type="dxa"/>
            <w:tcBorders>
              <w:top w:val="single" w:sz="6" w:space="0" w:color="auto"/>
              <w:left w:val="single" w:sz="6" w:space="0" w:color="auto"/>
              <w:bottom w:val="single" w:sz="6" w:space="0" w:color="auto"/>
              <w:right w:val="single" w:sz="6" w:space="0" w:color="auto"/>
            </w:tcBorders>
          </w:tcPr>
          <w:p w14:paraId="32DA92C2"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25,0</w:t>
            </w:r>
          </w:p>
        </w:tc>
        <w:tc>
          <w:tcPr>
            <w:tcW w:w="851" w:type="dxa"/>
            <w:tcBorders>
              <w:top w:val="single" w:sz="6" w:space="0" w:color="auto"/>
              <w:left w:val="single" w:sz="6" w:space="0" w:color="auto"/>
              <w:bottom w:val="single" w:sz="6" w:space="0" w:color="auto"/>
              <w:right w:val="single" w:sz="6" w:space="0" w:color="auto"/>
            </w:tcBorders>
          </w:tcPr>
          <w:p w14:paraId="063CF798" w14:textId="77777777" w:rsidR="007B4A6F" w:rsidRPr="003954D9" w:rsidRDefault="007B4A6F">
            <w:pPr>
              <w:autoSpaceDE w:val="0"/>
              <w:autoSpaceDN w:val="0"/>
              <w:adjustRightInd w:val="0"/>
              <w:jc w:val="right"/>
              <w:rPr>
                <w:rFonts w:ascii="Calibri" w:hAnsi="Calibri" w:cs="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6BF330E6"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35,9</w:t>
            </w:r>
          </w:p>
        </w:tc>
        <w:tc>
          <w:tcPr>
            <w:tcW w:w="851" w:type="dxa"/>
            <w:tcBorders>
              <w:top w:val="single" w:sz="6" w:space="0" w:color="auto"/>
              <w:left w:val="single" w:sz="6" w:space="0" w:color="auto"/>
              <w:bottom w:val="single" w:sz="6" w:space="0" w:color="auto"/>
              <w:right w:val="single" w:sz="6" w:space="0" w:color="auto"/>
            </w:tcBorders>
          </w:tcPr>
          <w:p w14:paraId="6BA7C79C"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31,2</w:t>
            </w:r>
          </w:p>
        </w:tc>
        <w:tc>
          <w:tcPr>
            <w:tcW w:w="981" w:type="dxa"/>
            <w:tcBorders>
              <w:top w:val="single" w:sz="6" w:space="0" w:color="auto"/>
              <w:left w:val="single" w:sz="6" w:space="0" w:color="auto"/>
              <w:bottom w:val="single" w:sz="6" w:space="0" w:color="auto"/>
              <w:right w:val="single" w:sz="6" w:space="0" w:color="auto"/>
            </w:tcBorders>
          </w:tcPr>
          <w:p w14:paraId="1EA1A6C8"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24,9</w:t>
            </w:r>
          </w:p>
        </w:tc>
      </w:tr>
      <w:tr w:rsidR="007B4A6F" w:rsidRPr="003954D9" w14:paraId="1AE52A1F" w14:textId="77777777" w:rsidTr="008D47B8">
        <w:trPr>
          <w:trHeight w:val="227"/>
        </w:trPr>
        <w:tc>
          <w:tcPr>
            <w:tcW w:w="739" w:type="dxa"/>
            <w:tcBorders>
              <w:top w:val="single" w:sz="6" w:space="0" w:color="auto"/>
              <w:left w:val="single" w:sz="6" w:space="0" w:color="auto"/>
              <w:bottom w:val="single" w:sz="6" w:space="0" w:color="auto"/>
              <w:right w:val="single" w:sz="6" w:space="0" w:color="auto"/>
            </w:tcBorders>
          </w:tcPr>
          <w:p w14:paraId="10179F0F"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w:t>
            </w:r>
          </w:p>
        </w:tc>
        <w:tc>
          <w:tcPr>
            <w:tcW w:w="851" w:type="dxa"/>
            <w:tcBorders>
              <w:top w:val="single" w:sz="6" w:space="0" w:color="auto"/>
              <w:left w:val="single" w:sz="6" w:space="0" w:color="auto"/>
              <w:bottom w:val="single" w:sz="6" w:space="0" w:color="auto"/>
              <w:right w:val="single" w:sz="6" w:space="0" w:color="auto"/>
            </w:tcBorders>
          </w:tcPr>
          <w:p w14:paraId="753DB313"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30,2</w:t>
            </w:r>
          </w:p>
        </w:tc>
        <w:tc>
          <w:tcPr>
            <w:tcW w:w="992" w:type="dxa"/>
            <w:tcBorders>
              <w:top w:val="single" w:sz="6" w:space="0" w:color="auto"/>
              <w:left w:val="single" w:sz="6" w:space="0" w:color="auto"/>
              <w:bottom w:val="single" w:sz="6" w:space="0" w:color="auto"/>
              <w:right w:val="single" w:sz="6" w:space="0" w:color="auto"/>
            </w:tcBorders>
          </w:tcPr>
          <w:p w14:paraId="5B0BDBAF"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43,7</w:t>
            </w:r>
          </w:p>
        </w:tc>
        <w:tc>
          <w:tcPr>
            <w:tcW w:w="850" w:type="dxa"/>
            <w:tcBorders>
              <w:top w:val="single" w:sz="6" w:space="0" w:color="auto"/>
              <w:left w:val="single" w:sz="6" w:space="0" w:color="auto"/>
              <w:bottom w:val="single" w:sz="6" w:space="0" w:color="auto"/>
              <w:right w:val="single" w:sz="6" w:space="0" w:color="auto"/>
            </w:tcBorders>
          </w:tcPr>
          <w:p w14:paraId="70F7A51C"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37,8</w:t>
            </w:r>
          </w:p>
        </w:tc>
        <w:tc>
          <w:tcPr>
            <w:tcW w:w="709" w:type="dxa"/>
            <w:tcBorders>
              <w:top w:val="single" w:sz="6" w:space="0" w:color="auto"/>
              <w:left w:val="single" w:sz="6" w:space="0" w:color="auto"/>
              <w:bottom w:val="single" w:sz="6" w:space="0" w:color="auto"/>
              <w:right w:val="single" w:sz="6" w:space="0" w:color="auto"/>
            </w:tcBorders>
          </w:tcPr>
          <w:p w14:paraId="67860986"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32,6</w:t>
            </w:r>
          </w:p>
        </w:tc>
        <w:tc>
          <w:tcPr>
            <w:tcW w:w="851" w:type="dxa"/>
            <w:tcBorders>
              <w:top w:val="single" w:sz="6" w:space="0" w:color="auto"/>
              <w:left w:val="single" w:sz="6" w:space="0" w:color="auto"/>
              <w:bottom w:val="single" w:sz="6" w:space="0" w:color="auto"/>
              <w:right w:val="single" w:sz="6" w:space="0" w:color="auto"/>
            </w:tcBorders>
          </w:tcPr>
          <w:p w14:paraId="1C283851"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38,3</w:t>
            </w:r>
          </w:p>
        </w:tc>
        <w:tc>
          <w:tcPr>
            <w:tcW w:w="850" w:type="dxa"/>
            <w:tcBorders>
              <w:top w:val="single" w:sz="6" w:space="0" w:color="auto"/>
              <w:left w:val="single" w:sz="6" w:space="0" w:color="auto"/>
              <w:bottom w:val="single" w:sz="6" w:space="0" w:color="auto"/>
              <w:right w:val="single" w:sz="6" w:space="0" w:color="auto"/>
            </w:tcBorders>
          </w:tcPr>
          <w:p w14:paraId="4E053EB6"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39,1</w:t>
            </w:r>
          </w:p>
        </w:tc>
        <w:tc>
          <w:tcPr>
            <w:tcW w:w="851" w:type="dxa"/>
            <w:tcBorders>
              <w:top w:val="single" w:sz="6" w:space="0" w:color="auto"/>
              <w:left w:val="single" w:sz="6" w:space="0" w:color="auto"/>
              <w:bottom w:val="single" w:sz="6" w:space="0" w:color="auto"/>
              <w:right w:val="single" w:sz="6" w:space="0" w:color="auto"/>
            </w:tcBorders>
          </w:tcPr>
          <w:p w14:paraId="3A43AA4D"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33,3</w:t>
            </w:r>
          </w:p>
        </w:tc>
        <w:tc>
          <w:tcPr>
            <w:tcW w:w="850" w:type="dxa"/>
            <w:tcBorders>
              <w:top w:val="single" w:sz="6" w:space="0" w:color="auto"/>
              <w:left w:val="single" w:sz="6" w:space="0" w:color="auto"/>
              <w:bottom w:val="single" w:sz="6" w:space="0" w:color="auto"/>
              <w:right w:val="single" w:sz="6" w:space="0" w:color="auto"/>
            </w:tcBorders>
          </w:tcPr>
          <w:p w14:paraId="50E9322D"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36,7</w:t>
            </w:r>
          </w:p>
        </w:tc>
        <w:tc>
          <w:tcPr>
            <w:tcW w:w="851" w:type="dxa"/>
            <w:tcBorders>
              <w:top w:val="single" w:sz="6" w:space="0" w:color="auto"/>
              <w:left w:val="single" w:sz="6" w:space="0" w:color="auto"/>
              <w:bottom w:val="single" w:sz="6" w:space="0" w:color="auto"/>
              <w:right w:val="single" w:sz="6" w:space="0" w:color="auto"/>
            </w:tcBorders>
          </w:tcPr>
          <w:p w14:paraId="1D36B8E6"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45,2</w:t>
            </w:r>
          </w:p>
        </w:tc>
        <w:tc>
          <w:tcPr>
            <w:tcW w:w="981" w:type="dxa"/>
            <w:tcBorders>
              <w:top w:val="single" w:sz="6" w:space="0" w:color="auto"/>
              <w:left w:val="single" w:sz="6" w:space="0" w:color="auto"/>
              <w:bottom w:val="single" w:sz="6" w:space="0" w:color="auto"/>
              <w:right w:val="single" w:sz="6" w:space="0" w:color="auto"/>
            </w:tcBorders>
          </w:tcPr>
          <w:p w14:paraId="57600D25"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33,1</w:t>
            </w:r>
          </w:p>
        </w:tc>
      </w:tr>
      <w:tr w:rsidR="007B4A6F" w:rsidRPr="003954D9" w14:paraId="69AEBFAA" w14:textId="77777777" w:rsidTr="008D47B8">
        <w:trPr>
          <w:trHeight w:val="227"/>
        </w:trPr>
        <w:tc>
          <w:tcPr>
            <w:tcW w:w="739" w:type="dxa"/>
            <w:tcBorders>
              <w:top w:val="single" w:sz="6" w:space="0" w:color="auto"/>
              <w:left w:val="single" w:sz="6" w:space="0" w:color="auto"/>
              <w:bottom w:val="single" w:sz="6" w:space="0" w:color="auto"/>
              <w:right w:val="single" w:sz="6" w:space="0" w:color="auto"/>
            </w:tcBorders>
          </w:tcPr>
          <w:p w14:paraId="648DAD65"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3 rok</w:t>
            </w:r>
          </w:p>
        </w:tc>
        <w:tc>
          <w:tcPr>
            <w:tcW w:w="851" w:type="dxa"/>
            <w:tcBorders>
              <w:top w:val="single" w:sz="6" w:space="0" w:color="auto"/>
              <w:left w:val="single" w:sz="6" w:space="0" w:color="auto"/>
              <w:bottom w:val="single" w:sz="6" w:space="0" w:color="auto"/>
              <w:right w:val="single" w:sz="6" w:space="0" w:color="auto"/>
            </w:tcBorders>
          </w:tcPr>
          <w:p w14:paraId="2A41D622"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24,8</w:t>
            </w:r>
          </w:p>
        </w:tc>
        <w:tc>
          <w:tcPr>
            <w:tcW w:w="992" w:type="dxa"/>
            <w:tcBorders>
              <w:top w:val="single" w:sz="6" w:space="0" w:color="auto"/>
              <w:left w:val="single" w:sz="6" w:space="0" w:color="auto"/>
              <w:bottom w:val="single" w:sz="6" w:space="0" w:color="auto"/>
              <w:right w:val="single" w:sz="6" w:space="0" w:color="auto"/>
            </w:tcBorders>
          </w:tcPr>
          <w:p w14:paraId="3AC0930B"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33,1</w:t>
            </w:r>
          </w:p>
        </w:tc>
        <w:tc>
          <w:tcPr>
            <w:tcW w:w="850" w:type="dxa"/>
            <w:tcBorders>
              <w:top w:val="single" w:sz="6" w:space="0" w:color="auto"/>
              <w:left w:val="single" w:sz="6" w:space="0" w:color="auto"/>
              <w:bottom w:val="single" w:sz="6" w:space="0" w:color="auto"/>
              <w:right w:val="single" w:sz="6" w:space="0" w:color="auto"/>
            </w:tcBorders>
          </w:tcPr>
          <w:p w14:paraId="08D5EBC9"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34,3</w:t>
            </w:r>
          </w:p>
        </w:tc>
        <w:tc>
          <w:tcPr>
            <w:tcW w:w="709" w:type="dxa"/>
            <w:tcBorders>
              <w:top w:val="single" w:sz="6" w:space="0" w:color="auto"/>
              <w:left w:val="single" w:sz="6" w:space="0" w:color="auto"/>
              <w:bottom w:val="single" w:sz="6" w:space="0" w:color="auto"/>
              <w:right w:val="single" w:sz="6" w:space="0" w:color="auto"/>
            </w:tcBorders>
          </w:tcPr>
          <w:p w14:paraId="11C328E2"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35,0</w:t>
            </w:r>
          </w:p>
        </w:tc>
        <w:tc>
          <w:tcPr>
            <w:tcW w:w="851" w:type="dxa"/>
            <w:tcBorders>
              <w:top w:val="single" w:sz="6" w:space="0" w:color="auto"/>
              <w:left w:val="single" w:sz="6" w:space="0" w:color="auto"/>
              <w:bottom w:val="single" w:sz="6" w:space="0" w:color="auto"/>
              <w:right w:val="single" w:sz="6" w:space="0" w:color="auto"/>
            </w:tcBorders>
          </w:tcPr>
          <w:p w14:paraId="070415AF"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35,4</w:t>
            </w:r>
          </w:p>
        </w:tc>
        <w:tc>
          <w:tcPr>
            <w:tcW w:w="850" w:type="dxa"/>
            <w:tcBorders>
              <w:top w:val="single" w:sz="6" w:space="0" w:color="auto"/>
              <w:left w:val="single" w:sz="6" w:space="0" w:color="auto"/>
              <w:bottom w:val="single" w:sz="6" w:space="0" w:color="auto"/>
              <w:right w:val="single" w:sz="6" w:space="0" w:color="auto"/>
            </w:tcBorders>
          </w:tcPr>
          <w:p w14:paraId="42C09B2A"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30,5</w:t>
            </w:r>
          </w:p>
        </w:tc>
        <w:tc>
          <w:tcPr>
            <w:tcW w:w="851" w:type="dxa"/>
            <w:tcBorders>
              <w:top w:val="single" w:sz="6" w:space="0" w:color="auto"/>
              <w:left w:val="single" w:sz="6" w:space="0" w:color="auto"/>
              <w:bottom w:val="single" w:sz="6" w:space="0" w:color="auto"/>
              <w:right w:val="single" w:sz="6" w:space="0" w:color="auto"/>
            </w:tcBorders>
          </w:tcPr>
          <w:p w14:paraId="720D63C2"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23,2</w:t>
            </w:r>
          </w:p>
        </w:tc>
        <w:tc>
          <w:tcPr>
            <w:tcW w:w="850" w:type="dxa"/>
            <w:tcBorders>
              <w:top w:val="single" w:sz="6" w:space="0" w:color="auto"/>
              <w:left w:val="single" w:sz="6" w:space="0" w:color="auto"/>
              <w:bottom w:val="single" w:sz="6" w:space="0" w:color="auto"/>
              <w:right w:val="single" w:sz="6" w:space="0" w:color="auto"/>
            </w:tcBorders>
          </w:tcPr>
          <w:p w14:paraId="06B910F3"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34,9</w:t>
            </w:r>
          </w:p>
        </w:tc>
        <w:tc>
          <w:tcPr>
            <w:tcW w:w="851" w:type="dxa"/>
            <w:tcBorders>
              <w:top w:val="single" w:sz="6" w:space="0" w:color="auto"/>
              <w:left w:val="single" w:sz="6" w:space="0" w:color="auto"/>
              <w:bottom w:val="single" w:sz="6" w:space="0" w:color="auto"/>
              <w:right w:val="single" w:sz="6" w:space="0" w:color="auto"/>
            </w:tcBorders>
          </w:tcPr>
          <w:p w14:paraId="04CBFD58"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33,4</w:t>
            </w:r>
          </w:p>
        </w:tc>
        <w:tc>
          <w:tcPr>
            <w:tcW w:w="981" w:type="dxa"/>
            <w:tcBorders>
              <w:top w:val="single" w:sz="6" w:space="0" w:color="auto"/>
              <w:left w:val="single" w:sz="6" w:space="0" w:color="auto"/>
              <w:bottom w:val="single" w:sz="6" w:space="0" w:color="auto"/>
              <w:right w:val="single" w:sz="6" w:space="0" w:color="auto"/>
            </w:tcBorders>
          </w:tcPr>
          <w:p w14:paraId="20C2BBE3"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27,9</w:t>
            </w:r>
          </w:p>
        </w:tc>
      </w:tr>
      <w:tr w:rsidR="007B4A6F" w:rsidRPr="003954D9" w14:paraId="1731E421" w14:textId="77777777" w:rsidTr="008D47B8">
        <w:trPr>
          <w:trHeight w:val="227"/>
        </w:trPr>
        <w:tc>
          <w:tcPr>
            <w:tcW w:w="739" w:type="dxa"/>
            <w:tcBorders>
              <w:top w:val="single" w:sz="6" w:space="0" w:color="auto"/>
              <w:left w:val="single" w:sz="6" w:space="0" w:color="auto"/>
              <w:bottom w:val="single" w:sz="6" w:space="0" w:color="auto"/>
              <w:right w:val="single" w:sz="6" w:space="0" w:color="auto"/>
            </w:tcBorders>
          </w:tcPr>
          <w:p w14:paraId="6FFBD28B"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4 rok</w:t>
            </w:r>
          </w:p>
        </w:tc>
        <w:tc>
          <w:tcPr>
            <w:tcW w:w="851" w:type="dxa"/>
            <w:tcBorders>
              <w:top w:val="single" w:sz="6" w:space="0" w:color="auto"/>
              <w:left w:val="single" w:sz="6" w:space="0" w:color="auto"/>
              <w:bottom w:val="single" w:sz="6" w:space="0" w:color="auto"/>
              <w:right w:val="single" w:sz="6" w:space="0" w:color="auto"/>
            </w:tcBorders>
          </w:tcPr>
          <w:p w14:paraId="2AC90D04"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21,4</w:t>
            </w:r>
          </w:p>
        </w:tc>
        <w:tc>
          <w:tcPr>
            <w:tcW w:w="992" w:type="dxa"/>
            <w:tcBorders>
              <w:top w:val="single" w:sz="6" w:space="0" w:color="auto"/>
              <w:left w:val="single" w:sz="6" w:space="0" w:color="auto"/>
              <w:bottom w:val="single" w:sz="6" w:space="0" w:color="auto"/>
              <w:right w:val="single" w:sz="6" w:space="0" w:color="auto"/>
            </w:tcBorders>
          </w:tcPr>
          <w:p w14:paraId="7E05294B"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30,0</w:t>
            </w:r>
          </w:p>
        </w:tc>
        <w:tc>
          <w:tcPr>
            <w:tcW w:w="850" w:type="dxa"/>
            <w:tcBorders>
              <w:top w:val="single" w:sz="6" w:space="0" w:color="auto"/>
              <w:left w:val="single" w:sz="6" w:space="0" w:color="auto"/>
              <w:bottom w:val="single" w:sz="6" w:space="0" w:color="auto"/>
              <w:right w:val="single" w:sz="6" w:space="0" w:color="auto"/>
            </w:tcBorders>
          </w:tcPr>
          <w:p w14:paraId="270E1018"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709" w:type="dxa"/>
            <w:tcBorders>
              <w:top w:val="single" w:sz="6" w:space="0" w:color="auto"/>
              <w:left w:val="single" w:sz="6" w:space="0" w:color="auto"/>
              <w:bottom w:val="single" w:sz="6" w:space="0" w:color="auto"/>
              <w:right w:val="single" w:sz="6" w:space="0" w:color="auto"/>
            </w:tcBorders>
          </w:tcPr>
          <w:p w14:paraId="618C2748"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25,8</w:t>
            </w:r>
          </w:p>
        </w:tc>
        <w:tc>
          <w:tcPr>
            <w:tcW w:w="851" w:type="dxa"/>
            <w:tcBorders>
              <w:top w:val="single" w:sz="6" w:space="0" w:color="auto"/>
              <w:left w:val="single" w:sz="6" w:space="0" w:color="auto"/>
              <w:bottom w:val="single" w:sz="6" w:space="0" w:color="auto"/>
              <w:right w:val="single" w:sz="6" w:space="0" w:color="auto"/>
            </w:tcBorders>
          </w:tcPr>
          <w:p w14:paraId="58CBE8B2"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33,2</w:t>
            </w:r>
          </w:p>
        </w:tc>
        <w:tc>
          <w:tcPr>
            <w:tcW w:w="850" w:type="dxa"/>
            <w:tcBorders>
              <w:top w:val="single" w:sz="6" w:space="0" w:color="auto"/>
              <w:left w:val="single" w:sz="6" w:space="0" w:color="auto"/>
              <w:bottom w:val="single" w:sz="6" w:space="0" w:color="auto"/>
              <w:right w:val="single" w:sz="6" w:space="0" w:color="auto"/>
            </w:tcBorders>
          </w:tcPr>
          <w:p w14:paraId="21AAD1F4"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851" w:type="dxa"/>
            <w:tcBorders>
              <w:top w:val="single" w:sz="6" w:space="0" w:color="auto"/>
              <w:left w:val="single" w:sz="6" w:space="0" w:color="auto"/>
              <w:bottom w:val="single" w:sz="6" w:space="0" w:color="auto"/>
              <w:right w:val="single" w:sz="6" w:space="0" w:color="auto"/>
            </w:tcBorders>
          </w:tcPr>
          <w:p w14:paraId="31453696"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24,4</w:t>
            </w:r>
          </w:p>
        </w:tc>
        <w:tc>
          <w:tcPr>
            <w:tcW w:w="850" w:type="dxa"/>
            <w:tcBorders>
              <w:top w:val="single" w:sz="6" w:space="0" w:color="auto"/>
              <w:left w:val="single" w:sz="6" w:space="0" w:color="auto"/>
              <w:bottom w:val="single" w:sz="6" w:space="0" w:color="auto"/>
              <w:right w:val="single" w:sz="6" w:space="0" w:color="auto"/>
            </w:tcBorders>
          </w:tcPr>
          <w:p w14:paraId="474BF421"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35,1</w:t>
            </w:r>
          </w:p>
        </w:tc>
        <w:tc>
          <w:tcPr>
            <w:tcW w:w="851" w:type="dxa"/>
            <w:tcBorders>
              <w:top w:val="single" w:sz="6" w:space="0" w:color="auto"/>
              <w:left w:val="single" w:sz="6" w:space="0" w:color="auto"/>
              <w:bottom w:val="single" w:sz="6" w:space="0" w:color="auto"/>
              <w:right w:val="single" w:sz="6" w:space="0" w:color="auto"/>
            </w:tcBorders>
          </w:tcPr>
          <w:p w14:paraId="47E17572"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31,9</w:t>
            </w:r>
          </w:p>
        </w:tc>
        <w:tc>
          <w:tcPr>
            <w:tcW w:w="981" w:type="dxa"/>
            <w:tcBorders>
              <w:top w:val="single" w:sz="6" w:space="0" w:color="auto"/>
              <w:left w:val="single" w:sz="6" w:space="0" w:color="auto"/>
              <w:bottom w:val="single" w:sz="6" w:space="0" w:color="auto"/>
              <w:right w:val="single" w:sz="6" w:space="0" w:color="auto"/>
            </w:tcBorders>
          </w:tcPr>
          <w:p w14:paraId="2F637FFD"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24,5</w:t>
            </w:r>
          </w:p>
        </w:tc>
      </w:tr>
      <w:tr w:rsidR="007B4A6F" w:rsidRPr="003954D9" w14:paraId="5C06B0B7" w14:textId="77777777" w:rsidTr="008D47B8">
        <w:trPr>
          <w:trHeight w:val="227"/>
        </w:trPr>
        <w:tc>
          <w:tcPr>
            <w:tcW w:w="739" w:type="dxa"/>
            <w:tcBorders>
              <w:top w:val="single" w:sz="6" w:space="0" w:color="auto"/>
              <w:left w:val="single" w:sz="6" w:space="0" w:color="auto"/>
              <w:bottom w:val="single" w:sz="6" w:space="0" w:color="auto"/>
              <w:right w:val="single" w:sz="6" w:space="0" w:color="auto"/>
            </w:tcBorders>
          </w:tcPr>
          <w:p w14:paraId="700989F2"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5 - rok</w:t>
            </w:r>
          </w:p>
        </w:tc>
        <w:tc>
          <w:tcPr>
            <w:tcW w:w="851" w:type="dxa"/>
            <w:tcBorders>
              <w:top w:val="single" w:sz="6" w:space="0" w:color="auto"/>
              <w:left w:val="single" w:sz="6" w:space="0" w:color="auto"/>
              <w:bottom w:val="single" w:sz="6" w:space="0" w:color="auto"/>
              <w:right w:val="single" w:sz="6" w:space="0" w:color="auto"/>
            </w:tcBorders>
          </w:tcPr>
          <w:p w14:paraId="38FDFF74" w14:textId="77777777" w:rsidR="007B4A6F" w:rsidRPr="003954D9" w:rsidRDefault="007B4A6F">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19,0</w:t>
            </w:r>
          </w:p>
        </w:tc>
        <w:tc>
          <w:tcPr>
            <w:tcW w:w="992" w:type="dxa"/>
            <w:tcBorders>
              <w:top w:val="single" w:sz="6" w:space="0" w:color="auto"/>
              <w:left w:val="single" w:sz="6" w:space="0" w:color="auto"/>
              <w:bottom w:val="single" w:sz="6" w:space="0" w:color="auto"/>
              <w:right w:val="single" w:sz="6" w:space="0" w:color="auto"/>
            </w:tcBorders>
          </w:tcPr>
          <w:p w14:paraId="033DC668"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35,0</w:t>
            </w:r>
          </w:p>
        </w:tc>
        <w:tc>
          <w:tcPr>
            <w:tcW w:w="850" w:type="dxa"/>
            <w:tcBorders>
              <w:top w:val="single" w:sz="6" w:space="0" w:color="auto"/>
              <w:left w:val="single" w:sz="6" w:space="0" w:color="auto"/>
              <w:bottom w:val="single" w:sz="6" w:space="0" w:color="auto"/>
              <w:right w:val="single" w:sz="6" w:space="0" w:color="auto"/>
            </w:tcBorders>
          </w:tcPr>
          <w:p w14:paraId="73F13F45"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36,6</w:t>
            </w:r>
          </w:p>
        </w:tc>
        <w:tc>
          <w:tcPr>
            <w:tcW w:w="709" w:type="dxa"/>
            <w:tcBorders>
              <w:top w:val="single" w:sz="6" w:space="0" w:color="auto"/>
              <w:left w:val="single" w:sz="6" w:space="0" w:color="auto"/>
              <w:bottom w:val="single" w:sz="6" w:space="0" w:color="auto"/>
              <w:right w:val="single" w:sz="6" w:space="0" w:color="auto"/>
            </w:tcBorders>
          </w:tcPr>
          <w:p w14:paraId="091542D1"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22,9</w:t>
            </w:r>
          </w:p>
        </w:tc>
        <w:tc>
          <w:tcPr>
            <w:tcW w:w="851" w:type="dxa"/>
            <w:tcBorders>
              <w:top w:val="single" w:sz="6" w:space="0" w:color="auto"/>
              <w:left w:val="single" w:sz="6" w:space="0" w:color="auto"/>
              <w:bottom w:val="single" w:sz="6" w:space="0" w:color="auto"/>
              <w:right w:val="single" w:sz="6" w:space="0" w:color="auto"/>
            </w:tcBorders>
          </w:tcPr>
          <w:p w14:paraId="0FB10300"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40,1</w:t>
            </w:r>
          </w:p>
        </w:tc>
        <w:tc>
          <w:tcPr>
            <w:tcW w:w="850" w:type="dxa"/>
            <w:tcBorders>
              <w:top w:val="single" w:sz="6" w:space="0" w:color="auto"/>
              <w:left w:val="single" w:sz="6" w:space="0" w:color="auto"/>
              <w:bottom w:val="single" w:sz="6" w:space="0" w:color="auto"/>
              <w:right w:val="single" w:sz="6" w:space="0" w:color="auto"/>
            </w:tcBorders>
          </w:tcPr>
          <w:p w14:paraId="14CCDDE3" w14:textId="77777777" w:rsidR="007B4A6F" w:rsidRPr="003954D9" w:rsidRDefault="007B4A6F">
            <w:pPr>
              <w:autoSpaceDE w:val="0"/>
              <w:autoSpaceDN w:val="0"/>
              <w:adjustRightInd w:val="0"/>
              <w:jc w:val="right"/>
              <w:rPr>
                <w:rFonts w:ascii="Calibri" w:hAnsi="Calibri" w:cs="Calibri"/>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1268FA80"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21,7</w:t>
            </w:r>
          </w:p>
        </w:tc>
        <w:tc>
          <w:tcPr>
            <w:tcW w:w="850" w:type="dxa"/>
            <w:tcBorders>
              <w:top w:val="single" w:sz="6" w:space="0" w:color="auto"/>
              <w:left w:val="single" w:sz="6" w:space="0" w:color="auto"/>
              <w:bottom w:val="single" w:sz="6" w:space="0" w:color="auto"/>
              <w:right w:val="single" w:sz="6" w:space="0" w:color="auto"/>
            </w:tcBorders>
          </w:tcPr>
          <w:p w14:paraId="605EBA58"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sz w:val="16"/>
                <w:szCs w:val="16"/>
              </w:rPr>
              <w:t>37,5</w:t>
            </w:r>
          </w:p>
        </w:tc>
        <w:tc>
          <w:tcPr>
            <w:tcW w:w="851" w:type="dxa"/>
            <w:tcBorders>
              <w:top w:val="single" w:sz="6" w:space="0" w:color="auto"/>
              <w:left w:val="single" w:sz="6" w:space="0" w:color="auto"/>
              <w:bottom w:val="single" w:sz="6" w:space="0" w:color="auto"/>
              <w:right w:val="single" w:sz="6" w:space="0" w:color="auto"/>
            </w:tcBorders>
          </w:tcPr>
          <w:p w14:paraId="2D1FA480" w14:textId="77777777" w:rsidR="007B4A6F" w:rsidRPr="003954D9" w:rsidRDefault="007B4A6F">
            <w:pPr>
              <w:autoSpaceDE w:val="0"/>
              <w:autoSpaceDN w:val="0"/>
              <w:adjustRightInd w:val="0"/>
              <w:jc w:val="right"/>
              <w:rPr>
                <w:rFonts w:ascii="Calibri" w:hAnsi="Calibri" w:cs="Calibri"/>
                <w:color w:val="000000"/>
                <w:sz w:val="16"/>
                <w:szCs w:val="16"/>
              </w:rPr>
            </w:pPr>
          </w:p>
        </w:tc>
        <w:tc>
          <w:tcPr>
            <w:tcW w:w="981" w:type="dxa"/>
            <w:tcBorders>
              <w:top w:val="single" w:sz="6" w:space="0" w:color="auto"/>
              <w:left w:val="single" w:sz="6" w:space="0" w:color="auto"/>
              <w:bottom w:val="single" w:sz="6" w:space="0" w:color="auto"/>
              <w:right w:val="single" w:sz="6" w:space="0" w:color="auto"/>
            </w:tcBorders>
          </w:tcPr>
          <w:p w14:paraId="31F696DF"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20,5</w:t>
            </w:r>
          </w:p>
        </w:tc>
      </w:tr>
      <w:tr w:rsidR="007B4A6F" w:rsidRPr="003954D9" w14:paraId="03312EF4" w14:textId="77777777" w:rsidTr="008D47B8">
        <w:trPr>
          <w:trHeight w:val="227"/>
        </w:trPr>
        <w:tc>
          <w:tcPr>
            <w:tcW w:w="739" w:type="dxa"/>
            <w:tcBorders>
              <w:top w:val="single" w:sz="6" w:space="0" w:color="auto"/>
              <w:left w:val="single" w:sz="6" w:space="0" w:color="auto"/>
              <w:bottom w:val="single" w:sz="6" w:space="0" w:color="auto"/>
              <w:right w:val="single" w:sz="6" w:space="0" w:color="auto"/>
            </w:tcBorders>
          </w:tcPr>
          <w:p w14:paraId="07B6562B" w14:textId="77777777" w:rsidR="007B4A6F" w:rsidRPr="003954D9" w:rsidRDefault="007B4A6F">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Alla</w:t>
            </w:r>
          </w:p>
        </w:tc>
        <w:tc>
          <w:tcPr>
            <w:tcW w:w="851" w:type="dxa"/>
            <w:tcBorders>
              <w:top w:val="single" w:sz="6" w:space="0" w:color="auto"/>
              <w:left w:val="single" w:sz="6" w:space="0" w:color="auto"/>
              <w:bottom w:val="single" w:sz="6" w:space="0" w:color="auto"/>
              <w:right w:val="single" w:sz="6" w:space="0" w:color="auto"/>
            </w:tcBorders>
          </w:tcPr>
          <w:p w14:paraId="7914627F"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24,7</w:t>
            </w:r>
          </w:p>
        </w:tc>
        <w:tc>
          <w:tcPr>
            <w:tcW w:w="992" w:type="dxa"/>
            <w:tcBorders>
              <w:top w:val="single" w:sz="6" w:space="0" w:color="auto"/>
              <w:left w:val="single" w:sz="6" w:space="0" w:color="auto"/>
              <w:bottom w:val="single" w:sz="6" w:space="0" w:color="auto"/>
              <w:right w:val="single" w:sz="6" w:space="0" w:color="auto"/>
            </w:tcBorders>
          </w:tcPr>
          <w:p w14:paraId="1E1388CA"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33,6</w:t>
            </w:r>
          </w:p>
        </w:tc>
        <w:tc>
          <w:tcPr>
            <w:tcW w:w="850" w:type="dxa"/>
            <w:tcBorders>
              <w:top w:val="single" w:sz="6" w:space="0" w:color="auto"/>
              <w:left w:val="single" w:sz="6" w:space="0" w:color="auto"/>
              <w:bottom w:val="single" w:sz="6" w:space="0" w:color="auto"/>
              <w:right w:val="single" w:sz="6" w:space="0" w:color="auto"/>
            </w:tcBorders>
          </w:tcPr>
          <w:p w14:paraId="6E738186"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34,0</w:t>
            </w:r>
          </w:p>
        </w:tc>
        <w:tc>
          <w:tcPr>
            <w:tcW w:w="709" w:type="dxa"/>
            <w:tcBorders>
              <w:top w:val="single" w:sz="6" w:space="0" w:color="auto"/>
              <w:left w:val="single" w:sz="6" w:space="0" w:color="auto"/>
              <w:bottom w:val="single" w:sz="6" w:space="0" w:color="auto"/>
              <w:right w:val="single" w:sz="6" w:space="0" w:color="auto"/>
            </w:tcBorders>
          </w:tcPr>
          <w:p w14:paraId="603CF135"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26,5</w:t>
            </w:r>
          </w:p>
        </w:tc>
        <w:tc>
          <w:tcPr>
            <w:tcW w:w="851" w:type="dxa"/>
            <w:tcBorders>
              <w:top w:val="single" w:sz="6" w:space="0" w:color="auto"/>
              <w:left w:val="single" w:sz="6" w:space="0" w:color="auto"/>
              <w:bottom w:val="single" w:sz="6" w:space="0" w:color="auto"/>
              <w:right w:val="single" w:sz="6" w:space="0" w:color="auto"/>
            </w:tcBorders>
          </w:tcPr>
          <w:p w14:paraId="1CFE5E17"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35,7</w:t>
            </w:r>
          </w:p>
        </w:tc>
        <w:tc>
          <w:tcPr>
            <w:tcW w:w="850" w:type="dxa"/>
            <w:tcBorders>
              <w:top w:val="single" w:sz="6" w:space="0" w:color="auto"/>
              <w:left w:val="single" w:sz="6" w:space="0" w:color="auto"/>
              <w:bottom w:val="single" w:sz="6" w:space="0" w:color="auto"/>
              <w:right w:val="single" w:sz="6" w:space="0" w:color="auto"/>
            </w:tcBorders>
          </w:tcPr>
          <w:p w14:paraId="656C580B"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29,3</w:t>
            </w:r>
          </w:p>
        </w:tc>
        <w:tc>
          <w:tcPr>
            <w:tcW w:w="851" w:type="dxa"/>
            <w:tcBorders>
              <w:top w:val="single" w:sz="6" w:space="0" w:color="auto"/>
              <w:left w:val="single" w:sz="6" w:space="0" w:color="auto"/>
              <w:bottom w:val="single" w:sz="6" w:space="0" w:color="auto"/>
              <w:right w:val="single" w:sz="6" w:space="0" w:color="auto"/>
            </w:tcBorders>
          </w:tcPr>
          <w:p w14:paraId="087A86F9"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26,3</w:t>
            </w:r>
          </w:p>
        </w:tc>
        <w:tc>
          <w:tcPr>
            <w:tcW w:w="850" w:type="dxa"/>
            <w:tcBorders>
              <w:top w:val="single" w:sz="6" w:space="0" w:color="auto"/>
              <w:left w:val="single" w:sz="6" w:space="0" w:color="auto"/>
              <w:bottom w:val="single" w:sz="6" w:space="0" w:color="auto"/>
              <w:right w:val="single" w:sz="6" w:space="0" w:color="auto"/>
            </w:tcBorders>
          </w:tcPr>
          <w:p w14:paraId="5F98C44A"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33,8</w:t>
            </w:r>
          </w:p>
        </w:tc>
        <w:tc>
          <w:tcPr>
            <w:tcW w:w="851" w:type="dxa"/>
            <w:tcBorders>
              <w:top w:val="single" w:sz="6" w:space="0" w:color="auto"/>
              <w:left w:val="single" w:sz="6" w:space="0" w:color="auto"/>
              <w:bottom w:val="single" w:sz="6" w:space="0" w:color="auto"/>
              <w:right w:val="single" w:sz="6" w:space="0" w:color="auto"/>
            </w:tcBorders>
          </w:tcPr>
          <w:p w14:paraId="02AF2FD1" w14:textId="77777777" w:rsidR="007B4A6F" w:rsidRPr="003954D9" w:rsidRDefault="007B4A6F">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36,3</w:t>
            </w:r>
          </w:p>
        </w:tc>
        <w:tc>
          <w:tcPr>
            <w:tcW w:w="981" w:type="dxa"/>
            <w:tcBorders>
              <w:top w:val="single" w:sz="6" w:space="0" w:color="auto"/>
              <w:left w:val="single" w:sz="6" w:space="0" w:color="auto"/>
              <w:bottom w:val="single" w:sz="6" w:space="0" w:color="auto"/>
              <w:right w:val="single" w:sz="6" w:space="0" w:color="auto"/>
            </w:tcBorders>
          </w:tcPr>
          <w:p w14:paraId="15CA0BBE" w14:textId="77777777" w:rsidR="007B4A6F" w:rsidRPr="003954D9" w:rsidRDefault="007B4A6F">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27,7</w:t>
            </w:r>
          </w:p>
        </w:tc>
      </w:tr>
    </w:tbl>
    <w:p w14:paraId="6A7F12E1" w14:textId="3AB3D8C6" w:rsidR="001F244E" w:rsidRPr="003954D9" w:rsidRDefault="001F244E" w:rsidP="001F244E">
      <w:pPr>
        <w:rPr>
          <w:sz w:val="16"/>
          <w:szCs w:val="16"/>
        </w:rPr>
      </w:pPr>
      <w:r w:rsidRPr="004F7B81">
        <w:rPr>
          <w:b/>
          <w:color w:val="FF0000"/>
          <w:sz w:val="16"/>
          <w:szCs w:val="16"/>
        </w:rPr>
        <w:t>Röd färg högsta</w:t>
      </w:r>
      <w:r w:rsidRPr="004F7B81">
        <w:rPr>
          <w:color w:val="FF0000"/>
          <w:sz w:val="16"/>
          <w:szCs w:val="16"/>
        </w:rPr>
        <w:t xml:space="preserve"> </w:t>
      </w:r>
      <w:r w:rsidRPr="003954D9">
        <w:rPr>
          <w:sz w:val="16"/>
          <w:szCs w:val="16"/>
        </w:rPr>
        <w:t xml:space="preserve">och </w:t>
      </w:r>
      <w:r w:rsidRPr="004F7B81">
        <w:rPr>
          <w:b/>
          <w:color w:val="0070C0"/>
          <w:sz w:val="16"/>
          <w:szCs w:val="16"/>
        </w:rPr>
        <w:t>blå färg lägsta</w:t>
      </w:r>
      <w:r w:rsidRPr="004F7B81">
        <w:rPr>
          <w:color w:val="0070C0"/>
          <w:sz w:val="16"/>
          <w:szCs w:val="16"/>
        </w:rPr>
        <w:t xml:space="preserve"> </w:t>
      </w:r>
      <w:r w:rsidRPr="003954D9">
        <w:rPr>
          <w:sz w:val="16"/>
          <w:szCs w:val="16"/>
        </w:rPr>
        <w:t>värde i grupp.</w:t>
      </w:r>
    </w:p>
    <w:p w14:paraId="208FFD06" w14:textId="2F4CAB36" w:rsidR="008D47B8" w:rsidRPr="003954D9" w:rsidRDefault="008D47B8" w:rsidP="001F244E">
      <w:pPr>
        <w:rPr>
          <w:sz w:val="16"/>
          <w:szCs w:val="16"/>
        </w:rPr>
      </w:pPr>
    </w:p>
    <w:p w14:paraId="407E0DEF" w14:textId="3EE960AB" w:rsidR="0056032A" w:rsidRPr="003954D9" w:rsidRDefault="0056032A" w:rsidP="0056032A">
      <w:pPr>
        <w:pStyle w:val="Rubrik3"/>
      </w:pPr>
      <w:bookmarkStart w:id="151" w:name="_Toc464828429"/>
      <w:r w:rsidRPr="003954D9">
        <w:t>Högsta antalet boende per lägenhet</w:t>
      </w:r>
      <w:bookmarkEnd w:id="151"/>
    </w:p>
    <w:p w14:paraId="2B51163A" w14:textId="58D534D1" w:rsidR="008D47B8" w:rsidRPr="003954D9" w:rsidRDefault="0056032A" w:rsidP="008D47B8">
      <w:r w:rsidRPr="003954D9">
        <w:t>Det högsta antalet boende per lägenhet återfinns i</w:t>
      </w:r>
      <w:r w:rsidR="008D47B8" w:rsidRPr="003954D9">
        <w:t xml:space="preserve"> alla lägenhetstyper utom en i Angered. </w:t>
      </w:r>
      <w:r w:rsidRPr="003954D9">
        <w:t xml:space="preserve"> Undantaget återfinns i Östra Göteborg (2 rokv). Siffrorna skiljer sig dock mycket lite. Angered har också totalt sett det högsta antalet boende per lägenhet (”Alla” i tabellen). </w:t>
      </w:r>
      <w:r w:rsidR="008D47B8" w:rsidRPr="003954D9">
        <w:t xml:space="preserve">Det lägsta antalet boende i de olika lägenhetstyperna varierar </w:t>
      </w:r>
      <w:r w:rsidR="005E22D9" w:rsidRPr="003954D9">
        <w:t>mellan stadsdelar</w:t>
      </w:r>
      <w:r w:rsidR="00511CCB" w:rsidRPr="003954D9">
        <w:t>na</w:t>
      </w:r>
      <w:r w:rsidR="005E22D9" w:rsidRPr="003954D9">
        <w:t xml:space="preserve">. Totalt har dock </w:t>
      </w:r>
      <w:r w:rsidRPr="003954D9">
        <w:t>boen</w:t>
      </w:r>
      <w:r w:rsidR="005E22D9" w:rsidRPr="003954D9">
        <w:t>de i Centrum det lägsta antalet perso</w:t>
      </w:r>
      <w:r w:rsidR="004F7B81">
        <w:t>ner per lägenhet. Se tabell 6:4.</w:t>
      </w:r>
    </w:p>
    <w:p w14:paraId="51B44273" w14:textId="733D9E3C" w:rsidR="008D47B8" w:rsidRPr="003954D9" w:rsidRDefault="008D47B8" w:rsidP="008D47B8">
      <w:pPr>
        <w:pStyle w:val="Rubrik5"/>
      </w:pPr>
      <w:r w:rsidRPr="003954D9">
        <w:t>Tabell 6:4: Lägenhetstyp, antal boende per lägenhet och stadsdel</w:t>
      </w:r>
    </w:p>
    <w:tbl>
      <w:tblPr>
        <w:tblW w:w="0" w:type="auto"/>
        <w:tblInd w:w="-38" w:type="dxa"/>
        <w:tblLayout w:type="fixed"/>
        <w:tblLook w:val="0000" w:firstRow="0" w:lastRow="0" w:firstColumn="0" w:lastColumn="0" w:noHBand="0" w:noVBand="0"/>
      </w:tblPr>
      <w:tblGrid>
        <w:gridCol w:w="881"/>
        <w:gridCol w:w="800"/>
        <w:gridCol w:w="901"/>
        <w:gridCol w:w="850"/>
        <w:gridCol w:w="709"/>
        <w:gridCol w:w="851"/>
        <w:gridCol w:w="850"/>
        <w:gridCol w:w="851"/>
        <w:gridCol w:w="850"/>
        <w:gridCol w:w="851"/>
        <w:gridCol w:w="992"/>
      </w:tblGrid>
      <w:tr w:rsidR="008D47B8" w:rsidRPr="003954D9" w14:paraId="76273CF2" w14:textId="77777777" w:rsidTr="008D47B8">
        <w:trPr>
          <w:trHeight w:val="227"/>
        </w:trPr>
        <w:tc>
          <w:tcPr>
            <w:tcW w:w="881" w:type="dxa"/>
            <w:tcBorders>
              <w:top w:val="single" w:sz="6" w:space="0" w:color="auto"/>
              <w:left w:val="single" w:sz="6" w:space="0" w:color="auto"/>
              <w:bottom w:val="single" w:sz="6" w:space="0" w:color="auto"/>
              <w:right w:val="single" w:sz="6" w:space="0" w:color="auto"/>
            </w:tcBorders>
          </w:tcPr>
          <w:p w14:paraId="3F2E372E" w14:textId="740E043C" w:rsidR="00515BC5" w:rsidRPr="003954D9" w:rsidRDefault="008D47B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w:t>
            </w:r>
            <w:proofErr w:type="spellStart"/>
            <w:r w:rsidRPr="003954D9">
              <w:rPr>
                <w:rFonts w:ascii="Calibri" w:hAnsi="Calibri" w:cs="Calibri"/>
                <w:b/>
                <w:bCs/>
                <w:color w:val="000000"/>
                <w:sz w:val="16"/>
                <w:szCs w:val="16"/>
              </w:rPr>
              <w:t>hetstyp</w:t>
            </w:r>
            <w:proofErr w:type="spellEnd"/>
          </w:p>
        </w:tc>
        <w:tc>
          <w:tcPr>
            <w:tcW w:w="800" w:type="dxa"/>
            <w:tcBorders>
              <w:top w:val="single" w:sz="6" w:space="0" w:color="auto"/>
              <w:left w:val="single" w:sz="6" w:space="0" w:color="auto"/>
              <w:bottom w:val="single" w:sz="6" w:space="0" w:color="auto"/>
              <w:right w:val="single" w:sz="6" w:space="0" w:color="auto"/>
            </w:tcBorders>
          </w:tcPr>
          <w:p w14:paraId="6B07B161"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01" w:type="dxa"/>
            <w:tcBorders>
              <w:top w:val="single" w:sz="6" w:space="0" w:color="auto"/>
              <w:left w:val="single" w:sz="6" w:space="0" w:color="auto"/>
              <w:bottom w:val="single" w:sz="6" w:space="0" w:color="auto"/>
              <w:right w:val="single" w:sz="6" w:space="0" w:color="auto"/>
            </w:tcBorders>
          </w:tcPr>
          <w:p w14:paraId="212CD5FE"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50" w:type="dxa"/>
            <w:tcBorders>
              <w:top w:val="single" w:sz="6" w:space="0" w:color="auto"/>
              <w:left w:val="single" w:sz="6" w:space="0" w:color="auto"/>
              <w:bottom w:val="single" w:sz="6" w:space="0" w:color="auto"/>
              <w:right w:val="single" w:sz="6" w:space="0" w:color="auto"/>
            </w:tcBorders>
          </w:tcPr>
          <w:p w14:paraId="501A3F93"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9" w:type="dxa"/>
            <w:tcBorders>
              <w:top w:val="single" w:sz="6" w:space="0" w:color="auto"/>
              <w:left w:val="single" w:sz="6" w:space="0" w:color="auto"/>
              <w:bottom w:val="single" w:sz="6" w:space="0" w:color="auto"/>
              <w:right w:val="single" w:sz="6" w:space="0" w:color="auto"/>
            </w:tcBorders>
          </w:tcPr>
          <w:p w14:paraId="1A05BD20"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51" w:type="dxa"/>
            <w:tcBorders>
              <w:top w:val="single" w:sz="6" w:space="0" w:color="auto"/>
              <w:left w:val="single" w:sz="6" w:space="0" w:color="auto"/>
              <w:bottom w:val="single" w:sz="6" w:space="0" w:color="auto"/>
              <w:right w:val="single" w:sz="6" w:space="0" w:color="auto"/>
            </w:tcBorders>
          </w:tcPr>
          <w:p w14:paraId="69353C7B"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850" w:type="dxa"/>
            <w:tcBorders>
              <w:top w:val="single" w:sz="6" w:space="0" w:color="auto"/>
              <w:left w:val="single" w:sz="6" w:space="0" w:color="auto"/>
              <w:bottom w:val="single" w:sz="6" w:space="0" w:color="auto"/>
              <w:right w:val="single" w:sz="6" w:space="0" w:color="auto"/>
            </w:tcBorders>
          </w:tcPr>
          <w:p w14:paraId="3A5E1BF1"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51" w:type="dxa"/>
            <w:tcBorders>
              <w:top w:val="single" w:sz="6" w:space="0" w:color="auto"/>
              <w:left w:val="single" w:sz="6" w:space="0" w:color="auto"/>
              <w:bottom w:val="single" w:sz="6" w:space="0" w:color="auto"/>
              <w:right w:val="single" w:sz="6" w:space="0" w:color="auto"/>
            </w:tcBorders>
          </w:tcPr>
          <w:p w14:paraId="4762BD8C"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50" w:type="dxa"/>
            <w:tcBorders>
              <w:top w:val="single" w:sz="6" w:space="0" w:color="auto"/>
              <w:left w:val="single" w:sz="6" w:space="0" w:color="auto"/>
              <w:bottom w:val="single" w:sz="6" w:space="0" w:color="auto"/>
              <w:right w:val="single" w:sz="6" w:space="0" w:color="auto"/>
            </w:tcBorders>
          </w:tcPr>
          <w:p w14:paraId="320E8B43"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7301564A"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92" w:type="dxa"/>
            <w:tcBorders>
              <w:top w:val="single" w:sz="6" w:space="0" w:color="auto"/>
              <w:left w:val="single" w:sz="6" w:space="0" w:color="auto"/>
              <w:bottom w:val="single" w:sz="6" w:space="0" w:color="auto"/>
              <w:right w:val="single" w:sz="6" w:space="0" w:color="auto"/>
            </w:tcBorders>
          </w:tcPr>
          <w:p w14:paraId="155843A1"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8D47B8" w:rsidRPr="003954D9" w14:paraId="15954221" w14:textId="77777777" w:rsidTr="008D47B8">
        <w:trPr>
          <w:trHeight w:val="227"/>
        </w:trPr>
        <w:tc>
          <w:tcPr>
            <w:tcW w:w="881" w:type="dxa"/>
            <w:tcBorders>
              <w:top w:val="single" w:sz="6" w:space="0" w:color="auto"/>
              <w:left w:val="single" w:sz="6" w:space="0" w:color="auto"/>
              <w:bottom w:val="single" w:sz="6" w:space="0" w:color="auto"/>
              <w:right w:val="single" w:sz="6" w:space="0" w:color="auto"/>
            </w:tcBorders>
          </w:tcPr>
          <w:p w14:paraId="5A59F85D"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rokv</w:t>
            </w:r>
          </w:p>
        </w:tc>
        <w:tc>
          <w:tcPr>
            <w:tcW w:w="800" w:type="dxa"/>
            <w:tcBorders>
              <w:top w:val="single" w:sz="6" w:space="0" w:color="auto"/>
              <w:left w:val="single" w:sz="6" w:space="0" w:color="auto"/>
              <w:bottom w:val="single" w:sz="6" w:space="0" w:color="auto"/>
              <w:right w:val="single" w:sz="6" w:space="0" w:color="auto"/>
            </w:tcBorders>
          </w:tcPr>
          <w:p w14:paraId="4899E9B7" w14:textId="77777777" w:rsidR="00515BC5" w:rsidRPr="003954D9" w:rsidRDefault="00515BC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1,69</w:t>
            </w:r>
          </w:p>
        </w:tc>
        <w:tc>
          <w:tcPr>
            <w:tcW w:w="901" w:type="dxa"/>
            <w:tcBorders>
              <w:top w:val="single" w:sz="6" w:space="0" w:color="auto"/>
              <w:left w:val="single" w:sz="6" w:space="0" w:color="auto"/>
              <w:bottom w:val="single" w:sz="6" w:space="0" w:color="auto"/>
              <w:right w:val="single" w:sz="6" w:space="0" w:color="auto"/>
            </w:tcBorders>
          </w:tcPr>
          <w:p w14:paraId="53A7FAD4"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850" w:type="dxa"/>
            <w:tcBorders>
              <w:top w:val="single" w:sz="6" w:space="0" w:color="auto"/>
              <w:left w:val="single" w:sz="6" w:space="0" w:color="auto"/>
              <w:bottom w:val="single" w:sz="6" w:space="0" w:color="auto"/>
              <w:right w:val="single" w:sz="6" w:space="0" w:color="auto"/>
            </w:tcBorders>
          </w:tcPr>
          <w:p w14:paraId="6E4E7FB0"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1,19</w:t>
            </w:r>
          </w:p>
        </w:tc>
        <w:tc>
          <w:tcPr>
            <w:tcW w:w="709" w:type="dxa"/>
            <w:tcBorders>
              <w:top w:val="single" w:sz="6" w:space="0" w:color="auto"/>
              <w:left w:val="single" w:sz="6" w:space="0" w:color="auto"/>
              <w:bottom w:val="single" w:sz="6" w:space="0" w:color="auto"/>
              <w:right w:val="single" w:sz="6" w:space="0" w:color="auto"/>
            </w:tcBorders>
          </w:tcPr>
          <w:p w14:paraId="5485799F"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1,33</w:t>
            </w:r>
          </w:p>
        </w:tc>
        <w:tc>
          <w:tcPr>
            <w:tcW w:w="851" w:type="dxa"/>
            <w:tcBorders>
              <w:top w:val="single" w:sz="6" w:space="0" w:color="auto"/>
              <w:left w:val="single" w:sz="6" w:space="0" w:color="auto"/>
              <w:bottom w:val="single" w:sz="6" w:space="0" w:color="auto"/>
              <w:right w:val="single" w:sz="6" w:space="0" w:color="auto"/>
            </w:tcBorders>
          </w:tcPr>
          <w:p w14:paraId="1F97BE2D"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850" w:type="dxa"/>
            <w:tcBorders>
              <w:top w:val="single" w:sz="6" w:space="0" w:color="auto"/>
              <w:left w:val="single" w:sz="6" w:space="0" w:color="auto"/>
              <w:bottom w:val="single" w:sz="6" w:space="0" w:color="auto"/>
              <w:right w:val="single" w:sz="6" w:space="0" w:color="auto"/>
            </w:tcBorders>
          </w:tcPr>
          <w:p w14:paraId="1B679007"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c>
          <w:tcPr>
            <w:tcW w:w="851" w:type="dxa"/>
            <w:tcBorders>
              <w:top w:val="single" w:sz="6" w:space="0" w:color="auto"/>
              <w:left w:val="single" w:sz="6" w:space="0" w:color="auto"/>
              <w:bottom w:val="single" w:sz="6" w:space="0" w:color="auto"/>
              <w:right w:val="single" w:sz="6" w:space="0" w:color="auto"/>
            </w:tcBorders>
          </w:tcPr>
          <w:p w14:paraId="6F0D218D"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1,28</w:t>
            </w:r>
          </w:p>
        </w:tc>
        <w:tc>
          <w:tcPr>
            <w:tcW w:w="850" w:type="dxa"/>
            <w:tcBorders>
              <w:top w:val="single" w:sz="6" w:space="0" w:color="auto"/>
              <w:left w:val="single" w:sz="6" w:space="0" w:color="auto"/>
              <w:bottom w:val="single" w:sz="6" w:space="0" w:color="auto"/>
              <w:right w:val="single" w:sz="6" w:space="0" w:color="auto"/>
            </w:tcBorders>
          </w:tcPr>
          <w:p w14:paraId="65CD0339"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1,32</w:t>
            </w:r>
          </w:p>
        </w:tc>
        <w:tc>
          <w:tcPr>
            <w:tcW w:w="851" w:type="dxa"/>
            <w:tcBorders>
              <w:top w:val="single" w:sz="6" w:space="0" w:color="auto"/>
              <w:left w:val="single" w:sz="6" w:space="0" w:color="auto"/>
              <w:bottom w:val="single" w:sz="6" w:space="0" w:color="auto"/>
              <w:right w:val="single" w:sz="6" w:space="0" w:color="auto"/>
            </w:tcBorders>
          </w:tcPr>
          <w:p w14:paraId="05019C38" w14:textId="77777777" w:rsidR="00515BC5" w:rsidRPr="003954D9" w:rsidRDefault="00515BC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1,05</w:t>
            </w:r>
          </w:p>
        </w:tc>
        <w:tc>
          <w:tcPr>
            <w:tcW w:w="992" w:type="dxa"/>
            <w:tcBorders>
              <w:top w:val="single" w:sz="6" w:space="0" w:color="auto"/>
              <w:left w:val="single" w:sz="6" w:space="0" w:color="auto"/>
              <w:bottom w:val="single" w:sz="6" w:space="0" w:color="auto"/>
              <w:right w:val="single" w:sz="6" w:space="0" w:color="auto"/>
            </w:tcBorders>
          </w:tcPr>
          <w:p w14:paraId="29D2C326"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1,60</w:t>
            </w:r>
          </w:p>
        </w:tc>
      </w:tr>
      <w:tr w:rsidR="008D47B8" w:rsidRPr="003954D9" w14:paraId="2C2E01DA" w14:textId="77777777" w:rsidTr="008D47B8">
        <w:trPr>
          <w:trHeight w:val="227"/>
        </w:trPr>
        <w:tc>
          <w:tcPr>
            <w:tcW w:w="881" w:type="dxa"/>
            <w:tcBorders>
              <w:top w:val="single" w:sz="6" w:space="0" w:color="auto"/>
              <w:left w:val="single" w:sz="6" w:space="0" w:color="auto"/>
              <w:bottom w:val="single" w:sz="6" w:space="0" w:color="auto"/>
              <w:right w:val="single" w:sz="6" w:space="0" w:color="auto"/>
            </w:tcBorders>
          </w:tcPr>
          <w:p w14:paraId="1A169DBE"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w:t>
            </w:r>
          </w:p>
        </w:tc>
        <w:tc>
          <w:tcPr>
            <w:tcW w:w="800" w:type="dxa"/>
            <w:tcBorders>
              <w:top w:val="single" w:sz="6" w:space="0" w:color="auto"/>
              <w:left w:val="single" w:sz="6" w:space="0" w:color="auto"/>
              <w:bottom w:val="single" w:sz="6" w:space="0" w:color="auto"/>
              <w:right w:val="single" w:sz="6" w:space="0" w:color="auto"/>
            </w:tcBorders>
          </w:tcPr>
          <w:p w14:paraId="70AE4CE0" w14:textId="77777777" w:rsidR="00515BC5" w:rsidRPr="003954D9" w:rsidRDefault="00515BC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1,59</w:t>
            </w:r>
          </w:p>
        </w:tc>
        <w:tc>
          <w:tcPr>
            <w:tcW w:w="901" w:type="dxa"/>
            <w:tcBorders>
              <w:top w:val="single" w:sz="6" w:space="0" w:color="auto"/>
              <w:left w:val="single" w:sz="6" w:space="0" w:color="auto"/>
              <w:bottom w:val="single" w:sz="6" w:space="0" w:color="auto"/>
              <w:right w:val="single" w:sz="6" w:space="0" w:color="auto"/>
            </w:tcBorders>
          </w:tcPr>
          <w:p w14:paraId="69C818D2"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1,47</w:t>
            </w:r>
          </w:p>
        </w:tc>
        <w:tc>
          <w:tcPr>
            <w:tcW w:w="850" w:type="dxa"/>
            <w:tcBorders>
              <w:top w:val="single" w:sz="6" w:space="0" w:color="auto"/>
              <w:left w:val="single" w:sz="6" w:space="0" w:color="auto"/>
              <w:bottom w:val="single" w:sz="6" w:space="0" w:color="auto"/>
              <w:right w:val="single" w:sz="6" w:space="0" w:color="auto"/>
            </w:tcBorders>
          </w:tcPr>
          <w:p w14:paraId="3C6D1C69"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709" w:type="dxa"/>
            <w:tcBorders>
              <w:top w:val="single" w:sz="6" w:space="0" w:color="auto"/>
              <w:left w:val="single" w:sz="6" w:space="0" w:color="auto"/>
              <w:bottom w:val="single" w:sz="6" w:space="0" w:color="auto"/>
              <w:right w:val="single" w:sz="6" w:space="0" w:color="auto"/>
            </w:tcBorders>
          </w:tcPr>
          <w:p w14:paraId="40E7C61B" w14:textId="77777777" w:rsidR="00515BC5" w:rsidRPr="003954D9" w:rsidRDefault="00515BC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1,18</w:t>
            </w:r>
          </w:p>
        </w:tc>
        <w:tc>
          <w:tcPr>
            <w:tcW w:w="851" w:type="dxa"/>
            <w:tcBorders>
              <w:top w:val="single" w:sz="6" w:space="0" w:color="auto"/>
              <w:left w:val="single" w:sz="6" w:space="0" w:color="auto"/>
              <w:bottom w:val="single" w:sz="6" w:space="0" w:color="auto"/>
              <w:right w:val="single" w:sz="6" w:space="0" w:color="auto"/>
            </w:tcBorders>
          </w:tcPr>
          <w:p w14:paraId="16A7CB1C"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1,22</w:t>
            </w:r>
          </w:p>
        </w:tc>
        <w:tc>
          <w:tcPr>
            <w:tcW w:w="850" w:type="dxa"/>
            <w:tcBorders>
              <w:top w:val="single" w:sz="6" w:space="0" w:color="auto"/>
              <w:left w:val="single" w:sz="6" w:space="0" w:color="auto"/>
              <w:bottom w:val="single" w:sz="6" w:space="0" w:color="auto"/>
              <w:right w:val="single" w:sz="6" w:space="0" w:color="auto"/>
            </w:tcBorders>
          </w:tcPr>
          <w:p w14:paraId="3E27A7B8"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1,33</w:t>
            </w:r>
          </w:p>
        </w:tc>
        <w:tc>
          <w:tcPr>
            <w:tcW w:w="851" w:type="dxa"/>
            <w:tcBorders>
              <w:top w:val="single" w:sz="6" w:space="0" w:color="auto"/>
              <w:left w:val="single" w:sz="6" w:space="0" w:color="auto"/>
              <w:bottom w:val="single" w:sz="6" w:space="0" w:color="auto"/>
              <w:right w:val="single" w:sz="6" w:space="0" w:color="auto"/>
            </w:tcBorders>
          </w:tcPr>
          <w:p w14:paraId="125A20AD"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1,39</w:t>
            </w:r>
          </w:p>
        </w:tc>
        <w:tc>
          <w:tcPr>
            <w:tcW w:w="850" w:type="dxa"/>
            <w:tcBorders>
              <w:top w:val="single" w:sz="6" w:space="0" w:color="auto"/>
              <w:left w:val="single" w:sz="6" w:space="0" w:color="auto"/>
              <w:bottom w:val="single" w:sz="6" w:space="0" w:color="auto"/>
              <w:right w:val="single" w:sz="6" w:space="0" w:color="auto"/>
            </w:tcBorders>
          </w:tcPr>
          <w:p w14:paraId="26A456BB"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1,30</w:t>
            </w:r>
          </w:p>
        </w:tc>
        <w:tc>
          <w:tcPr>
            <w:tcW w:w="851" w:type="dxa"/>
            <w:tcBorders>
              <w:top w:val="single" w:sz="6" w:space="0" w:color="auto"/>
              <w:left w:val="single" w:sz="6" w:space="0" w:color="auto"/>
              <w:bottom w:val="single" w:sz="6" w:space="0" w:color="auto"/>
              <w:right w:val="single" w:sz="6" w:space="0" w:color="auto"/>
            </w:tcBorders>
          </w:tcPr>
          <w:p w14:paraId="099FFB29"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1,29</w:t>
            </w:r>
          </w:p>
        </w:tc>
        <w:tc>
          <w:tcPr>
            <w:tcW w:w="992" w:type="dxa"/>
            <w:tcBorders>
              <w:top w:val="single" w:sz="6" w:space="0" w:color="auto"/>
              <w:left w:val="single" w:sz="6" w:space="0" w:color="auto"/>
              <w:bottom w:val="single" w:sz="6" w:space="0" w:color="auto"/>
              <w:right w:val="single" w:sz="6" w:space="0" w:color="auto"/>
            </w:tcBorders>
          </w:tcPr>
          <w:p w14:paraId="59730259"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1,46</w:t>
            </w:r>
          </w:p>
        </w:tc>
      </w:tr>
      <w:tr w:rsidR="008D47B8" w:rsidRPr="003954D9" w14:paraId="33AFD866" w14:textId="77777777" w:rsidTr="008D47B8">
        <w:trPr>
          <w:trHeight w:val="227"/>
        </w:trPr>
        <w:tc>
          <w:tcPr>
            <w:tcW w:w="881" w:type="dxa"/>
            <w:tcBorders>
              <w:top w:val="single" w:sz="6" w:space="0" w:color="auto"/>
              <w:left w:val="single" w:sz="6" w:space="0" w:color="auto"/>
              <w:bottom w:val="single" w:sz="6" w:space="0" w:color="auto"/>
              <w:right w:val="single" w:sz="6" w:space="0" w:color="auto"/>
            </w:tcBorders>
          </w:tcPr>
          <w:p w14:paraId="7C09C2C9"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rokv</w:t>
            </w:r>
          </w:p>
        </w:tc>
        <w:tc>
          <w:tcPr>
            <w:tcW w:w="800" w:type="dxa"/>
            <w:tcBorders>
              <w:top w:val="single" w:sz="6" w:space="0" w:color="auto"/>
              <w:left w:val="single" w:sz="6" w:space="0" w:color="auto"/>
              <w:bottom w:val="single" w:sz="6" w:space="0" w:color="auto"/>
              <w:right w:val="single" w:sz="6" w:space="0" w:color="auto"/>
            </w:tcBorders>
          </w:tcPr>
          <w:p w14:paraId="1D829ADF" w14:textId="77777777" w:rsidR="00515BC5" w:rsidRPr="003954D9" w:rsidRDefault="00515BC5">
            <w:pPr>
              <w:autoSpaceDE w:val="0"/>
              <w:autoSpaceDN w:val="0"/>
              <w:adjustRightInd w:val="0"/>
              <w:jc w:val="right"/>
              <w:rPr>
                <w:rFonts w:ascii="Calibri" w:hAnsi="Calibri" w:cs="Calibri"/>
                <w:bCs/>
                <w:color w:val="FF0000"/>
                <w:sz w:val="16"/>
                <w:szCs w:val="16"/>
              </w:rPr>
            </w:pPr>
            <w:r w:rsidRPr="003954D9">
              <w:rPr>
                <w:rFonts w:ascii="Calibri" w:hAnsi="Calibri" w:cs="Calibri"/>
                <w:bCs/>
                <w:sz w:val="16"/>
                <w:szCs w:val="16"/>
              </w:rPr>
              <w:t>1,98</w:t>
            </w:r>
          </w:p>
        </w:tc>
        <w:tc>
          <w:tcPr>
            <w:tcW w:w="901" w:type="dxa"/>
            <w:tcBorders>
              <w:top w:val="single" w:sz="6" w:space="0" w:color="auto"/>
              <w:left w:val="single" w:sz="6" w:space="0" w:color="auto"/>
              <w:bottom w:val="single" w:sz="6" w:space="0" w:color="auto"/>
              <w:right w:val="single" w:sz="6" w:space="0" w:color="auto"/>
            </w:tcBorders>
          </w:tcPr>
          <w:p w14:paraId="367C2E9C"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1,47</w:t>
            </w:r>
          </w:p>
        </w:tc>
        <w:tc>
          <w:tcPr>
            <w:tcW w:w="850" w:type="dxa"/>
            <w:tcBorders>
              <w:top w:val="single" w:sz="6" w:space="0" w:color="auto"/>
              <w:left w:val="single" w:sz="6" w:space="0" w:color="auto"/>
              <w:bottom w:val="single" w:sz="6" w:space="0" w:color="auto"/>
              <w:right w:val="single" w:sz="6" w:space="0" w:color="auto"/>
            </w:tcBorders>
          </w:tcPr>
          <w:p w14:paraId="5514E918"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1,35</w:t>
            </w:r>
          </w:p>
        </w:tc>
        <w:tc>
          <w:tcPr>
            <w:tcW w:w="709" w:type="dxa"/>
            <w:tcBorders>
              <w:top w:val="single" w:sz="6" w:space="0" w:color="auto"/>
              <w:left w:val="single" w:sz="6" w:space="0" w:color="auto"/>
              <w:bottom w:val="single" w:sz="6" w:space="0" w:color="auto"/>
              <w:right w:val="single" w:sz="6" w:space="0" w:color="auto"/>
            </w:tcBorders>
          </w:tcPr>
          <w:p w14:paraId="1E3F1011"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1,58</w:t>
            </w:r>
          </w:p>
        </w:tc>
        <w:tc>
          <w:tcPr>
            <w:tcW w:w="851" w:type="dxa"/>
            <w:tcBorders>
              <w:top w:val="single" w:sz="6" w:space="0" w:color="auto"/>
              <w:left w:val="single" w:sz="6" w:space="0" w:color="auto"/>
              <w:bottom w:val="single" w:sz="6" w:space="0" w:color="auto"/>
              <w:right w:val="single" w:sz="6" w:space="0" w:color="auto"/>
            </w:tcBorders>
          </w:tcPr>
          <w:p w14:paraId="7458278D"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1,37</w:t>
            </w:r>
          </w:p>
        </w:tc>
        <w:tc>
          <w:tcPr>
            <w:tcW w:w="850" w:type="dxa"/>
            <w:tcBorders>
              <w:top w:val="single" w:sz="6" w:space="0" w:color="auto"/>
              <w:left w:val="single" w:sz="6" w:space="0" w:color="auto"/>
              <w:bottom w:val="single" w:sz="6" w:space="0" w:color="auto"/>
              <w:right w:val="single" w:sz="6" w:space="0" w:color="auto"/>
            </w:tcBorders>
          </w:tcPr>
          <w:p w14:paraId="74F24215"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1,47</w:t>
            </w:r>
          </w:p>
        </w:tc>
        <w:tc>
          <w:tcPr>
            <w:tcW w:w="851" w:type="dxa"/>
            <w:tcBorders>
              <w:top w:val="single" w:sz="6" w:space="0" w:color="auto"/>
              <w:left w:val="single" w:sz="6" w:space="0" w:color="auto"/>
              <w:bottom w:val="single" w:sz="6" w:space="0" w:color="auto"/>
              <w:right w:val="single" w:sz="6" w:space="0" w:color="auto"/>
            </w:tcBorders>
          </w:tcPr>
          <w:p w14:paraId="0CDE1532"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tcPr>
          <w:p w14:paraId="3EDFD27E" w14:textId="77777777" w:rsidR="00515BC5" w:rsidRPr="003954D9" w:rsidRDefault="00515BC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1,34</w:t>
            </w:r>
          </w:p>
        </w:tc>
        <w:tc>
          <w:tcPr>
            <w:tcW w:w="851" w:type="dxa"/>
            <w:tcBorders>
              <w:top w:val="single" w:sz="6" w:space="0" w:color="auto"/>
              <w:left w:val="single" w:sz="6" w:space="0" w:color="auto"/>
              <w:bottom w:val="single" w:sz="6" w:space="0" w:color="auto"/>
              <w:right w:val="single" w:sz="6" w:space="0" w:color="auto"/>
            </w:tcBorders>
          </w:tcPr>
          <w:p w14:paraId="2B9AEF83"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992" w:type="dxa"/>
            <w:tcBorders>
              <w:top w:val="single" w:sz="6" w:space="0" w:color="auto"/>
              <w:left w:val="single" w:sz="6" w:space="0" w:color="auto"/>
              <w:bottom w:val="single" w:sz="6" w:space="0" w:color="auto"/>
              <w:right w:val="single" w:sz="6" w:space="0" w:color="auto"/>
            </w:tcBorders>
          </w:tcPr>
          <w:p w14:paraId="71E32FDB" w14:textId="77777777" w:rsidR="00515BC5" w:rsidRPr="003954D9" w:rsidRDefault="00515BC5">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1,99</w:t>
            </w:r>
          </w:p>
        </w:tc>
      </w:tr>
      <w:tr w:rsidR="008D47B8" w:rsidRPr="003954D9" w14:paraId="5DDAAF1A" w14:textId="77777777" w:rsidTr="008D47B8">
        <w:trPr>
          <w:trHeight w:val="227"/>
        </w:trPr>
        <w:tc>
          <w:tcPr>
            <w:tcW w:w="881" w:type="dxa"/>
            <w:tcBorders>
              <w:top w:val="single" w:sz="6" w:space="0" w:color="auto"/>
              <w:left w:val="single" w:sz="6" w:space="0" w:color="auto"/>
              <w:bottom w:val="single" w:sz="6" w:space="0" w:color="auto"/>
              <w:right w:val="single" w:sz="6" w:space="0" w:color="auto"/>
            </w:tcBorders>
          </w:tcPr>
          <w:p w14:paraId="7C0D93FF"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w:t>
            </w:r>
          </w:p>
        </w:tc>
        <w:tc>
          <w:tcPr>
            <w:tcW w:w="800" w:type="dxa"/>
            <w:tcBorders>
              <w:top w:val="single" w:sz="6" w:space="0" w:color="auto"/>
              <w:left w:val="single" w:sz="6" w:space="0" w:color="auto"/>
              <w:bottom w:val="single" w:sz="6" w:space="0" w:color="auto"/>
              <w:right w:val="single" w:sz="6" w:space="0" w:color="auto"/>
            </w:tcBorders>
          </w:tcPr>
          <w:p w14:paraId="2FF3A0C3" w14:textId="77777777" w:rsidR="00515BC5" w:rsidRPr="003954D9" w:rsidRDefault="00515BC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2,09</w:t>
            </w:r>
          </w:p>
        </w:tc>
        <w:tc>
          <w:tcPr>
            <w:tcW w:w="901" w:type="dxa"/>
            <w:tcBorders>
              <w:top w:val="single" w:sz="6" w:space="0" w:color="auto"/>
              <w:left w:val="single" w:sz="6" w:space="0" w:color="auto"/>
              <w:bottom w:val="single" w:sz="6" w:space="0" w:color="auto"/>
              <w:right w:val="single" w:sz="6" w:space="0" w:color="auto"/>
            </w:tcBorders>
          </w:tcPr>
          <w:p w14:paraId="306B2DE2" w14:textId="77777777" w:rsidR="00515BC5" w:rsidRPr="003954D9" w:rsidRDefault="00515BC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1,39</w:t>
            </w:r>
          </w:p>
        </w:tc>
        <w:tc>
          <w:tcPr>
            <w:tcW w:w="850" w:type="dxa"/>
            <w:tcBorders>
              <w:top w:val="single" w:sz="6" w:space="0" w:color="auto"/>
              <w:left w:val="single" w:sz="6" w:space="0" w:color="auto"/>
              <w:bottom w:val="single" w:sz="6" w:space="0" w:color="auto"/>
              <w:right w:val="single" w:sz="6" w:space="0" w:color="auto"/>
            </w:tcBorders>
          </w:tcPr>
          <w:p w14:paraId="1ACC172A"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1,44</w:t>
            </w:r>
          </w:p>
        </w:tc>
        <w:tc>
          <w:tcPr>
            <w:tcW w:w="709" w:type="dxa"/>
            <w:tcBorders>
              <w:top w:val="single" w:sz="6" w:space="0" w:color="auto"/>
              <w:left w:val="single" w:sz="6" w:space="0" w:color="auto"/>
              <w:bottom w:val="single" w:sz="6" w:space="0" w:color="auto"/>
              <w:right w:val="single" w:sz="6" w:space="0" w:color="auto"/>
            </w:tcBorders>
          </w:tcPr>
          <w:p w14:paraId="22A1547E"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1,59</w:t>
            </w:r>
          </w:p>
        </w:tc>
        <w:tc>
          <w:tcPr>
            <w:tcW w:w="851" w:type="dxa"/>
            <w:tcBorders>
              <w:top w:val="single" w:sz="6" w:space="0" w:color="auto"/>
              <w:left w:val="single" w:sz="6" w:space="0" w:color="auto"/>
              <w:bottom w:val="single" w:sz="6" w:space="0" w:color="auto"/>
              <w:right w:val="single" w:sz="6" w:space="0" w:color="auto"/>
            </w:tcBorders>
          </w:tcPr>
          <w:p w14:paraId="22331C06"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1,50</w:t>
            </w:r>
          </w:p>
        </w:tc>
        <w:tc>
          <w:tcPr>
            <w:tcW w:w="850" w:type="dxa"/>
            <w:tcBorders>
              <w:top w:val="single" w:sz="6" w:space="0" w:color="auto"/>
              <w:left w:val="single" w:sz="6" w:space="0" w:color="auto"/>
              <w:bottom w:val="single" w:sz="6" w:space="0" w:color="auto"/>
              <w:right w:val="single" w:sz="6" w:space="0" w:color="auto"/>
            </w:tcBorders>
          </w:tcPr>
          <w:p w14:paraId="1DC6D924"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1,57</w:t>
            </w:r>
          </w:p>
        </w:tc>
        <w:tc>
          <w:tcPr>
            <w:tcW w:w="851" w:type="dxa"/>
            <w:tcBorders>
              <w:top w:val="single" w:sz="6" w:space="0" w:color="auto"/>
              <w:left w:val="single" w:sz="6" w:space="0" w:color="auto"/>
              <w:bottom w:val="single" w:sz="6" w:space="0" w:color="auto"/>
              <w:right w:val="single" w:sz="6" w:space="0" w:color="auto"/>
            </w:tcBorders>
          </w:tcPr>
          <w:p w14:paraId="7084EE13"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1,80</w:t>
            </w:r>
          </w:p>
        </w:tc>
        <w:tc>
          <w:tcPr>
            <w:tcW w:w="850" w:type="dxa"/>
            <w:tcBorders>
              <w:top w:val="single" w:sz="6" w:space="0" w:color="auto"/>
              <w:left w:val="single" w:sz="6" w:space="0" w:color="auto"/>
              <w:bottom w:val="single" w:sz="6" w:space="0" w:color="auto"/>
              <w:right w:val="single" w:sz="6" w:space="0" w:color="auto"/>
            </w:tcBorders>
          </w:tcPr>
          <w:p w14:paraId="36AE515A"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1,47</w:t>
            </w:r>
          </w:p>
        </w:tc>
        <w:tc>
          <w:tcPr>
            <w:tcW w:w="851" w:type="dxa"/>
            <w:tcBorders>
              <w:top w:val="single" w:sz="6" w:space="0" w:color="auto"/>
              <w:left w:val="single" w:sz="6" w:space="0" w:color="auto"/>
              <w:bottom w:val="single" w:sz="6" w:space="0" w:color="auto"/>
              <w:right w:val="single" w:sz="6" w:space="0" w:color="auto"/>
            </w:tcBorders>
          </w:tcPr>
          <w:p w14:paraId="5873CCAD"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1,41</w:t>
            </w:r>
          </w:p>
        </w:tc>
        <w:tc>
          <w:tcPr>
            <w:tcW w:w="992" w:type="dxa"/>
            <w:tcBorders>
              <w:top w:val="single" w:sz="6" w:space="0" w:color="auto"/>
              <w:left w:val="single" w:sz="6" w:space="0" w:color="auto"/>
              <w:bottom w:val="single" w:sz="6" w:space="0" w:color="auto"/>
              <w:right w:val="single" w:sz="6" w:space="0" w:color="auto"/>
            </w:tcBorders>
          </w:tcPr>
          <w:p w14:paraId="6D7FE0A9"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1,73</w:t>
            </w:r>
          </w:p>
        </w:tc>
      </w:tr>
      <w:tr w:rsidR="008D47B8" w:rsidRPr="003954D9" w14:paraId="6FB3C922" w14:textId="77777777" w:rsidTr="008D47B8">
        <w:trPr>
          <w:trHeight w:val="227"/>
        </w:trPr>
        <w:tc>
          <w:tcPr>
            <w:tcW w:w="881" w:type="dxa"/>
            <w:tcBorders>
              <w:top w:val="single" w:sz="6" w:space="0" w:color="auto"/>
              <w:left w:val="single" w:sz="6" w:space="0" w:color="auto"/>
              <w:bottom w:val="single" w:sz="6" w:space="0" w:color="auto"/>
              <w:right w:val="single" w:sz="6" w:space="0" w:color="auto"/>
            </w:tcBorders>
          </w:tcPr>
          <w:p w14:paraId="297C4E17"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3 rok</w:t>
            </w:r>
          </w:p>
        </w:tc>
        <w:tc>
          <w:tcPr>
            <w:tcW w:w="800" w:type="dxa"/>
            <w:tcBorders>
              <w:top w:val="single" w:sz="6" w:space="0" w:color="auto"/>
              <w:left w:val="single" w:sz="6" w:space="0" w:color="auto"/>
              <w:bottom w:val="single" w:sz="6" w:space="0" w:color="auto"/>
              <w:right w:val="single" w:sz="6" w:space="0" w:color="auto"/>
            </w:tcBorders>
          </w:tcPr>
          <w:p w14:paraId="20CC9370" w14:textId="77777777" w:rsidR="00515BC5" w:rsidRPr="003954D9" w:rsidRDefault="00515BC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3,21</w:t>
            </w:r>
          </w:p>
        </w:tc>
        <w:tc>
          <w:tcPr>
            <w:tcW w:w="901" w:type="dxa"/>
            <w:tcBorders>
              <w:top w:val="single" w:sz="6" w:space="0" w:color="auto"/>
              <w:left w:val="single" w:sz="6" w:space="0" w:color="auto"/>
              <w:bottom w:val="single" w:sz="6" w:space="0" w:color="auto"/>
              <w:right w:val="single" w:sz="6" w:space="0" w:color="auto"/>
            </w:tcBorders>
          </w:tcPr>
          <w:p w14:paraId="6340E350"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2,33</w:t>
            </w:r>
          </w:p>
        </w:tc>
        <w:tc>
          <w:tcPr>
            <w:tcW w:w="850" w:type="dxa"/>
            <w:tcBorders>
              <w:top w:val="single" w:sz="6" w:space="0" w:color="auto"/>
              <w:left w:val="single" w:sz="6" w:space="0" w:color="auto"/>
              <w:bottom w:val="single" w:sz="6" w:space="0" w:color="auto"/>
              <w:right w:val="single" w:sz="6" w:space="0" w:color="auto"/>
            </w:tcBorders>
          </w:tcPr>
          <w:p w14:paraId="4B5D53AC"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709" w:type="dxa"/>
            <w:tcBorders>
              <w:top w:val="single" w:sz="6" w:space="0" w:color="auto"/>
              <w:left w:val="single" w:sz="6" w:space="0" w:color="auto"/>
              <w:bottom w:val="single" w:sz="6" w:space="0" w:color="auto"/>
              <w:right w:val="single" w:sz="6" w:space="0" w:color="auto"/>
            </w:tcBorders>
          </w:tcPr>
          <w:p w14:paraId="565FBEA1" w14:textId="77777777" w:rsidR="00515BC5" w:rsidRPr="003954D9" w:rsidRDefault="00515BC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1,81</w:t>
            </w:r>
          </w:p>
        </w:tc>
        <w:tc>
          <w:tcPr>
            <w:tcW w:w="851" w:type="dxa"/>
            <w:tcBorders>
              <w:top w:val="single" w:sz="6" w:space="0" w:color="auto"/>
              <w:left w:val="single" w:sz="6" w:space="0" w:color="auto"/>
              <w:bottom w:val="single" w:sz="6" w:space="0" w:color="auto"/>
              <w:right w:val="single" w:sz="6" w:space="0" w:color="auto"/>
            </w:tcBorders>
          </w:tcPr>
          <w:p w14:paraId="32211BD4"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2,09</w:t>
            </w:r>
          </w:p>
        </w:tc>
        <w:tc>
          <w:tcPr>
            <w:tcW w:w="850" w:type="dxa"/>
            <w:tcBorders>
              <w:top w:val="single" w:sz="6" w:space="0" w:color="auto"/>
              <w:left w:val="single" w:sz="6" w:space="0" w:color="auto"/>
              <w:bottom w:val="single" w:sz="6" w:space="0" w:color="auto"/>
              <w:right w:val="single" w:sz="6" w:space="0" w:color="auto"/>
            </w:tcBorders>
          </w:tcPr>
          <w:p w14:paraId="3B3558BA"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851" w:type="dxa"/>
            <w:tcBorders>
              <w:top w:val="single" w:sz="6" w:space="0" w:color="auto"/>
              <w:left w:val="single" w:sz="6" w:space="0" w:color="auto"/>
              <w:bottom w:val="single" w:sz="6" w:space="0" w:color="auto"/>
              <w:right w:val="single" w:sz="6" w:space="0" w:color="auto"/>
            </w:tcBorders>
          </w:tcPr>
          <w:p w14:paraId="0899A0B4"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3,08</w:t>
            </w:r>
          </w:p>
        </w:tc>
        <w:tc>
          <w:tcPr>
            <w:tcW w:w="850" w:type="dxa"/>
            <w:tcBorders>
              <w:top w:val="single" w:sz="6" w:space="0" w:color="auto"/>
              <w:left w:val="single" w:sz="6" w:space="0" w:color="auto"/>
              <w:bottom w:val="single" w:sz="6" w:space="0" w:color="auto"/>
              <w:right w:val="single" w:sz="6" w:space="0" w:color="auto"/>
            </w:tcBorders>
          </w:tcPr>
          <w:p w14:paraId="08B6D7A9"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851" w:type="dxa"/>
            <w:tcBorders>
              <w:top w:val="single" w:sz="6" w:space="0" w:color="auto"/>
              <w:left w:val="single" w:sz="6" w:space="0" w:color="auto"/>
              <w:bottom w:val="single" w:sz="6" w:space="0" w:color="auto"/>
              <w:right w:val="single" w:sz="6" w:space="0" w:color="auto"/>
            </w:tcBorders>
          </w:tcPr>
          <w:p w14:paraId="697C1FB2"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2,58</w:t>
            </w:r>
          </w:p>
        </w:tc>
        <w:tc>
          <w:tcPr>
            <w:tcW w:w="992" w:type="dxa"/>
            <w:tcBorders>
              <w:top w:val="single" w:sz="6" w:space="0" w:color="auto"/>
              <w:left w:val="single" w:sz="6" w:space="0" w:color="auto"/>
              <w:bottom w:val="single" w:sz="6" w:space="0" w:color="auto"/>
              <w:right w:val="single" w:sz="6" w:space="0" w:color="auto"/>
            </w:tcBorders>
          </w:tcPr>
          <w:p w14:paraId="59D8DD6F"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2,80</w:t>
            </w:r>
          </w:p>
        </w:tc>
      </w:tr>
      <w:tr w:rsidR="008D47B8" w:rsidRPr="003954D9" w14:paraId="279F139C" w14:textId="77777777" w:rsidTr="008D47B8">
        <w:trPr>
          <w:trHeight w:val="227"/>
        </w:trPr>
        <w:tc>
          <w:tcPr>
            <w:tcW w:w="881" w:type="dxa"/>
            <w:tcBorders>
              <w:top w:val="single" w:sz="6" w:space="0" w:color="auto"/>
              <w:left w:val="single" w:sz="6" w:space="0" w:color="auto"/>
              <w:bottom w:val="single" w:sz="6" w:space="0" w:color="auto"/>
              <w:right w:val="single" w:sz="6" w:space="0" w:color="auto"/>
            </w:tcBorders>
          </w:tcPr>
          <w:p w14:paraId="5F380713"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4 rok</w:t>
            </w:r>
          </w:p>
        </w:tc>
        <w:tc>
          <w:tcPr>
            <w:tcW w:w="800" w:type="dxa"/>
            <w:tcBorders>
              <w:top w:val="single" w:sz="6" w:space="0" w:color="auto"/>
              <w:left w:val="single" w:sz="6" w:space="0" w:color="auto"/>
              <w:bottom w:val="single" w:sz="6" w:space="0" w:color="auto"/>
              <w:right w:val="single" w:sz="6" w:space="0" w:color="auto"/>
            </w:tcBorders>
          </w:tcPr>
          <w:p w14:paraId="03744922" w14:textId="77777777" w:rsidR="00515BC5" w:rsidRPr="003954D9" w:rsidRDefault="00515BC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4,64</w:t>
            </w:r>
          </w:p>
        </w:tc>
        <w:tc>
          <w:tcPr>
            <w:tcW w:w="901" w:type="dxa"/>
            <w:tcBorders>
              <w:top w:val="single" w:sz="6" w:space="0" w:color="auto"/>
              <w:left w:val="single" w:sz="6" w:space="0" w:color="auto"/>
              <w:bottom w:val="single" w:sz="6" w:space="0" w:color="auto"/>
              <w:right w:val="single" w:sz="6" w:space="0" w:color="auto"/>
            </w:tcBorders>
          </w:tcPr>
          <w:p w14:paraId="1F26600A"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3,00</w:t>
            </w:r>
          </w:p>
        </w:tc>
        <w:tc>
          <w:tcPr>
            <w:tcW w:w="850" w:type="dxa"/>
            <w:tcBorders>
              <w:top w:val="single" w:sz="6" w:space="0" w:color="auto"/>
              <w:left w:val="single" w:sz="6" w:space="0" w:color="auto"/>
              <w:bottom w:val="single" w:sz="6" w:space="0" w:color="auto"/>
              <w:right w:val="single" w:sz="6" w:space="0" w:color="auto"/>
            </w:tcBorders>
          </w:tcPr>
          <w:p w14:paraId="1E3F2C70" w14:textId="77777777" w:rsidR="00515BC5" w:rsidRPr="003954D9" w:rsidRDefault="00515BC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2,81</w:t>
            </w:r>
          </w:p>
        </w:tc>
        <w:tc>
          <w:tcPr>
            <w:tcW w:w="709" w:type="dxa"/>
            <w:tcBorders>
              <w:top w:val="single" w:sz="6" w:space="0" w:color="auto"/>
              <w:left w:val="single" w:sz="6" w:space="0" w:color="auto"/>
              <w:bottom w:val="single" w:sz="6" w:space="0" w:color="auto"/>
              <w:right w:val="single" w:sz="6" w:space="0" w:color="auto"/>
            </w:tcBorders>
          </w:tcPr>
          <w:p w14:paraId="78987F21"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851" w:type="dxa"/>
            <w:tcBorders>
              <w:top w:val="single" w:sz="6" w:space="0" w:color="auto"/>
              <w:left w:val="single" w:sz="6" w:space="0" w:color="auto"/>
              <w:bottom w:val="single" w:sz="6" w:space="0" w:color="auto"/>
              <w:right w:val="single" w:sz="6" w:space="0" w:color="auto"/>
            </w:tcBorders>
          </w:tcPr>
          <w:p w14:paraId="0D5208E8"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2,82</w:t>
            </w:r>
          </w:p>
        </w:tc>
        <w:tc>
          <w:tcPr>
            <w:tcW w:w="850" w:type="dxa"/>
            <w:tcBorders>
              <w:top w:val="single" w:sz="6" w:space="0" w:color="auto"/>
              <w:left w:val="single" w:sz="6" w:space="0" w:color="auto"/>
              <w:bottom w:val="single" w:sz="6" w:space="0" w:color="auto"/>
              <w:right w:val="single" w:sz="6" w:space="0" w:color="auto"/>
            </w:tcBorders>
          </w:tcPr>
          <w:p w14:paraId="1F2C5FC2"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3,58</w:t>
            </w:r>
          </w:p>
        </w:tc>
        <w:tc>
          <w:tcPr>
            <w:tcW w:w="851" w:type="dxa"/>
            <w:tcBorders>
              <w:top w:val="single" w:sz="6" w:space="0" w:color="auto"/>
              <w:left w:val="single" w:sz="6" w:space="0" w:color="auto"/>
              <w:bottom w:val="single" w:sz="6" w:space="0" w:color="auto"/>
              <w:right w:val="single" w:sz="6" w:space="0" w:color="auto"/>
            </w:tcBorders>
          </w:tcPr>
          <w:p w14:paraId="04626727"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3,30</w:t>
            </w:r>
          </w:p>
        </w:tc>
        <w:tc>
          <w:tcPr>
            <w:tcW w:w="850" w:type="dxa"/>
            <w:tcBorders>
              <w:top w:val="single" w:sz="6" w:space="0" w:color="auto"/>
              <w:left w:val="single" w:sz="6" w:space="0" w:color="auto"/>
              <w:bottom w:val="single" w:sz="6" w:space="0" w:color="auto"/>
              <w:right w:val="single" w:sz="6" w:space="0" w:color="auto"/>
            </w:tcBorders>
          </w:tcPr>
          <w:p w14:paraId="4E1BF632" w14:textId="77777777" w:rsidR="00515BC5" w:rsidRPr="003954D9" w:rsidRDefault="00515BC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2,81</w:t>
            </w:r>
          </w:p>
        </w:tc>
        <w:tc>
          <w:tcPr>
            <w:tcW w:w="851" w:type="dxa"/>
            <w:tcBorders>
              <w:top w:val="single" w:sz="6" w:space="0" w:color="auto"/>
              <w:left w:val="single" w:sz="6" w:space="0" w:color="auto"/>
              <w:bottom w:val="single" w:sz="6" w:space="0" w:color="auto"/>
              <w:right w:val="single" w:sz="6" w:space="0" w:color="auto"/>
            </w:tcBorders>
          </w:tcPr>
          <w:p w14:paraId="21C0AA64"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3,35</w:t>
            </w:r>
          </w:p>
        </w:tc>
        <w:tc>
          <w:tcPr>
            <w:tcW w:w="992" w:type="dxa"/>
            <w:tcBorders>
              <w:top w:val="single" w:sz="6" w:space="0" w:color="auto"/>
              <w:left w:val="single" w:sz="6" w:space="0" w:color="auto"/>
              <w:bottom w:val="single" w:sz="6" w:space="0" w:color="auto"/>
              <w:right w:val="single" w:sz="6" w:space="0" w:color="auto"/>
            </w:tcBorders>
          </w:tcPr>
          <w:p w14:paraId="77558A14"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3,84</w:t>
            </w:r>
          </w:p>
        </w:tc>
      </w:tr>
      <w:tr w:rsidR="008D47B8" w:rsidRPr="003954D9" w14:paraId="054EE7AC" w14:textId="77777777" w:rsidTr="008D47B8">
        <w:trPr>
          <w:trHeight w:val="227"/>
        </w:trPr>
        <w:tc>
          <w:tcPr>
            <w:tcW w:w="881" w:type="dxa"/>
            <w:tcBorders>
              <w:top w:val="single" w:sz="6" w:space="0" w:color="auto"/>
              <w:left w:val="single" w:sz="6" w:space="0" w:color="auto"/>
              <w:bottom w:val="single" w:sz="6" w:space="0" w:color="auto"/>
              <w:right w:val="single" w:sz="6" w:space="0" w:color="auto"/>
            </w:tcBorders>
          </w:tcPr>
          <w:p w14:paraId="1CC00258"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5 - rok</w:t>
            </w:r>
          </w:p>
        </w:tc>
        <w:tc>
          <w:tcPr>
            <w:tcW w:w="800" w:type="dxa"/>
            <w:tcBorders>
              <w:top w:val="single" w:sz="6" w:space="0" w:color="auto"/>
              <w:left w:val="single" w:sz="6" w:space="0" w:color="auto"/>
              <w:bottom w:val="single" w:sz="6" w:space="0" w:color="auto"/>
              <w:right w:val="single" w:sz="6" w:space="0" w:color="auto"/>
            </w:tcBorders>
          </w:tcPr>
          <w:p w14:paraId="0D26A611" w14:textId="77777777" w:rsidR="00515BC5" w:rsidRPr="003954D9" w:rsidRDefault="00515BC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6,15</w:t>
            </w:r>
          </w:p>
        </w:tc>
        <w:tc>
          <w:tcPr>
            <w:tcW w:w="901" w:type="dxa"/>
            <w:tcBorders>
              <w:top w:val="single" w:sz="6" w:space="0" w:color="auto"/>
              <w:left w:val="single" w:sz="6" w:space="0" w:color="auto"/>
              <w:bottom w:val="single" w:sz="6" w:space="0" w:color="auto"/>
              <w:right w:val="single" w:sz="6" w:space="0" w:color="auto"/>
            </w:tcBorders>
          </w:tcPr>
          <w:p w14:paraId="1EBD8137"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3,43</w:t>
            </w:r>
          </w:p>
        </w:tc>
        <w:tc>
          <w:tcPr>
            <w:tcW w:w="850" w:type="dxa"/>
            <w:tcBorders>
              <w:top w:val="single" w:sz="6" w:space="0" w:color="auto"/>
              <w:left w:val="single" w:sz="6" w:space="0" w:color="auto"/>
              <w:bottom w:val="single" w:sz="6" w:space="0" w:color="auto"/>
              <w:right w:val="single" w:sz="6" w:space="0" w:color="auto"/>
            </w:tcBorders>
          </w:tcPr>
          <w:p w14:paraId="6712E6CE"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3,04</w:t>
            </w:r>
          </w:p>
        </w:tc>
        <w:tc>
          <w:tcPr>
            <w:tcW w:w="709" w:type="dxa"/>
            <w:tcBorders>
              <w:top w:val="single" w:sz="6" w:space="0" w:color="auto"/>
              <w:left w:val="single" w:sz="6" w:space="0" w:color="auto"/>
              <w:bottom w:val="single" w:sz="6" w:space="0" w:color="auto"/>
              <w:right w:val="single" w:sz="6" w:space="0" w:color="auto"/>
            </w:tcBorders>
          </w:tcPr>
          <w:p w14:paraId="5B2D6625"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3,64</w:t>
            </w:r>
          </w:p>
        </w:tc>
        <w:tc>
          <w:tcPr>
            <w:tcW w:w="851" w:type="dxa"/>
            <w:tcBorders>
              <w:top w:val="single" w:sz="6" w:space="0" w:color="auto"/>
              <w:left w:val="single" w:sz="6" w:space="0" w:color="auto"/>
              <w:bottom w:val="single" w:sz="6" w:space="0" w:color="auto"/>
              <w:right w:val="single" w:sz="6" w:space="0" w:color="auto"/>
            </w:tcBorders>
          </w:tcPr>
          <w:p w14:paraId="77B47633" w14:textId="77777777" w:rsidR="00515BC5" w:rsidRPr="003954D9" w:rsidRDefault="00515BC5">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2,90</w:t>
            </w:r>
          </w:p>
        </w:tc>
        <w:tc>
          <w:tcPr>
            <w:tcW w:w="850" w:type="dxa"/>
            <w:tcBorders>
              <w:top w:val="single" w:sz="6" w:space="0" w:color="auto"/>
              <w:left w:val="single" w:sz="6" w:space="0" w:color="auto"/>
              <w:bottom w:val="single" w:sz="6" w:space="0" w:color="auto"/>
              <w:right w:val="single" w:sz="6" w:space="0" w:color="auto"/>
            </w:tcBorders>
          </w:tcPr>
          <w:p w14:paraId="61277DC8" w14:textId="77777777" w:rsidR="00515BC5" w:rsidRPr="003954D9" w:rsidRDefault="00515BC5">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tcPr>
          <w:p w14:paraId="43115A37"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3,95</w:t>
            </w:r>
          </w:p>
        </w:tc>
        <w:tc>
          <w:tcPr>
            <w:tcW w:w="850" w:type="dxa"/>
            <w:tcBorders>
              <w:top w:val="single" w:sz="6" w:space="0" w:color="auto"/>
              <w:left w:val="single" w:sz="6" w:space="0" w:color="auto"/>
              <w:bottom w:val="single" w:sz="6" w:space="0" w:color="auto"/>
              <w:right w:val="single" w:sz="6" w:space="0" w:color="auto"/>
            </w:tcBorders>
          </w:tcPr>
          <w:p w14:paraId="0BBED3CA"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3,36</w:t>
            </w:r>
          </w:p>
        </w:tc>
        <w:tc>
          <w:tcPr>
            <w:tcW w:w="851" w:type="dxa"/>
            <w:tcBorders>
              <w:top w:val="single" w:sz="6" w:space="0" w:color="auto"/>
              <w:left w:val="single" w:sz="6" w:space="0" w:color="auto"/>
              <w:bottom w:val="single" w:sz="6" w:space="0" w:color="auto"/>
              <w:right w:val="single" w:sz="6" w:space="0" w:color="auto"/>
            </w:tcBorders>
          </w:tcPr>
          <w:p w14:paraId="32CF9DC3" w14:textId="77777777" w:rsidR="00515BC5" w:rsidRPr="003954D9" w:rsidRDefault="00515BC5">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992" w:type="dxa"/>
            <w:tcBorders>
              <w:top w:val="single" w:sz="6" w:space="0" w:color="auto"/>
              <w:left w:val="single" w:sz="6" w:space="0" w:color="auto"/>
              <w:bottom w:val="single" w:sz="6" w:space="0" w:color="auto"/>
              <w:right w:val="single" w:sz="6" w:space="0" w:color="auto"/>
            </w:tcBorders>
          </w:tcPr>
          <w:p w14:paraId="61E41037"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5,91</w:t>
            </w:r>
          </w:p>
        </w:tc>
      </w:tr>
      <w:tr w:rsidR="008D47B8" w:rsidRPr="003954D9" w14:paraId="5EC0CAA4" w14:textId="77777777" w:rsidTr="008D47B8">
        <w:trPr>
          <w:trHeight w:val="227"/>
        </w:trPr>
        <w:tc>
          <w:tcPr>
            <w:tcW w:w="881" w:type="dxa"/>
            <w:tcBorders>
              <w:top w:val="single" w:sz="6" w:space="0" w:color="auto"/>
              <w:left w:val="single" w:sz="6" w:space="0" w:color="auto"/>
              <w:bottom w:val="single" w:sz="6" w:space="0" w:color="auto"/>
              <w:right w:val="single" w:sz="6" w:space="0" w:color="auto"/>
            </w:tcBorders>
          </w:tcPr>
          <w:p w14:paraId="3F1A7538" w14:textId="77777777" w:rsidR="00515BC5" w:rsidRPr="003954D9" w:rsidRDefault="00515BC5">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Alla</w:t>
            </w:r>
          </w:p>
        </w:tc>
        <w:tc>
          <w:tcPr>
            <w:tcW w:w="800" w:type="dxa"/>
            <w:tcBorders>
              <w:top w:val="single" w:sz="6" w:space="0" w:color="auto"/>
              <w:left w:val="single" w:sz="6" w:space="0" w:color="auto"/>
              <w:bottom w:val="single" w:sz="6" w:space="0" w:color="auto"/>
              <w:right w:val="single" w:sz="6" w:space="0" w:color="auto"/>
            </w:tcBorders>
          </w:tcPr>
          <w:p w14:paraId="750FC6F9" w14:textId="77777777" w:rsidR="00515BC5" w:rsidRPr="003954D9" w:rsidRDefault="00515BC5">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2,98</w:t>
            </w:r>
          </w:p>
        </w:tc>
        <w:tc>
          <w:tcPr>
            <w:tcW w:w="901" w:type="dxa"/>
            <w:tcBorders>
              <w:top w:val="single" w:sz="6" w:space="0" w:color="auto"/>
              <w:left w:val="single" w:sz="6" w:space="0" w:color="auto"/>
              <w:bottom w:val="single" w:sz="6" w:space="0" w:color="auto"/>
              <w:right w:val="single" w:sz="6" w:space="0" w:color="auto"/>
            </w:tcBorders>
          </w:tcPr>
          <w:p w14:paraId="7951324B"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2,08</w:t>
            </w:r>
          </w:p>
        </w:tc>
        <w:tc>
          <w:tcPr>
            <w:tcW w:w="850" w:type="dxa"/>
            <w:tcBorders>
              <w:top w:val="single" w:sz="6" w:space="0" w:color="auto"/>
              <w:left w:val="single" w:sz="6" w:space="0" w:color="auto"/>
              <w:bottom w:val="single" w:sz="6" w:space="0" w:color="auto"/>
              <w:right w:val="single" w:sz="6" w:space="0" w:color="auto"/>
            </w:tcBorders>
          </w:tcPr>
          <w:p w14:paraId="3B03608E" w14:textId="77777777" w:rsidR="00515BC5" w:rsidRPr="003954D9" w:rsidRDefault="00515BC5">
            <w:pPr>
              <w:autoSpaceDE w:val="0"/>
              <w:autoSpaceDN w:val="0"/>
              <w:adjustRightInd w:val="0"/>
              <w:jc w:val="right"/>
              <w:rPr>
                <w:rFonts w:ascii="Calibri" w:hAnsi="Calibri" w:cs="Calibri"/>
                <w:b/>
                <w:bCs/>
                <w:sz w:val="16"/>
                <w:szCs w:val="16"/>
              </w:rPr>
            </w:pPr>
            <w:r w:rsidRPr="003954D9">
              <w:rPr>
                <w:rFonts w:ascii="Calibri" w:hAnsi="Calibri" w:cs="Calibri"/>
                <w:b/>
                <w:bCs/>
                <w:color w:val="0070C0"/>
                <w:sz w:val="16"/>
                <w:szCs w:val="16"/>
              </w:rPr>
              <w:t>1,68</w:t>
            </w:r>
          </w:p>
        </w:tc>
        <w:tc>
          <w:tcPr>
            <w:tcW w:w="709" w:type="dxa"/>
            <w:tcBorders>
              <w:top w:val="single" w:sz="6" w:space="0" w:color="auto"/>
              <w:left w:val="single" w:sz="6" w:space="0" w:color="auto"/>
              <w:bottom w:val="single" w:sz="6" w:space="0" w:color="auto"/>
              <w:right w:val="single" w:sz="6" w:space="0" w:color="auto"/>
            </w:tcBorders>
          </w:tcPr>
          <w:p w14:paraId="0B9C046D"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1,77</w:t>
            </w:r>
          </w:p>
        </w:tc>
        <w:tc>
          <w:tcPr>
            <w:tcW w:w="851" w:type="dxa"/>
            <w:tcBorders>
              <w:top w:val="single" w:sz="6" w:space="0" w:color="auto"/>
              <w:left w:val="single" w:sz="6" w:space="0" w:color="auto"/>
              <w:bottom w:val="single" w:sz="6" w:space="0" w:color="auto"/>
              <w:right w:val="single" w:sz="6" w:space="0" w:color="auto"/>
            </w:tcBorders>
          </w:tcPr>
          <w:p w14:paraId="7B627F18" w14:textId="77777777" w:rsidR="00515BC5" w:rsidRPr="003954D9" w:rsidRDefault="00515BC5">
            <w:pPr>
              <w:autoSpaceDE w:val="0"/>
              <w:autoSpaceDN w:val="0"/>
              <w:adjustRightInd w:val="0"/>
              <w:jc w:val="right"/>
              <w:rPr>
                <w:rFonts w:ascii="Calibri" w:hAnsi="Calibri" w:cs="Calibri"/>
                <w:bCs/>
                <w:color w:val="0066CC"/>
                <w:sz w:val="16"/>
                <w:szCs w:val="16"/>
              </w:rPr>
            </w:pPr>
            <w:r w:rsidRPr="003954D9">
              <w:rPr>
                <w:rFonts w:ascii="Calibri" w:hAnsi="Calibri" w:cs="Calibri"/>
                <w:bCs/>
                <w:sz w:val="16"/>
                <w:szCs w:val="16"/>
              </w:rPr>
              <w:t>1,73</w:t>
            </w:r>
          </w:p>
        </w:tc>
        <w:tc>
          <w:tcPr>
            <w:tcW w:w="850" w:type="dxa"/>
            <w:tcBorders>
              <w:top w:val="single" w:sz="6" w:space="0" w:color="auto"/>
              <w:left w:val="single" w:sz="6" w:space="0" w:color="auto"/>
              <w:bottom w:val="single" w:sz="6" w:space="0" w:color="auto"/>
              <w:right w:val="single" w:sz="6" w:space="0" w:color="auto"/>
            </w:tcBorders>
          </w:tcPr>
          <w:p w14:paraId="0CB2B016"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851" w:type="dxa"/>
            <w:tcBorders>
              <w:top w:val="single" w:sz="6" w:space="0" w:color="auto"/>
              <w:left w:val="single" w:sz="6" w:space="0" w:color="auto"/>
              <w:bottom w:val="single" w:sz="6" w:space="0" w:color="auto"/>
              <w:right w:val="single" w:sz="6" w:space="0" w:color="auto"/>
            </w:tcBorders>
          </w:tcPr>
          <w:p w14:paraId="3E19F2EA"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2,50</w:t>
            </w:r>
          </w:p>
        </w:tc>
        <w:tc>
          <w:tcPr>
            <w:tcW w:w="850" w:type="dxa"/>
            <w:tcBorders>
              <w:top w:val="single" w:sz="6" w:space="0" w:color="auto"/>
              <w:left w:val="single" w:sz="6" w:space="0" w:color="auto"/>
              <w:bottom w:val="single" w:sz="6" w:space="0" w:color="auto"/>
              <w:right w:val="single" w:sz="6" w:space="0" w:color="auto"/>
            </w:tcBorders>
          </w:tcPr>
          <w:p w14:paraId="0488DA52"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1,88</w:t>
            </w:r>
          </w:p>
        </w:tc>
        <w:tc>
          <w:tcPr>
            <w:tcW w:w="851" w:type="dxa"/>
            <w:tcBorders>
              <w:top w:val="single" w:sz="6" w:space="0" w:color="auto"/>
              <w:left w:val="single" w:sz="6" w:space="0" w:color="auto"/>
              <w:bottom w:val="single" w:sz="6" w:space="0" w:color="auto"/>
              <w:right w:val="single" w:sz="6" w:space="0" w:color="auto"/>
            </w:tcBorders>
          </w:tcPr>
          <w:p w14:paraId="112C3111"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2,09</w:t>
            </w:r>
          </w:p>
        </w:tc>
        <w:tc>
          <w:tcPr>
            <w:tcW w:w="992" w:type="dxa"/>
            <w:tcBorders>
              <w:top w:val="single" w:sz="6" w:space="0" w:color="auto"/>
              <w:left w:val="single" w:sz="6" w:space="0" w:color="auto"/>
              <w:bottom w:val="single" w:sz="6" w:space="0" w:color="auto"/>
              <w:right w:val="single" w:sz="6" w:space="0" w:color="auto"/>
            </w:tcBorders>
          </w:tcPr>
          <w:p w14:paraId="67631245" w14:textId="77777777" w:rsidR="00515BC5" w:rsidRPr="003954D9" w:rsidRDefault="00515BC5">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r>
    </w:tbl>
    <w:p w14:paraId="5DF413F8" w14:textId="77777777" w:rsidR="008D47B8" w:rsidRPr="003954D9" w:rsidRDefault="008D47B8" w:rsidP="008D47B8">
      <w:pPr>
        <w:rPr>
          <w:sz w:val="16"/>
          <w:szCs w:val="16"/>
        </w:rPr>
      </w:pPr>
      <w:r w:rsidRPr="004F7B81">
        <w:rPr>
          <w:b/>
          <w:color w:val="FF0000"/>
          <w:sz w:val="16"/>
          <w:szCs w:val="16"/>
        </w:rPr>
        <w:t>Röd färg högsta</w:t>
      </w:r>
      <w:r w:rsidRPr="004F7B81">
        <w:rPr>
          <w:color w:val="FF0000"/>
          <w:sz w:val="16"/>
          <w:szCs w:val="16"/>
        </w:rPr>
        <w:t xml:space="preserve"> </w:t>
      </w:r>
      <w:r w:rsidRPr="003954D9">
        <w:rPr>
          <w:sz w:val="16"/>
          <w:szCs w:val="16"/>
        </w:rPr>
        <w:t xml:space="preserve">och </w:t>
      </w:r>
      <w:r w:rsidRPr="004F7B81">
        <w:rPr>
          <w:b/>
          <w:color w:val="0070C0"/>
          <w:sz w:val="16"/>
          <w:szCs w:val="16"/>
        </w:rPr>
        <w:t>blå färg lägsta</w:t>
      </w:r>
      <w:r w:rsidRPr="004F7B81">
        <w:rPr>
          <w:color w:val="0070C0"/>
          <w:sz w:val="16"/>
          <w:szCs w:val="16"/>
        </w:rPr>
        <w:t xml:space="preserve"> </w:t>
      </w:r>
      <w:r w:rsidRPr="003954D9">
        <w:rPr>
          <w:sz w:val="16"/>
          <w:szCs w:val="16"/>
        </w:rPr>
        <w:t>värde i grupp.</w:t>
      </w:r>
    </w:p>
    <w:p w14:paraId="4264C4D2" w14:textId="5DC0A21C" w:rsidR="0021660D" w:rsidRPr="003954D9" w:rsidRDefault="006137B7" w:rsidP="0021660D">
      <w:pPr>
        <w:pStyle w:val="Rubrik3"/>
      </w:pPr>
      <w:bookmarkStart w:id="152" w:name="_Toc463184423"/>
      <w:bookmarkStart w:id="153" w:name="_Toc464828430"/>
      <w:r w:rsidRPr="003954D9">
        <w:rPr>
          <w:lang w:eastAsia="en-US"/>
        </w:rPr>
        <w:t>Lägenhetstyper och andel i riskzonen vid en hyreshöjning</w:t>
      </w:r>
      <w:r w:rsidR="001059CA" w:rsidRPr="003954D9">
        <w:rPr>
          <w:lang w:eastAsia="en-US"/>
        </w:rPr>
        <w:t xml:space="preserve"> </w:t>
      </w:r>
      <w:r w:rsidR="00DD505D" w:rsidRPr="003954D9">
        <w:t>–</w:t>
      </w:r>
      <w:r w:rsidR="0021660D" w:rsidRPr="003954D9">
        <w:t xml:space="preserve"> </w:t>
      </w:r>
      <w:r w:rsidR="00DD505D" w:rsidRPr="003954D9">
        <w:t>hela urvalet</w:t>
      </w:r>
      <w:bookmarkEnd w:id="152"/>
      <w:bookmarkEnd w:id="153"/>
    </w:p>
    <w:p w14:paraId="46C852B4" w14:textId="6D8B6F31" w:rsidR="0021660D" w:rsidRPr="003954D9" w:rsidRDefault="0056032A" w:rsidP="00B336DA">
      <w:r w:rsidRPr="003954D9">
        <w:t xml:space="preserve">Som vi tidigare redovisat </w:t>
      </w:r>
      <w:r w:rsidR="000B1A2B">
        <w:t>når</w:t>
      </w:r>
      <w:r w:rsidR="00E601B0" w:rsidRPr="003954D9">
        <w:t xml:space="preserve"> nära </w:t>
      </w:r>
      <w:r w:rsidR="00B336DA" w:rsidRPr="003954D9">
        <w:t xml:space="preserve">15 procent av alla hushåll redan vid dagens hyresnivå inte en skälig levnadsnivå </w:t>
      </w:r>
      <w:r w:rsidR="00716D62" w:rsidRPr="003954D9">
        <w:t>när</w:t>
      </w:r>
      <w:r w:rsidR="00E601B0" w:rsidRPr="003954D9">
        <w:t xml:space="preserve"> hyran är</w:t>
      </w:r>
      <w:r w:rsidR="00B336DA" w:rsidRPr="003954D9">
        <w:t xml:space="preserve"> betal</w:t>
      </w:r>
      <w:r w:rsidR="00E601B0" w:rsidRPr="003954D9">
        <w:t>d.</w:t>
      </w:r>
      <w:r w:rsidR="00B336DA" w:rsidRPr="003954D9">
        <w:t xml:space="preserve"> Men det </w:t>
      </w:r>
      <w:r w:rsidR="00E601B0" w:rsidRPr="003954D9">
        <w:t>finns</w:t>
      </w:r>
      <w:r w:rsidR="00B336DA" w:rsidRPr="003954D9">
        <w:t xml:space="preserve"> skillnader mellan boende i de olika lägenhetstyperna. </w:t>
      </w:r>
    </w:p>
    <w:p w14:paraId="044A2B1A" w14:textId="55DA62FD" w:rsidR="006137B7" w:rsidRPr="003954D9" w:rsidRDefault="004F7B81" w:rsidP="00235596">
      <w:pPr>
        <w:spacing w:before="120"/>
      </w:pPr>
      <w:r>
        <w:t>2 r</w:t>
      </w:r>
      <w:r w:rsidR="000B1A2B">
        <w:t xml:space="preserve">ok </w:t>
      </w:r>
      <w:r w:rsidR="006137B7" w:rsidRPr="003954D9">
        <w:t>och 3 r</w:t>
      </w:r>
      <w:r w:rsidR="000B1A2B">
        <w:t xml:space="preserve">ok </w:t>
      </w:r>
      <w:r>
        <w:t>utgör</w:t>
      </w:r>
      <w:r w:rsidR="006137B7" w:rsidRPr="003954D9">
        <w:t xml:space="preserve"> över 60 procent av hyreslägenheterna i undersökningen men </w:t>
      </w:r>
      <w:r>
        <w:t xml:space="preserve">står </w:t>
      </w:r>
      <w:r w:rsidR="006137B7" w:rsidRPr="003954D9">
        <w:t xml:space="preserve">för drygt 70 procent av </w:t>
      </w:r>
      <w:r>
        <w:t>hushållen</w:t>
      </w:r>
      <w:r w:rsidR="006137B7" w:rsidRPr="003954D9">
        <w:t xml:space="preserve"> som hamnar i riskzonen vid en höjning på 50 </w:t>
      </w:r>
      <w:r w:rsidR="00475673" w:rsidRPr="003954D9">
        <w:t>procent</w:t>
      </w:r>
      <w:r w:rsidR="006137B7" w:rsidRPr="003954D9">
        <w:t xml:space="preserve">. Andelsmässigt är också ökningen störst i dessa lägenhetsstorlekar. Man kan också se att hushållen i </w:t>
      </w:r>
      <w:r w:rsidR="00E601B0" w:rsidRPr="003954D9">
        <w:t xml:space="preserve">de </w:t>
      </w:r>
      <w:r w:rsidR="006137B7" w:rsidRPr="003954D9">
        <w:t xml:space="preserve">mindre bostäderna klarar sig bättre än hushållen i de medelstora bostäderna. </w:t>
      </w:r>
    </w:p>
    <w:p w14:paraId="3A4951A8" w14:textId="4E831B66" w:rsidR="0021660D" w:rsidRPr="003954D9" w:rsidRDefault="0021660D" w:rsidP="00235596">
      <w:pPr>
        <w:spacing w:before="120"/>
      </w:pPr>
      <w:r w:rsidRPr="003954D9">
        <w:t xml:space="preserve">Högst andel som hamnar i riskzonen vid </w:t>
      </w:r>
      <w:r w:rsidR="00E601B0" w:rsidRPr="003954D9">
        <w:t xml:space="preserve">en </w:t>
      </w:r>
      <w:r w:rsidRPr="003954D9">
        <w:t>hyreshöjning på 50</w:t>
      </w:r>
      <w:r w:rsidR="00DD505D" w:rsidRPr="003954D9">
        <w:t xml:space="preserve"> </w:t>
      </w:r>
      <w:r w:rsidR="00475673" w:rsidRPr="003954D9">
        <w:t>procent</w:t>
      </w:r>
      <w:r w:rsidRPr="003954D9">
        <w:t xml:space="preserve"> </w:t>
      </w:r>
      <w:r w:rsidR="00144984">
        <w:t xml:space="preserve">har de som </w:t>
      </w:r>
      <w:r w:rsidRPr="003954D9">
        <w:t>bor i 3 r</w:t>
      </w:r>
      <w:r w:rsidR="004F7B81">
        <w:t>um och kök</w:t>
      </w:r>
      <w:r w:rsidRPr="003954D9">
        <w:t xml:space="preserve"> följ</w:t>
      </w:r>
      <w:r w:rsidR="00E601B0" w:rsidRPr="003954D9">
        <w:t>d</w:t>
      </w:r>
      <w:r w:rsidR="00144984">
        <w:t>a</w:t>
      </w:r>
      <w:r w:rsidRPr="003954D9">
        <w:t xml:space="preserve"> av </w:t>
      </w:r>
      <w:r w:rsidR="00E601B0" w:rsidRPr="003954D9">
        <w:t>boen</w:t>
      </w:r>
      <w:r w:rsidRPr="003954D9">
        <w:t>de i 2 r</w:t>
      </w:r>
      <w:r w:rsidR="004F7B81">
        <w:t>um och kök</w:t>
      </w:r>
      <w:r w:rsidRPr="003954D9">
        <w:t xml:space="preserve">. Lägst andel </w:t>
      </w:r>
      <w:r w:rsidR="00144984">
        <w:t>har</w:t>
      </w:r>
      <w:r w:rsidRPr="003954D9">
        <w:t xml:space="preserve"> hushållen i 4 </w:t>
      </w:r>
      <w:r w:rsidR="004F7B81">
        <w:t>rum och kök</w:t>
      </w:r>
      <w:r w:rsidRPr="003954D9">
        <w:t>. Hushållen i de minsta lägenheterna har idag högst andel i</w:t>
      </w:r>
      <w:r w:rsidR="004D6209" w:rsidRPr="003954D9">
        <w:t xml:space="preserve"> riskzonen, men andelen ökar inte lika mycket som bland </w:t>
      </w:r>
      <w:r w:rsidR="00511CCB" w:rsidRPr="003954D9">
        <w:t>hushållen</w:t>
      </w:r>
      <w:r w:rsidR="004D6209" w:rsidRPr="003954D9">
        <w:t xml:space="preserve"> i större lägenheter när hyrorna stiger. </w:t>
      </w:r>
      <w:r w:rsidR="00E601B0" w:rsidRPr="003954D9">
        <w:t>T</w:t>
      </w:r>
      <w:r w:rsidR="004D6209" w:rsidRPr="003954D9">
        <w:t xml:space="preserve">rots att </w:t>
      </w:r>
      <w:r w:rsidR="00E601B0" w:rsidRPr="003954D9">
        <w:t xml:space="preserve">hushållen </w:t>
      </w:r>
      <w:r w:rsidR="004D6209" w:rsidRPr="003954D9">
        <w:t xml:space="preserve">i de minsta </w:t>
      </w:r>
      <w:r w:rsidR="004D6209" w:rsidRPr="003954D9">
        <w:lastRenderedPageBreak/>
        <w:t>lägenheterna</w:t>
      </w:r>
      <w:r w:rsidR="00E601B0" w:rsidRPr="003954D9">
        <w:t xml:space="preserve"> – 1 r</w:t>
      </w:r>
      <w:r w:rsidR="004F7B81">
        <w:t>um och kokvrå (inklusive 1 rum och kokskåp)</w:t>
      </w:r>
      <w:r w:rsidR="00E601B0" w:rsidRPr="003954D9">
        <w:t xml:space="preserve"> –</w:t>
      </w:r>
      <w:r w:rsidR="004D6209" w:rsidRPr="003954D9">
        <w:t xml:space="preserve"> har e</w:t>
      </w:r>
      <w:r w:rsidR="00E601B0" w:rsidRPr="003954D9">
        <w:t>tt</w:t>
      </w:r>
      <w:r w:rsidR="004D6209" w:rsidRPr="003954D9">
        <w:t xml:space="preserve"> högre antal personer per lägenhet än </w:t>
      </w:r>
      <w:r w:rsidR="00E601B0" w:rsidRPr="003954D9">
        <w:t>hushållen</w:t>
      </w:r>
      <w:r w:rsidR="004D6209" w:rsidRPr="003954D9">
        <w:t xml:space="preserve"> i 1 r</w:t>
      </w:r>
      <w:r w:rsidR="004F7B81">
        <w:t>um och kök</w:t>
      </w:r>
      <w:r w:rsidR="004D6209" w:rsidRPr="003954D9">
        <w:t xml:space="preserve">, så har de idag – innan hyreshöjningar – den högsta andelen </w:t>
      </w:r>
      <w:r w:rsidR="00E601B0" w:rsidRPr="003954D9">
        <w:t xml:space="preserve">hushållen </w:t>
      </w:r>
      <w:r w:rsidR="004D6209" w:rsidRPr="003954D9">
        <w:t>i riskzonen (21 procent).</w:t>
      </w:r>
      <w:r w:rsidR="005E22D9" w:rsidRPr="003954D9">
        <w:t xml:space="preserve"> </w:t>
      </w:r>
      <w:r w:rsidR="00E601B0" w:rsidRPr="003954D9">
        <w:t>Det beror sannolikt på att inkomsterna är mycket låga</w:t>
      </w:r>
      <w:r w:rsidR="003A4398" w:rsidRPr="003954D9">
        <w:t xml:space="preserve"> för ett antal av</w:t>
      </w:r>
      <w:r w:rsidR="00E601B0" w:rsidRPr="003954D9">
        <w:t xml:space="preserve"> hushållen i 1 r</w:t>
      </w:r>
      <w:r w:rsidR="004F7B81">
        <w:t>um och kokvrå</w:t>
      </w:r>
      <w:r w:rsidR="00E601B0" w:rsidRPr="003954D9">
        <w:t xml:space="preserve">. </w:t>
      </w:r>
      <w:r w:rsidR="005E22D9" w:rsidRPr="003954D9">
        <w:t>Se diagram 6:1 och 6:2</w:t>
      </w:r>
      <w:r w:rsidR="004F7B81">
        <w:t>.</w:t>
      </w:r>
    </w:p>
    <w:p w14:paraId="296152DD" w14:textId="77777777" w:rsidR="00526BF8" w:rsidRDefault="004D6209" w:rsidP="00B12933">
      <w:pPr>
        <w:pStyle w:val="Rubrik5"/>
      </w:pPr>
      <w:r w:rsidRPr="003954D9">
        <w:t xml:space="preserve">Diagram </w:t>
      </w:r>
      <w:r w:rsidR="006E3B2D" w:rsidRPr="003954D9">
        <w:t>6:1</w:t>
      </w:r>
      <w:r w:rsidR="00E47D8A" w:rsidRPr="003954D9">
        <w:tab/>
      </w:r>
      <w:r w:rsidR="00E47D8A" w:rsidRPr="003954D9">
        <w:tab/>
      </w:r>
      <w:r w:rsidR="00E47D8A" w:rsidRPr="003954D9">
        <w:tab/>
        <w:t xml:space="preserve">                  </w:t>
      </w:r>
    </w:p>
    <w:p w14:paraId="38F57F79" w14:textId="77777777" w:rsidR="00523800" w:rsidRDefault="00526BF8" w:rsidP="00523800">
      <w:r w:rsidRPr="00526BF8">
        <w:rPr>
          <w:noProof/>
        </w:rPr>
        <w:drawing>
          <wp:inline distT="0" distB="0" distL="0" distR="0" wp14:anchorId="1F1DBEA4" wp14:editId="45F3722C">
            <wp:extent cx="3657600" cy="3926923"/>
            <wp:effectExtent l="0" t="0" r="0" b="0"/>
            <wp:docPr id="140" name="Bildobjekt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63679" cy="3933450"/>
                    </a:xfrm>
                    <a:prstGeom prst="rect">
                      <a:avLst/>
                    </a:prstGeom>
                    <a:noFill/>
                    <a:ln>
                      <a:noFill/>
                    </a:ln>
                  </pic:spPr>
                </pic:pic>
              </a:graphicData>
            </a:graphic>
          </wp:inline>
        </w:drawing>
      </w:r>
    </w:p>
    <w:p w14:paraId="7E0F1476" w14:textId="4416C7A3" w:rsidR="0021660D" w:rsidRPr="003954D9" w:rsidRDefault="00E47D8A" w:rsidP="00523800">
      <w:r w:rsidRPr="003954D9">
        <w:t xml:space="preserve"> Diagram </w:t>
      </w:r>
      <w:r w:rsidR="006E3B2D" w:rsidRPr="003954D9">
        <w:t>6:2</w:t>
      </w:r>
    </w:p>
    <w:p w14:paraId="1830EBAD" w14:textId="6ACF8A89" w:rsidR="009B2DB1" w:rsidRPr="003954D9" w:rsidRDefault="00526BF8" w:rsidP="00B336DA">
      <w:r w:rsidRPr="00526BF8">
        <w:rPr>
          <w:noProof/>
        </w:rPr>
        <w:drawing>
          <wp:inline distT="0" distB="0" distL="0" distR="0" wp14:anchorId="18173D06" wp14:editId="1120B9D0">
            <wp:extent cx="3690906" cy="3943350"/>
            <wp:effectExtent l="0" t="0" r="5080" b="0"/>
            <wp:docPr id="141" name="Bildobjekt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96265" cy="3949076"/>
                    </a:xfrm>
                    <a:prstGeom prst="rect">
                      <a:avLst/>
                    </a:prstGeom>
                    <a:noFill/>
                    <a:ln>
                      <a:noFill/>
                    </a:ln>
                  </pic:spPr>
                </pic:pic>
              </a:graphicData>
            </a:graphic>
          </wp:inline>
        </w:drawing>
      </w:r>
    </w:p>
    <w:p w14:paraId="6F347671" w14:textId="0A626FDF" w:rsidR="00337BA8" w:rsidRPr="003954D9" w:rsidRDefault="00337BA8" w:rsidP="00337BA8">
      <w:pPr>
        <w:pStyle w:val="Rubrik3"/>
      </w:pPr>
      <w:bookmarkStart w:id="154" w:name="_Toc463184424"/>
      <w:bookmarkStart w:id="155" w:name="_Toc464828431"/>
      <w:r w:rsidRPr="003954D9">
        <w:rPr>
          <w:lang w:eastAsia="en-US"/>
        </w:rPr>
        <w:lastRenderedPageBreak/>
        <w:t>Lägenhetstyper och andel i riskzonen vid hyreshöjning</w:t>
      </w:r>
      <w:r w:rsidRPr="003954D9">
        <w:t>– stadsdelarna</w:t>
      </w:r>
      <w:bookmarkEnd w:id="154"/>
      <w:bookmarkEnd w:id="155"/>
    </w:p>
    <w:p w14:paraId="2498286D" w14:textId="2A2D773C" w:rsidR="00E25A81" w:rsidRPr="003954D9" w:rsidRDefault="0050602B" w:rsidP="00E25A81">
      <w:pPr>
        <w:pStyle w:val="Rubrik4"/>
      </w:pPr>
      <w:r w:rsidRPr="003954D9">
        <w:t xml:space="preserve">Hyreshöjning </w:t>
      </w:r>
      <w:r w:rsidR="00BF22AF" w:rsidRPr="003954D9">
        <w:t xml:space="preserve">50 </w:t>
      </w:r>
      <w:r w:rsidR="00475673" w:rsidRPr="003954D9">
        <w:t>procent</w:t>
      </w:r>
      <w:r w:rsidR="00DD505D" w:rsidRPr="003954D9">
        <w:t xml:space="preserve"> </w:t>
      </w:r>
    </w:p>
    <w:p w14:paraId="768CFA16" w14:textId="20E26570" w:rsidR="009610B4" w:rsidRPr="003954D9" w:rsidRDefault="005D1016" w:rsidP="005D1016">
      <w:r w:rsidRPr="003954D9">
        <w:t>Sammantaget är det boende i Angered som påverkas mest, men ser man till de enskilda lägenhetstyperna är det i andra stadsdelar man finner störst påverka</w:t>
      </w:r>
      <w:r w:rsidR="005F03BA" w:rsidRPr="003954D9">
        <w:t>n</w:t>
      </w:r>
      <w:r w:rsidR="00FE4E16" w:rsidRPr="003954D9">
        <w:t xml:space="preserve"> i enskilda lägenhetstyper</w:t>
      </w:r>
      <w:r w:rsidRPr="003954D9">
        <w:t xml:space="preserve">. I de vanligaste storlekarna är det boende i Västra Hisingen (2 rok) och Östra Göteborg (3 rok) som råkar värst ut. Östra Göteborg ligger i topp också för </w:t>
      </w:r>
      <w:r w:rsidR="009610B4" w:rsidRPr="003954D9">
        <w:t xml:space="preserve">1 rokv och </w:t>
      </w:r>
      <w:r w:rsidR="0096125F" w:rsidRPr="003954D9">
        <w:t>3 rok</w:t>
      </w:r>
      <w:r w:rsidR="009610B4" w:rsidRPr="003954D9">
        <w:t xml:space="preserve">, men de </w:t>
      </w:r>
      <w:r w:rsidR="005F03BA" w:rsidRPr="003954D9">
        <w:t xml:space="preserve">senare </w:t>
      </w:r>
      <w:r w:rsidR="009610B4" w:rsidRPr="003954D9">
        <w:t xml:space="preserve">är få. </w:t>
      </w:r>
      <w:r w:rsidR="00511CCB" w:rsidRPr="003954D9">
        <w:t>Även b</w:t>
      </w:r>
      <w:r w:rsidR="009610B4" w:rsidRPr="003954D9">
        <w:t>oende i 1 rok i Västra Hisingen hör också till den grupp som råkar värst ut. Minst effekt har höjningen i Lundby</w:t>
      </w:r>
      <w:r w:rsidR="0096125F" w:rsidRPr="003954D9">
        <w:t>,</w:t>
      </w:r>
      <w:r w:rsidR="009610B4" w:rsidRPr="003954D9">
        <w:t xml:space="preserve"> Örgryte-Härlanda</w:t>
      </w:r>
      <w:r w:rsidR="0096125F" w:rsidRPr="003954D9">
        <w:t xml:space="preserve"> och </w:t>
      </w:r>
      <w:r w:rsidR="005F03BA" w:rsidRPr="003954D9">
        <w:t>Västra Göteborg</w:t>
      </w:r>
      <w:r w:rsidR="0096125F" w:rsidRPr="003954D9">
        <w:t xml:space="preserve">. </w:t>
      </w:r>
      <w:r w:rsidR="00526BF8">
        <w:t>Se tabell 6:5.</w:t>
      </w:r>
    </w:p>
    <w:p w14:paraId="2A72DEA7" w14:textId="1D0DBADA" w:rsidR="00A47BC7" w:rsidRPr="003954D9" w:rsidRDefault="0050602B" w:rsidP="0050602B">
      <w:pPr>
        <w:pStyle w:val="Rubrik5"/>
      </w:pPr>
      <w:r w:rsidRPr="003954D9">
        <w:t xml:space="preserve">Tabell </w:t>
      </w:r>
      <w:r w:rsidR="006E3B2D" w:rsidRPr="003954D9">
        <w:t>6:</w:t>
      </w:r>
      <w:r w:rsidR="00553684" w:rsidRPr="003954D9">
        <w:t>5</w:t>
      </w:r>
      <w:r w:rsidR="005D1016" w:rsidRPr="003954D9">
        <w:t>:</w:t>
      </w:r>
      <w:r w:rsidR="00A47BC7" w:rsidRPr="003954D9">
        <w:t xml:space="preserve"> Andel i riskzonen vi</w:t>
      </w:r>
      <w:r w:rsidR="005D1016" w:rsidRPr="003954D9">
        <w:t xml:space="preserve">d en hyreshöjning på 50 procent - </w:t>
      </w:r>
      <w:r w:rsidR="00A47BC7" w:rsidRPr="003954D9">
        <w:t>lägenhetstyp och stadsdel</w:t>
      </w:r>
      <w:r w:rsidR="00513F7B" w:rsidRPr="003954D9">
        <w:t xml:space="preserve"> </w:t>
      </w:r>
      <w:r w:rsidR="007656C8" w:rsidRPr="003954D9">
        <w:rPr>
          <w:rStyle w:val="Fotnotsreferens"/>
          <w:color w:val="548DD4" w:themeColor="text2" w:themeTint="99"/>
        </w:rPr>
        <w:footnoteReference w:id="8"/>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850"/>
        <w:gridCol w:w="851"/>
        <w:gridCol w:w="850"/>
        <w:gridCol w:w="708"/>
        <w:gridCol w:w="885"/>
        <w:gridCol w:w="838"/>
        <w:gridCol w:w="830"/>
        <w:gridCol w:w="850"/>
        <w:gridCol w:w="883"/>
        <w:gridCol w:w="871"/>
      </w:tblGrid>
      <w:tr w:rsidR="00A47BC7" w:rsidRPr="003954D9" w14:paraId="605B5C74" w14:textId="77777777" w:rsidTr="00344E97">
        <w:trPr>
          <w:trHeight w:val="227"/>
        </w:trPr>
        <w:tc>
          <w:tcPr>
            <w:tcW w:w="910" w:type="dxa"/>
          </w:tcPr>
          <w:p w14:paraId="13D46F18" w14:textId="619DF135" w:rsidR="00A47BC7" w:rsidRPr="003954D9" w:rsidRDefault="00344E9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Lägen</w:t>
            </w:r>
            <w:r w:rsidR="00A47BC7" w:rsidRPr="003954D9">
              <w:rPr>
                <w:rFonts w:ascii="Calibri" w:eastAsiaTheme="minorHAnsi" w:hAnsi="Calibri" w:cs="Calibri"/>
                <w:b/>
                <w:bCs/>
                <w:color w:val="000000"/>
                <w:sz w:val="16"/>
                <w:szCs w:val="16"/>
                <w:lang w:eastAsia="en-US"/>
              </w:rPr>
              <w:t>hets</w:t>
            </w:r>
            <w:r w:rsidRPr="003954D9">
              <w:rPr>
                <w:rFonts w:ascii="Calibri" w:eastAsiaTheme="minorHAnsi" w:hAnsi="Calibri" w:cs="Calibri"/>
                <w:b/>
                <w:bCs/>
                <w:color w:val="000000"/>
                <w:sz w:val="16"/>
                <w:szCs w:val="16"/>
                <w:lang w:eastAsia="en-US"/>
              </w:rPr>
              <w:t>-</w:t>
            </w:r>
            <w:r w:rsidR="00A47BC7" w:rsidRPr="003954D9">
              <w:rPr>
                <w:rFonts w:ascii="Calibri" w:eastAsiaTheme="minorHAnsi" w:hAnsi="Calibri" w:cs="Calibri"/>
                <w:b/>
                <w:bCs/>
                <w:color w:val="000000"/>
                <w:sz w:val="16"/>
                <w:szCs w:val="16"/>
                <w:lang w:eastAsia="en-US"/>
              </w:rPr>
              <w:t>typ</w:t>
            </w:r>
          </w:p>
        </w:tc>
        <w:tc>
          <w:tcPr>
            <w:tcW w:w="850" w:type="dxa"/>
          </w:tcPr>
          <w:p w14:paraId="57B6B350"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51" w:type="dxa"/>
          </w:tcPr>
          <w:p w14:paraId="1709E01D" w14:textId="0E9A6CC1" w:rsidR="00A47BC7" w:rsidRPr="003954D9" w:rsidRDefault="009610B4"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Askim-Frölunda-</w:t>
            </w:r>
            <w:r w:rsidR="00A47BC7" w:rsidRPr="003954D9">
              <w:rPr>
                <w:rFonts w:ascii="Calibri" w:eastAsiaTheme="minorHAnsi" w:hAnsi="Calibri" w:cs="Calibri"/>
                <w:b/>
                <w:bCs/>
                <w:color w:val="000000"/>
                <w:sz w:val="16"/>
                <w:szCs w:val="16"/>
                <w:lang w:eastAsia="en-US"/>
              </w:rPr>
              <w:t xml:space="preserve"> Högsbo</w:t>
            </w:r>
          </w:p>
        </w:tc>
        <w:tc>
          <w:tcPr>
            <w:tcW w:w="850" w:type="dxa"/>
          </w:tcPr>
          <w:p w14:paraId="70E784CF"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08" w:type="dxa"/>
          </w:tcPr>
          <w:p w14:paraId="7CDEF5F4"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85" w:type="dxa"/>
          </w:tcPr>
          <w:p w14:paraId="108E7C1E" w14:textId="287BA904" w:rsidR="00A47BC7" w:rsidRPr="003954D9" w:rsidRDefault="00A47BC7" w:rsidP="009610B4">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w:t>
            </w:r>
            <w:r w:rsidR="009610B4" w:rsidRPr="003954D9">
              <w:rPr>
                <w:rFonts w:ascii="Calibri" w:eastAsiaTheme="minorHAnsi" w:hAnsi="Calibri" w:cs="Calibri"/>
                <w:b/>
                <w:bCs/>
                <w:color w:val="000000"/>
                <w:sz w:val="16"/>
                <w:szCs w:val="16"/>
                <w:lang w:eastAsia="en-US"/>
              </w:rPr>
              <w:t>-</w:t>
            </w:r>
            <w:r w:rsidRPr="003954D9">
              <w:rPr>
                <w:rFonts w:ascii="Calibri" w:eastAsiaTheme="minorHAnsi" w:hAnsi="Calibri" w:cs="Calibri"/>
                <w:b/>
                <w:bCs/>
                <w:color w:val="000000"/>
                <w:sz w:val="16"/>
                <w:szCs w:val="16"/>
                <w:lang w:eastAsia="en-US"/>
              </w:rPr>
              <w:t xml:space="preserve"> Linn</w:t>
            </w:r>
            <w:r w:rsidR="009610B4" w:rsidRPr="003954D9">
              <w:rPr>
                <w:rFonts w:ascii="Calibri" w:eastAsiaTheme="minorHAnsi" w:hAnsi="Calibri" w:cs="Calibri"/>
                <w:b/>
                <w:bCs/>
                <w:color w:val="000000"/>
                <w:sz w:val="16"/>
                <w:szCs w:val="16"/>
                <w:lang w:eastAsia="en-US"/>
              </w:rPr>
              <w:t>é</w:t>
            </w:r>
          </w:p>
        </w:tc>
        <w:tc>
          <w:tcPr>
            <w:tcW w:w="838" w:type="dxa"/>
          </w:tcPr>
          <w:p w14:paraId="453C42B8"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830" w:type="dxa"/>
          </w:tcPr>
          <w:p w14:paraId="33D8730C"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850" w:type="dxa"/>
          </w:tcPr>
          <w:p w14:paraId="11C263E9" w14:textId="010FBCE2" w:rsidR="00A47BC7" w:rsidRPr="003954D9" w:rsidRDefault="009610B4"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w:t>
            </w:r>
            <w:r w:rsidR="00A47BC7" w:rsidRPr="003954D9">
              <w:rPr>
                <w:rFonts w:ascii="Calibri" w:eastAsiaTheme="minorHAnsi" w:hAnsi="Calibri" w:cs="Calibri"/>
                <w:b/>
                <w:bCs/>
                <w:color w:val="000000"/>
                <w:sz w:val="16"/>
                <w:szCs w:val="16"/>
                <w:lang w:eastAsia="en-US"/>
              </w:rPr>
              <w:t>Härland</w:t>
            </w:r>
            <w:r w:rsidRPr="003954D9">
              <w:rPr>
                <w:rFonts w:ascii="Calibri" w:eastAsiaTheme="minorHAnsi" w:hAnsi="Calibri" w:cs="Calibri"/>
                <w:b/>
                <w:bCs/>
                <w:color w:val="000000"/>
                <w:sz w:val="16"/>
                <w:szCs w:val="16"/>
                <w:lang w:eastAsia="en-US"/>
              </w:rPr>
              <w:t>a</w:t>
            </w:r>
          </w:p>
        </w:tc>
        <w:tc>
          <w:tcPr>
            <w:tcW w:w="883" w:type="dxa"/>
          </w:tcPr>
          <w:p w14:paraId="697F9F3C"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871" w:type="dxa"/>
          </w:tcPr>
          <w:p w14:paraId="600CA679"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A47BC7" w:rsidRPr="003954D9" w14:paraId="23909A3C" w14:textId="77777777" w:rsidTr="00344E97">
        <w:trPr>
          <w:trHeight w:val="227"/>
        </w:trPr>
        <w:tc>
          <w:tcPr>
            <w:tcW w:w="910" w:type="dxa"/>
          </w:tcPr>
          <w:p w14:paraId="2BF6A895" w14:textId="06B75B5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rokv</w:t>
            </w:r>
          </w:p>
        </w:tc>
        <w:tc>
          <w:tcPr>
            <w:tcW w:w="850" w:type="dxa"/>
          </w:tcPr>
          <w:p w14:paraId="30AE18D2"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28,0</w:t>
            </w:r>
          </w:p>
        </w:tc>
        <w:tc>
          <w:tcPr>
            <w:tcW w:w="851" w:type="dxa"/>
          </w:tcPr>
          <w:p w14:paraId="21FB0F1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33,2</w:t>
            </w:r>
          </w:p>
        </w:tc>
        <w:tc>
          <w:tcPr>
            <w:tcW w:w="850" w:type="dxa"/>
          </w:tcPr>
          <w:p w14:paraId="377E1D20"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32,4</w:t>
            </w:r>
          </w:p>
        </w:tc>
        <w:tc>
          <w:tcPr>
            <w:tcW w:w="708" w:type="dxa"/>
          </w:tcPr>
          <w:p w14:paraId="7C302A90"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23,9</w:t>
            </w:r>
          </w:p>
        </w:tc>
        <w:tc>
          <w:tcPr>
            <w:tcW w:w="885" w:type="dxa"/>
          </w:tcPr>
          <w:p w14:paraId="5EDDE3A0"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29,0</w:t>
            </w:r>
          </w:p>
        </w:tc>
        <w:tc>
          <w:tcPr>
            <w:tcW w:w="838" w:type="dxa"/>
          </w:tcPr>
          <w:p w14:paraId="01726126"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24,1</w:t>
            </w:r>
          </w:p>
        </w:tc>
        <w:tc>
          <w:tcPr>
            <w:tcW w:w="830" w:type="dxa"/>
          </w:tcPr>
          <w:p w14:paraId="1C059120"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30,9</w:t>
            </w:r>
          </w:p>
        </w:tc>
        <w:tc>
          <w:tcPr>
            <w:tcW w:w="850" w:type="dxa"/>
          </w:tcPr>
          <w:p w14:paraId="1C9D337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33,6</w:t>
            </w:r>
          </w:p>
        </w:tc>
        <w:tc>
          <w:tcPr>
            <w:tcW w:w="883" w:type="dxa"/>
          </w:tcPr>
          <w:p w14:paraId="55CB71F2" w14:textId="331BB5A9" w:rsidR="00A47BC7" w:rsidRPr="003954D9" w:rsidRDefault="005F03BA" w:rsidP="005F03BA">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71" w:type="dxa"/>
          </w:tcPr>
          <w:p w14:paraId="78DF24B8" w14:textId="77777777" w:rsidR="00A47BC7" w:rsidRPr="003954D9" w:rsidRDefault="00A47BC7" w:rsidP="008877C3">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37,7</w:t>
            </w:r>
          </w:p>
        </w:tc>
      </w:tr>
      <w:tr w:rsidR="00A47BC7" w:rsidRPr="003954D9" w14:paraId="2E68C199" w14:textId="77777777" w:rsidTr="00344E97">
        <w:trPr>
          <w:trHeight w:val="227"/>
        </w:trPr>
        <w:tc>
          <w:tcPr>
            <w:tcW w:w="910" w:type="dxa"/>
          </w:tcPr>
          <w:p w14:paraId="7D79BF24"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rok</w:t>
            </w:r>
          </w:p>
        </w:tc>
        <w:tc>
          <w:tcPr>
            <w:tcW w:w="850" w:type="dxa"/>
          </w:tcPr>
          <w:p w14:paraId="42A6D5FE"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33,3</w:t>
            </w:r>
          </w:p>
        </w:tc>
        <w:tc>
          <w:tcPr>
            <w:tcW w:w="851" w:type="dxa"/>
          </w:tcPr>
          <w:p w14:paraId="156C4C50"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29,4</w:t>
            </w:r>
          </w:p>
        </w:tc>
        <w:tc>
          <w:tcPr>
            <w:tcW w:w="850" w:type="dxa"/>
          </w:tcPr>
          <w:p w14:paraId="76B8672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18,8</w:t>
            </w:r>
          </w:p>
        </w:tc>
        <w:tc>
          <w:tcPr>
            <w:tcW w:w="708" w:type="dxa"/>
          </w:tcPr>
          <w:p w14:paraId="1B598DE6" w14:textId="5B375F9C" w:rsidR="00A47BC7" w:rsidRPr="003954D9" w:rsidRDefault="005F03BA" w:rsidP="005F03BA">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85" w:type="dxa"/>
          </w:tcPr>
          <w:p w14:paraId="55A55E7C"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26,7</w:t>
            </w:r>
          </w:p>
        </w:tc>
        <w:tc>
          <w:tcPr>
            <w:tcW w:w="838" w:type="dxa"/>
          </w:tcPr>
          <w:p w14:paraId="4426A226"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27,4</w:t>
            </w:r>
          </w:p>
        </w:tc>
        <w:tc>
          <w:tcPr>
            <w:tcW w:w="830" w:type="dxa"/>
          </w:tcPr>
          <w:p w14:paraId="19276340" w14:textId="77777777" w:rsidR="00A47BC7" w:rsidRPr="003954D9" w:rsidRDefault="00A47BC7" w:rsidP="008877C3">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48,4</w:t>
            </w:r>
          </w:p>
        </w:tc>
        <w:tc>
          <w:tcPr>
            <w:tcW w:w="850" w:type="dxa"/>
          </w:tcPr>
          <w:p w14:paraId="171740C1"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21,4</w:t>
            </w:r>
          </w:p>
        </w:tc>
        <w:tc>
          <w:tcPr>
            <w:tcW w:w="883" w:type="dxa"/>
          </w:tcPr>
          <w:p w14:paraId="721BEFEC"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0,0</w:t>
            </w:r>
          </w:p>
        </w:tc>
        <w:tc>
          <w:tcPr>
            <w:tcW w:w="871" w:type="dxa"/>
          </w:tcPr>
          <w:p w14:paraId="34D01956"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35,0</w:t>
            </w:r>
          </w:p>
        </w:tc>
      </w:tr>
      <w:tr w:rsidR="00A47BC7" w:rsidRPr="003954D9" w14:paraId="791D1A03" w14:textId="77777777" w:rsidTr="00344E97">
        <w:trPr>
          <w:trHeight w:val="227"/>
        </w:trPr>
        <w:tc>
          <w:tcPr>
            <w:tcW w:w="910" w:type="dxa"/>
          </w:tcPr>
          <w:p w14:paraId="03D7DDC2" w14:textId="6E5C396C" w:rsidR="0050602B" w:rsidRPr="003954D9" w:rsidRDefault="00344E97" w:rsidP="008877C3">
            <w:pPr>
              <w:autoSpaceDE w:val="0"/>
              <w:autoSpaceDN w:val="0"/>
              <w:adjustRightInd w:val="0"/>
              <w:rPr>
                <w:rFonts w:ascii="Calibri" w:eastAsiaTheme="minorHAnsi" w:hAnsi="Calibri" w:cs="Calibri"/>
                <w:bCs/>
                <w:color w:val="000000"/>
                <w:sz w:val="16"/>
                <w:szCs w:val="16"/>
                <w:lang w:eastAsia="en-US"/>
              </w:rPr>
            </w:pPr>
            <w:r w:rsidRPr="003954D9">
              <w:rPr>
                <w:rFonts w:ascii="Calibri" w:eastAsiaTheme="minorHAnsi" w:hAnsi="Calibri" w:cs="Calibri"/>
                <w:bCs/>
                <w:color w:val="000000"/>
                <w:sz w:val="16"/>
                <w:szCs w:val="16"/>
                <w:lang w:eastAsia="en-US"/>
              </w:rPr>
              <w:t>2 rokv</w:t>
            </w:r>
          </w:p>
        </w:tc>
        <w:tc>
          <w:tcPr>
            <w:tcW w:w="850" w:type="dxa"/>
          </w:tcPr>
          <w:p w14:paraId="0B63006B"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42,6</w:t>
            </w:r>
          </w:p>
        </w:tc>
        <w:tc>
          <w:tcPr>
            <w:tcW w:w="851" w:type="dxa"/>
          </w:tcPr>
          <w:p w14:paraId="7013D166" w14:textId="77777777" w:rsidR="00A47BC7" w:rsidRPr="003954D9" w:rsidRDefault="00A47BC7" w:rsidP="008877C3">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58,8</w:t>
            </w:r>
          </w:p>
        </w:tc>
        <w:tc>
          <w:tcPr>
            <w:tcW w:w="850" w:type="dxa"/>
          </w:tcPr>
          <w:p w14:paraId="43552FAA"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31,3</w:t>
            </w:r>
          </w:p>
        </w:tc>
        <w:tc>
          <w:tcPr>
            <w:tcW w:w="708" w:type="dxa"/>
          </w:tcPr>
          <w:p w14:paraId="36125F1B"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27,5</w:t>
            </w:r>
          </w:p>
        </w:tc>
        <w:tc>
          <w:tcPr>
            <w:tcW w:w="885" w:type="dxa"/>
          </w:tcPr>
          <w:p w14:paraId="79D75A2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20,3</w:t>
            </w:r>
          </w:p>
        </w:tc>
        <w:tc>
          <w:tcPr>
            <w:tcW w:w="838" w:type="dxa"/>
          </w:tcPr>
          <w:p w14:paraId="55ABB2E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33,7</w:t>
            </w:r>
          </w:p>
        </w:tc>
        <w:tc>
          <w:tcPr>
            <w:tcW w:w="830" w:type="dxa"/>
          </w:tcPr>
          <w:p w14:paraId="36FC7063" w14:textId="38AEB987" w:rsidR="00A47BC7" w:rsidRPr="003954D9" w:rsidRDefault="005F03BA" w:rsidP="005F03BA">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0" w:type="dxa"/>
          </w:tcPr>
          <w:p w14:paraId="0D705F95"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14,3</w:t>
            </w:r>
          </w:p>
        </w:tc>
        <w:tc>
          <w:tcPr>
            <w:tcW w:w="883" w:type="dxa"/>
          </w:tcPr>
          <w:p w14:paraId="2B0F93E6" w14:textId="62DE7814" w:rsidR="00A47BC7" w:rsidRPr="003954D9" w:rsidRDefault="005F03BA" w:rsidP="005F03BA">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71" w:type="dxa"/>
          </w:tcPr>
          <w:p w14:paraId="0FA99DF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40,0</w:t>
            </w:r>
          </w:p>
        </w:tc>
      </w:tr>
      <w:tr w:rsidR="00A47BC7" w:rsidRPr="003954D9" w14:paraId="0866F6D5" w14:textId="77777777" w:rsidTr="00344E97">
        <w:trPr>
          <w:trHeight w:val="227"/>
        </w:trPr>
        <w:tc>
          <w:tcPr>
            <w:tcW w:w="910" w:type="dxa"/>
          </w:tcPr>
          <w:p w14:paraId="6C7BE1C5"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rok</w:t>
            </w:r>
          </w:p>
        </w:tc>
        <w:tc>
          <w:tcPr>
            <w:tcW w:w="850" w:type="dxa"/>
          </w:tcPr>
          <w:p w14:paraId="679125F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42,2</w:t>
            </w:r>
          </w:p>
        </w:tc>
        <w:tc>
          <w:tcPr>
            <w:tcW w:w="851" w:type="dxa"/>
          </w:tcPr>
          <w:p w14:paraId="466B82F9"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33,0</w:t>
            </w:r>
          </w:p>
        </w:tc>
        <w:tc>
          <w:tcPr>
            <w:tcW w:w="850" w:type="dxa"/>
          </w:tcPr>
          <w:p w14:paraId="258C7468"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27,1</w:t>
            </w:r>
          </w:p>
        </w:tc>
        <w:tc>
          <w:tcPr>
            <w:tcW w:w="708" w:type="dxa"/>
          </w:tcPr>
          <w:p w14:paraId="185A8D7B"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20,8</w:t>
            </w:r>
          </w:p>
        </w:tc>
        <w:tc>
          <w:tcPr>
            <w:tcW w:w="885" w:type="dxa"/>
          </w:tcPr>
          <w:p w14:paraId="64F25709"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25,6</w:t>
            </w:r>
          </w:p>
        </w:tc>
        <w:tc>
          <w:tcPr>
            <w:tcW w:w="838" w:type="dxa"/>
          </w:tcPr>
          <w:p w14:paraId="4001ECAE"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34,4</w:t>
            </w:r>
          </w:p>
        </w:tc>
        <w:tc>
          <w:tcPr>
            <w:tcW w:w="830" w:type="dxa"/>
          </w:tcPr>
          <w:p w14:paraId="24E1A515" w14:textId="77777777" w:rsidR="00A47BC7" w:rsidRPr="003954D9" w:rsidRDefault="00A47BC7" w:rsidP="008877C3">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42,5</w:t>
            </w:r>
          </w:p>
        </w:tc>
        <w:tc>
          <w:tcPr>
            <w:tcW w:w="850" w:type="dxa"/>
          </w:tcPr>
          <w:p w14:paraId="7F86D03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27,9</w:t>
            </w:r>
          </w:p>
        </w:tc>
        <w:tc>
          <w:tcPr>
            <w:tcW w:w="883" w:type="dxa"/>
          </w:tcPr>
          <w:p w14:paraId="71EFF4D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27,1</w:t>
            </w:r>
          </w:p>
        </w:tc>
        <w:tc>
          <w:tcPr>
            <w:tcW w:w="871" w:type="dxa"/>
          </w:tcPr>
          <w:p w14:paraId="1D92161C"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38,0</w:t>
            </w:r>
          </w:p>
        </w:tc>
      </w:tr>
      <w:tr w:rsidR="00A47BC7" w:rsidRPr="003954D9" w14:paraId="178B9803" w14:textId="77777777" w:rsidTr="00344E97">
        <w:trPr>
          <w:trHeight w:val="227"/>
        </w:trPr>
        <w:tc>
          <w:tcPr>
            <w:tcW w:w="910" w:type="dxa"/>
          </w:tcPr>
          <w:p w14:paraId="711807DE"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 rok</w:t>
            </w:r>
          </w:p>
        </w:tc>
        <w:tc>
          <w:tcPr>
            <w:tcW w:w="850" w:type="dxa"/>
          </w:tcPr>
          <w:p w14:paraId="41F2BC38"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43,1</w:t>
            </w:r>
          </w:p>
        </w:tc>
        <w:tc>
          <w:tcPr>
            <w:tcW w:w="851" w:type="dxa"/>
          </w:tcPr>
          <w:p w14:paraId="182B91D4"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38,7</w:t>
            </w:r>
          </w:p>
        </w:tc>
        <w:tc>
          <w:tcPr>
            <w:tcW w:w="850" w:type="dxa"/>
          </w:tcPr>
          <w:p w14:paraId="5A86318E"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24,2</w:t>
            </w:r>
          </w:p>
        </w:tc>
        <w:tc>
          <w:tcPr>
            <w:tcW w:w="708" w:type="dxa"/>
          </w:tcPr>
          <w:p w14:paraId="6927EF9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31,9</w:t>
            </w:r>
          </w:p>
        </w:tc>
        <w:tc>
          <w:tcPr>
            <w:tcW w:w="885" w:type="dxa"/>
          </w:tcPr>
          <w:p w14:paraId="3C209B3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27,4</w:t>
            </w:r>
          </w:p>
        </w:tc>
        <w:tc>
          <w:tcPr>
            <w:tcW w:w="838" w:type="dxa"/>
          </w:tcPr>
          <w:p w14:paraId="49EED7B5"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30,5</w:t>
            </w:r>
          </w:p>
        </w:tc>
        <w:tc>
          <w:tcPr>
            <w:tcW w:w="830" w:type="dxa"/>
          </w:tcPr>
          <w:p w14:paraId="6AD60EF9"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38,7</w:t>
            </w:r>
          </w:p>
        </w:tc>
        <w:tc>
          <w:tcPr>
            <w:tcW w:w="850" w:type="dxa"/>
          </w:tcPr>
          <w:p w14:paraId="31094697"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22,4</w:t>
            </w:r>
          </w:p>
        </w:tc>
        <w:tc>
          <w:tcPr>
            <w:tcW w:w="883" w:type="dxa"/>
          </w:tcPr>
          <w:p w14:paraId="4BE5EA7E"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26,0</w:t>
            </w:r>
          </w:p>
        </w:tc>
        <w:tc>
          <w:tcPr>
            <w:tcW w:w="871" w:type="dxa"/>
          </w:tcPr>
          <w:p w14:paraId="4E61C33B" w14:textId="77777777" w:rsidR="00A47BC7" w:rsidRPr="003954D9" w:rsidRDefault="00A47BC7" w:rsidP="008877C3">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44,7</w:t>
            </w:r>
          </w:p>
        </w:tc>
      </w:tr>
      <w:tr w:rsidR="00A47BC7" w:rsidRPr="003954D9" w14:paraId="2790961D" w14:textId="77777777" w:rsidTr="00344E97">
        <w:trPr>
          <w:trHeight w:val="227"/>
        </w:trPr>
        <w:tc>
          <w:tcPr>
            <w:tcW w:w="910" w:type="dxa"/>
          </w:tcPr>
          <w:p w14:paraId="61535BF1"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 rok</w:t>
            </w:r>
          </w:p>
        </w:tc>
        <w:tc>
          <w:tcPr>
            <w:tcW w:w="850" w:type="dxa"/>
          </w:tcPr>
          <w:p w14:paraId="55FB16D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35,4</w:t>
            </w:r>
          </w:p>
        </w:tc>
        <w:tc>
          <w:tcPr>
            <w:tcW w:w="851" w:type="dxa"/>
          </w:tcPr>
          <w:p w14:paraId="1CA95F8D"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24,2</w:t>
            </w:r>
          </w:p>
        </w:tc>
        <w:tc>
          <w:tcPr>
            <w:tcW w:w="850" w:type="dxa"/>
          </w:tcPr>
          <w:p w14:paraId="28C36556"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20,0</w:t>
            </w:r>
          </w:p>
        </w:tc>
        <w:tc>
          <w:tcPr>
            <w:tcW w:w="708" w:type="dxa"/>
          </w:tcPr>
          <w:p w14:paraId="6B136829" w14:textId="77777777" w:rsidR="00A47BC7" w:rsidRPr="003954D9" w:rsidRDefault="00A47BC7" w:rsidP="008877C3">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39,1</w:t>
            </w:r>
          </w:p>
        </w:tc>
        <w:tc>
          <w:tcPr>
            <w:tcW w:w="885" w:type="dxa"/>
          </w:tcPr>
          <w:p w14:paraId="628FD784"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16,1</w:t>
            </w:r>
          </w:p>
        </w:tc>
        <w:tc>
          <w:tcPr>
            <w:tcW w:w="838" w:type="dxa"/>
          </w:tcPr>
          <w:p w14:paraId="434BCF1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27,4</w:t>
            </w:r>
          </w:p>
        </w:tc>
        <w:tc>
          <w:tcPr>
            <w:tcW w:w="830" w:type="dxa"/>
          </w:tcPr>
          <w:p w14:paraId="4E53E9DD"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24,3</w:t>
            </w:r>
          </w:p>
        </w:tc>
        <w:tc>
          <w:tcPr>
            <w:tcW w:w="850" w:type="dxa"/>
          </w:tcPr>
          <w:p w14:paraId="043F9496"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15,3</w:t>
            </w:r>
          </w:p>
        </w:tc>
        <w:tc>
          <w:tcPr>
            <w:tcW w:w="883" w:type="dxa"/>
          </w:tcPr>
          <w:p w14:paraId="1633F50B"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11,5</w:t>
            </w:r>
          </w:p>
        </w:tc>
        <w:tc>
          <w:tcPr>
            <w:tcW w:w="871" w:type="dxa"/>
          </w:tcPr>
          <w:p w14:paraId="624C6376"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33,5</w:t>
            </w:r>
          </w:p>
        </w:tc>
      </w:tr>
      <w:tr w:rsidR="00A47BC7" w:rsidRPr="003954D9" w14:paraId="2EE7FCDD" w14:textId="77777777" w:rsidTr="00344E97">
        <w:trPr>
          <w:trHeight w:val="227"/>
        </w:trPr>
        <w:tc>
          <w:tcPr>
            <w:tcW w:w="910" w:type="dxa"/>
          </w:tcPr>
          <w:p w14:paraId="70DB8DC1"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5 - rok</w:t>
            </w:r>
          </w:p>
        </w:tc>
        <w:tc>
          <w:tcPr>
            <w:tcW w:w="850" w:type="dxa"/>
          </w:tcPr>
          <w:p w14:paraId="31DA204C"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47,9</w:t>
            </w:r>
          </w:p>
        </w:tc>
        <w:tc>
          <w:tcPr>
            <w:tcW w:w="851" w:type="dxa"/>
          </w:tcPr>
          <w:p w14:paraId="1815CEC4"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31,5</w:t>
            </w:r>
          </w:p>
        </w:tc>
        <w:tc>
          <w:tcPr>
            <w:tcW w:w="850" w:type="dxa"/>
          </w:tcPr>
          <w:p w14:paraId="17A9EFCD"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22,8</w:t>
            </w:r>
          </w:p>
        </w:tc>
        <w:tc>
          <w:tcPr>
            <w:tcW w:w="708" w:type="dxa"/>
          </w:tcPr>
          <w:p w14:paraId="6D614098"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22,7</w:t>
            </w:r>
          </w:p>
        </w:tc>
        <w:tc>
          <w:tcPr>
            <w:tcW w:w="885" w:type="dxa"/>
          </w:tcPr>
          <w:p w14:paraId="46F7FF1B"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22,3</w:t>
            </w:r>
          </w:p>
        </w:tc>
        <w:tc>
          <w:tcPr>
            <w:tcW w:w="838" w:type="dxa"/>
          </w:tcPr>
          <w:p w14:paraId="33027A43"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30" w:type="dxa"/>
          </w:tcPr>
          <w:p w14:paraId="011932D0"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27,1</w:t>
            </w:r>
          </w:p>
        </w:tc>
        <w:tc>
          <w:tcPr>
            <w:tcW w:w="850" w:type="dxa"/>
          </w:tcPr>
          <w:p w14:paraId="3EBEFA34"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11,4</w:t>
            </w:r>
          </w:p>
        </w:tc>
        <w:tc>
          <w:tcPr>
            <w:tcW w:w="883" w:type="dxa"/>
          </w:tcPr>
          <w:p w14:paraId="3F916FEA" w14:textId="7C9336A3" w:rsidR="00A47BC7" w:rsidRPr="003954D9" w:rsidRDefault="005F03BA" w:rsidP="005F03BA">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71" w:type="dxa"/>
          </w:tcPr>
          <w:p w14:paraId="497F2CD6" w14:textId="77777777" w:rsidR="00A47BC7" w:rsidRPr="003954D9" w:rsidRDefault="00A47BC7" w:rsidP="008877C3">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63,6</w:t>
            </w:r>
          </w:p>
        </w:tc>
      </w:tr>
      <w:tr w:rsidR="00A47BC7" w:rsidRPr="003954D9" w14:paraId="1062C20F" w14:textId="77777777" w:rsidTr="00344E97">
        <w:trPr>
          <w:trHeight w:val="227"/>
        </w:trPr>
        <w:tc>
          <w:tcPr>
            <w:tcW w:w="910" w:type="dxa"/>
          </w:tcPr>
          <w:p w14:paraId="14DC6C13"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Alla</w:t>
            </w:r>
          </w:p>
        </w:tc>
        <w:tc>
          <w:tcPr>
            <w:tcW w:w="850" w:type="dxa"/>
          </w:tcPr>
          <w:p w14:paraId="672ADACF" w14:textId="77777777" w:rsidR="00A47BC7" w:rsidRPr="003954D9" w:rsidRDefault="00A47BC7" w:rsidP="008877C3">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40,6</w:t>
            </w:r>
          </w:p>
        </w:tc>
        <w:tc>
          <w:tcPr>
            <w:tcW w:w="851" w:type="dxa"/>
          </w:tcPr>
          <w:p w14:paraId="72192318"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34,0</w:t>
            </w:r>
          </w:p>
        </w:tc>
        <w:tc>
          <w:tcPr>
            <w:tcW w:w="850" w:type="dxa"/>
          </w:tcPr>
          <w:p w14:paraId="49643F2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26,8</w:t>
            </w:r>
          </w:p>
        </w:tc>
        <w:tc>
          <w:tcPr>
            <w:tcW w:w="708" w:type="dxa"/>
          </w:tcPr>
          <w:p w14:paraId="25D6FF74"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26,2</w:t>
            </w:r>
          </w:p>
        </w:tc>
        <w:tc>
          <w:tcPr>
            <w:tcW w:w="885" w:type="dxa"/>
          </w:tcPr>
          <w:p w14:paraId="4412C188"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38" w:type="dxa"/>
          </w:tcPr>
          <w:p w14:paraId="1E9767A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30,7</w:t>
            </w:r>
          </w:p>
        </w:tc>
        <w:tc>
          <w:tcPr>
            <w:tcW w:w="830" w:type="dxa"/>
          </w:tcPr>
          <w:p w14:paraId="31715FEB"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37,1</w:t>
            </w:r>
          </w:p>
        </w:tc>
        <w:tc>
          <w:tcPr>
            <w:tcW w:w="850" w:type="dxa"/>
          </w:tcPr>
          <w:p w14:paraId="65798ED0"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23,1</w:t>
            </w:r>
          </w:p>
        </w:tc>
        <w:tc>
          <w:tcPr>
            <w:tcW w:w="883" w:type="dxa"/>
          </w:tcPr>
          <w:p w14:paraId="0368B69B"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23,0</w:t>
            </w:r>
          </w:p>
        </w:tc>
        <w:tc>
          <w:tcPr>
            <w:tcW w:w="871" w:type="dxa"/>
          </w:tcPr>
          <w:p w14:paraId="63320125"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39,7</w:t>
            </w:r>
          </w:p>
        </w:tc>
      </w:tr>
      <w:tr w:rsidR="00A47BC7" w:rsidRPr="003954D9" w14:paraId="65FA7BAF" w14:textId="77777777" w:rsidTr="00344E97">
        <w:trPr>
          <w:trHeight w:val="227"/>
        </w:trPr>
        <w:tc>
          <w:tcPr>
            <w:tcW w:w="910" w:type="dxa"/>
          </w:tcPr>
          <w:p w14:paraId="37BB7638"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Antal</w:t>
            </w:r>
          </w:p>
        </w:tc>
        <w:tc>
          <w:tcPr>
            <w:tcW w:w="850" w:type="dxa"/>
          </w:tcPr>
          <w:p w14:paraId="2DB301BC"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1 821</w:t>
            </w:r>
          </w:p>
        </w:tc>
        <w:tc>
          <w:tcPr>
            <w:tcW w:w="851" w:type="dxa"/>
          </w:tcPr>
          <w:p w14:paraId="47565666"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813</w:t>
            </w:r>
          </w:p>
        </w:tc>
        <w:tc>
          <w:tcPr>
            <w:tcW w:w="850" w:type="dxa"/>
          </w:tcPr>
          <w:p w14:paraId="563D5D5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553</w:t>
            </w:r>
          </w:p>
        </w:tc>
        <w:tc>
          <w:tcPr>
            <w:tcW w:w="708" w:type="dxa"/>
          </w:tcPr>
          <w:p w14:paraId="0B33E8F2"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238</w:t>
            </w:r>
          </w:p>
        </w:tc>
        <w:tc>
          <w:tcPr>
            <w:tcW w:w="885" w:type="dxa"/>
          </w:tcPr>
          <w:p w14:paraId="617C40D0"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662</w:t>
            </w:r>
          </w:p>
        </w:tc>
        <w:tc>
          <w:tcPr>
            <w:tcW w:w="838" w:type="dxa"/>
          </w:tcPr>
          <w:p w14:paraId="76CF4E8A"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425</w:t>
            </w:r>
          </w:p>
        </w:tc>
        <w:tc>
          <w:tcPr>
            <w:tcW w:w="830" w:type="dxa"/>
          </w:tcPr>
          <w:p w14:paraId="0A050251"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1 035</w:t>
            </w:r>
          </w:p>
        </w:tc>
        <w:tc>
          <w:tcPr>
            <w:tcW w:w="850" w:type="dxa"/>
          </w:tcPr>
          <w:p w14:paraId="7D368C67"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597</w:t>
            </w:r>
          </w:p>
        </w:tc>
        <w:tc>
          <w:tcPr>
            <w:tcW w:w="883" w:type="dxa"/>
          </w:tcPr>
          <w:p w14:paraId="30B5475A"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73</w:t>
            </w:r>
          </w:p>
        </w:tc>
        <w:tc>
          <w:tcPr>
            <w:tcW w:w="871" w:type="dxa"/>
          </w:tcPr>
          <w:p w14:paraId="357F0BF5"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1 384</w:t>
            </w:r>
          </w:p>
        </w:tc>
      </w:tr>
    </w:tbl>
    <w:p w14:paraId="4E4CBF77" w14:textId="6B83B366" w:rsidR="007656C8" w:rsidRPr="003954D9" w:rsidRDefault="007656C8" w:rsidP="007656C8">
      <w:pPr>
        <w:rPr>
          <w:sz w:val="16"/>
          <w:szCs w:val="16"/>
        </w:rPr>
      </w:pPr>
      <w:r w:rsidRPr="00526BF8">
        <w:rPr>
          <w:color w:val="FF0000"/>
          <w:sz w:val="16"/>
          <w:szCs w:val="16"/>
        </w:rPr>
        <w:t xml:space="preserve">Röd färg högsta </w:t>
      </w:r>
      <w:r w:rsidRPr="003954D9">
        <w:rPr>
          <w:sz w:val="16"/>
          <w:szCs w:val="16"/>
        </w:rPr>
        <w:t xml:space="preserve">och </w:t>
      </w:r>
      <w:r w:rsidRPr="00526BF8">
        <w:rPr>
          <w:b/>
          <w:color w:val="0070C0"/>
          <w:sz w:val="16"/>
          <w:szCs w:val="16"/>
        </w:rPr>
        <w:t>blå färg lägsta</w:t>
      </w:r>
      <w:r w:rsidRPr="00526BF8">
        <w:rPr>
          <w:color w:val="0070C0"/>
          <w:sz w:val="16"/>
          <w:szCs w:val="16"/>
        </w:rPr>
        <w:t xml:space="preserve"> </w:t>
      </w:r>
      <w:r w:rsidRPr="003954D9">
        <w:rPr>
          <w:sz w:val="16"/>
          <w:szCs w:val="16"/>
        </w:rPr>
        <w:t>värde i gruppen.</w:t>
      </w:r>
    </w:p>
    <w:p w14:paraId="5567E5EE" w14:textId="77777777" w:rsidR="00A47BC7" w:rsidRPr="003954D9" w:rsidRDefault="00A47BC7" w:rsidP="00513F7B"/>
    <w:p w14:paraId="1F85A8B3" w14:textId="37380B7B" w:rsidR="0096125F" w:rsidRPr="003954D9" w:rsidRDefault="0096125F" w:rsidP="00E601B0">
      <w:r w:rsidRPr="003954D9">
        <w:t xml:space="preserve">Samma mönster går igen om man undersöker i vilka lägenhetstyper och stadsdelar ökningarna har varit störst jämfört med situationen idag. Boende i Angered, Västra Hisingen och Östra Göteborg klarar sig sämst medan </w:t>
      </w:r>
      <w:r w:rsidR="00A41BD6" w:rsidRPr="003954D9">
        <w:t xml:space="preserve">Örgryte-Härlanda, Västra Göteborg och Lundby klarar sig bäst. </w:t>
      </w:r>
      <w:r w:rsidR="00337BA8" w:rsidRPr="003954D9">
        <w:t xml:space="preserve">(Se tabell </w:t>
      </w:r>
      <w:r w:rsidR="006E3B2D" w:rsidRPr="003954D9">
        <w:t>6</w:t>
      </w:r>
      <w:r w:rsidR="00EB1393" w:rsidRPr="003954D9">
        <w:t>:4</w:t>
      </w:r>
      <w:r w:rsidR="00526BF8">
        <w:t xml:space="preserve"> i tabellbilagan.)</w:t>
      </w:r>
    </w:p>
    <w:p w14:paraId="6536BAA8" w14:textId="2244C5AC" w:rsidR="00A41BD6" w:rsidRPr="003954D9" w:rsidRDefault="0050602B" w:rsidP="0050649C">
      <w:pPr>
        <w:pStyle w:val="Rubrik4"/>
        <w:rPr>
          <w:color w:val="FF0000"/>
        </w:rPr>
      </w:pPr>
      <w:bookmarkStart w:id="156" w:name="_Toc333217234"/>
      <w:bookmarkStart w:id="157" w:name="_Toc333217329"/>
      <w:bookmarkStart w:id="158" w:name="_Toc333795976"/>
      <w:bookmarkStart w:id="159" w:name="_Toc333796228"/>
      <w:bookmarkStart w:id="160" w:name="_Toc333800759"/>
      <w:bookmarkStart w:id="161" w:name="_Toc333800877"/>
      <w:r w:rsidRPr="003954D9">
        <w:t xml:space="preserve">Hyreshöjning med </w:t>
      </w:r>
      <w:r w:rsidR="00A41BD6" w:rsidRPr="003954D9">
        <w:t xml:space="preserve">25 </w:t>
      </w:r>
      <w:r w:rsidR="00475673" w:rsidRPr="003954D9">
        <w:t>procent</w:t>
      </w:r>
      <w:r w:rsidR="00A41BD6" w:rsidRPr="003954D9">
        <w:t xml:space="preserve"> </w:t>
      </w:r>
    </w:p>
    <w:p w14:paraId="16BEED8D" w14:textId="77777777" w:rsidR="00144984" w:rsidRDefault="00B336DA" w:rsidP="00B336DA">
      <w:r w:rsidRPr="003954D9">
        <w:t xml:space="preserve">Sammantaget är det boende i Angered som påverkas mest tillsammans med Östra Göteborg. I de vanligaste storlekarna (2 rok och 3 rok) är det boende i Angered som råkar värst ut. Östra Göteborg ligger i topp för 1 rokv och </w:t>
      </w:r>
      <w:r w:rsidR="00365C66" w:rsidRPr="003954D9">
        <w:t>5-rok</w:t>
      </w:r>
      <w:r w:rsidR="00ED26BC" w:rsidRPr="003954D9">
        <w:t xml:space="preserve"> (54,5</w:t>
      </w:r>
      <w:r w:rsidR="00475673" w:rsidRPr="003954D9">
        <w:t>procent</w:t>
      </w:r>
      <w:r w:rsidR="00ED26BC" w:rsidRPr="003954D9">
        <w:t>)</w:t>
      </w:r>
      <w:r w:rsidRPr="003954D9">
        <w:t>, men de senare är</w:t>
      </w:r>
      <w:r w:rsidR="001E24AE" w:rsidRPr="003954D9">
        <w:t xml:space="preserve"> väldig få</w:t>
      </w:r>
      <w:r w:rsidRPr="003954D9">
        <w:t xml:space="preserve">. </w:t>
      </w:r>
      <w:r w:rsidR="00ED26BC" w:rsidRPr="003954D9">
        <w:t xml:space="preserve">Näst högst andel finns i 2 rokv i Askim-Frölunda-Högsbo (41,2 procent eller 7 av 17 hushåll). </w:t>
      </w:r>
      <w:r w:rsidRPr="003954D9">
        <w:t xml:space="preserve">Boende i 1 rok i Västra Hisingen hör också till den grupp som råkar värst ut och i lägenhetsstorleken 4 rok är det Lundby som påverkas mest. Minst effekt har höjningen i Örgryte-Härlanda och Västra Göteborg. </w:t>
      </w:r>
    </w:p>
    <w:p w14:paraId="7E0D1C8B" w14:textId="35ABF75D" w:rsidR="00B336DA" w:rsidRPr="003954D9" w:rsidRDefault="00ED26BC" w:rsidP="00523800">
      <w:pPr>
        <w:spacing w:before="120"/>
        <w:rPr>
          <w:b/>
        </w:rPr>
      </w:pPr>
      <w:r w:rsidRPr="00523800">
        <w:t xml:space="preserve">Den högsta genomsnittliga andelen i riskzonen i stadsdelarna finns bland </w:t>
      </w:r>
      <w:r w:rsidR="00511CCB" w:rsidRPr="00523800">
        <w:t>hushållen</w:t>
      </w:r>
      <w:r w:rsidRPr="00523800">
        <w:t xml:space="preserve"> i 3 rok tätt följd</w:t>
      </w:r>
      <w:r w:rsidR="00511CCB" w:rsidRPr="00523800">
        <w:t>a</w:t>
      </w:r>
      <w:r w:rsidRPr="00523800">
        <w:t xml:space="preserve"> av hushållen i de allra minsta lägenheterna.</w:t>
      </w:r>
      <w:r w:rsidR="00553684" w:rsidRPr="00523800">
        <w:t xml:space="preserve"> </w:t>
      </w:r>
      <w:r w:rsidR="00593620" w:rsidRPr="00523800">
        <w:t xml:space="preserve">Totalt sett är situationen allvarligast i Angered och Östra Göteborg. Intressant är att </w:t>
      </w:r>
      <w:r w:rsidR="00F4273C" w:rsidRPr="00523800">
        <w:t xml:space="preserve">Angered inte toppar i någon lägenhetstyp </w:t>
      </w:r>
      <w:r w:rsidR="00593620" w:rsidRPr="00523800">
        <w:t>vid höjningen på 50 procent</w:t>
      </w:r>
      <w:r w:rsidR="00F4273C" w:rsidRPr="00523800">
        <w:t>, men i två vid höjningen på 25 procent. Det kan alltså finnas hushåll i olika lägenhetstyper i andra stadsdelar som har en mer utsatt situation än hushållen i Angered, men observera att det här rör sig om andelar och inte om antal.</w:t>
      </w:r>
      <w:r w:rsidR="00593620" w:rsidRPr="00523800">
        <w:t xml:space="preserve"> </w:t>
      </w:r>
      <w:r w:rsidR="00526BF8" w:rsidRPr="00523800">
        <w:t>Se tabell 6:6.</w:t>
      </w:r>
    </w:p>
    <w:p w14:paraId="04FA375B" w14:textId="77777777" w:rsidR="00523800" w:rsidRDefault="00523800" w:rsidP="0066713D">
      <w:pPr>
        <w:pStyle w:val="Rubrik5"/>
      </w:pPr>
      <w:r>
        <w:br w:type="page"/>
      </w:r>
    </w:p>
    <w:p w14:paraId="4539CBFF" w14:textId="5DF7C2D4" w:rsidR="00602FA3" w:rsidRPr="003954D9" w:rsidRDefault="001E24AE" w:rsidP="0066713D">
      <w:pPr>
        <w:pStyle w:val="Rubrik5"/>
      </w:pPr>
      <w:r w:rsidRPr="003954D9">
        <w:lastRenderedPageBreak/>
        <w:t xml:space="preserve">Tabell </w:t>
      </w:r>
      <w:r w:rsidR="006E3B2D" w:rsidRPr="003954D9">
        <w:t>6:</w:t>
      </w:r>
      <w:r w:rsidR="00553684" w:rsidRPr="003954D9">
        <w:t>6</w:t>
      </w:r>
      <w:r w:rsidRPr="003954D9">
        <w:t>: Andel och antal hus</w:t>
      </w:r>
      <w:r w:rsidR="0066713D" w:rsidRPr="003954D9">
        <w:t>h</w:t>
      </w:r>
      <w:r w:rsidRPr="003954D9">
        <w:t>åll i riskzonen</w:t>
      </w:r>
      <w:r w:rsidR="0066713D" w:rsidRPr="003954D9">
        <w:t xml:space="preserve"> vid hyreshöjning på 25 procent, lägenhetstyp och stadsdel</w:t>
      </w:r>
    </w:p>
    <w:tbl>
      <w:tblPr>
        <w:tblW w:w="9084" w:type="dxa"/>
        <w:tblInd w:w="-38" w:type="dxa"/>
        <w:tblLayout w:type="fixed"/>
        <w:tblCellMar>
          <w:left w:w="70" w:type="dxa"/>
          <w:right w:w="70" w:type="dxa"/>
        </w:tblCellMar>
        <w:tblLook w:val="0000" w:firstRow="0" w:lastRow="0" w:firstColumn="0" w:lastColumn="0" w:noHBand="0" w:noVBand="0"/>
      </w:tblPr>
      <w:tblGrid>
        <w:gridCol w:w="841"/>
        <w:gridCol w:w="814"/>
        <w:gridCol w:w="814"/>
        <w:gridCol w:w="817"/>
        <w:gridCol w:w="814"/>
        <w:gridCol w:w="814"/>
        <w:gridCol w:w="814"/>
        <w:gridCol w:w="814"/>
        <w:gridCol w:w="833"/>
        <w:gridCol w:w="847"/>
        <w:gridCol w:w="862"/>
      </w:tblGrid>
      <w:tr w:rsidR="001E24AE" w:rsidRPr="003954D9" w14:paraId="4D6A1FBE" w14:textId="77777777" w:rsidTr="00344E97">
        <w:trPr>
          <w:trHeight w:val="227"/>
        </w:trPr>
        <w:tc>
          <w:tcPr>
            <w:tcW w:w="881" w:type="dxa"/>
            <w:tcBorders>
              <w:top w:val="single" w:sz="6" w:space="0" w:color="auto"/>
              <w:left w:val="single" w:sz="6" w:space="0" w:color="auto"/>
              <w:bottom w:val="single" w:sz="6" w:space="0" w:color="auto"/>
              <w:right w:val="single" w:sz="6" w:space="0" w:color="auto"/>
            </w:tcBorders>
            <w:vAlign w:val="center"/>
          </w:tcPr>
          <w:p w14:paraId="40E2C667" w14:textId="001B1D4D" w:rsidR="001E24AE" w:rsidRPr="003954D9" w:rsidRDefault="001E24A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Lägenhets</w:t>
            </w:r>
            <w:r w:rsidR="00344E97" w:rsidRPr="003954D9">
              <w:rPr>
                <w:rFonts w:ascii="Calibri" w:hAnsi="Calibri" w:cs="Calibri"/>
                <w:b/>
                <w:bCs/>
                <w:color w:val="000000"/>
                <w:sz w:val="16"/>
                <w:szCs w:val="16"/>
              </w:rPr>
              <w:t>-</w:t>
            </w:r>
            <w:r w:rsidRPr="003954D9">
              <w:rPr>
                <w:rFonts w:ascii="Calibri" w:hAnsi="Calibri" w:cs="Calibri"/>
                <w:b/>
                <w:bCs/>
                <w:color w:val="000000"/>
                <w:sz w:val="16"/>
                <w:szCs w:val="16"/>
              </w:rPr>
              <w:t>typ</w:t>
            </w:r>
          </w:p>
        </w:tc>
        <w:tc>
          <w:tcPr>
            <w:tcW w:w="789" w:type="dxa"/>
            <w:tcBorders>
              <w:top w:val="single" w:sz="6" w:space="0" w:color="auto"/>
              <w:left w:val="single" w:sz="6" w:space="0" w:color="auto"/>
              <w:bottom w:val="single" w:sz="6" w:space="0" w:color="auto"/>
              <w:right w:val="single" w:sz="6" w:space="0" w:color="auto"/>
            </w:tcBorders>
            <w:vAlign w:val="center"/>
          </w:tcPr>
          <w:p w14:paraId="56E23083" w14:textId="77777777" w:rsidR="001E24AE" w:rsidRPr="003954D9" w:rsidRDefault="001E24A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38" w:type="dxa"/>
            <w:tcBorders>
              <w:top w:val="single" w:sz="6" w:space="0" w:color="auto"/>
              <w:left w:val="single" w:sz="6" w:space="0" w:color="auto"/>
              <w:bottom w:val="single" w:sz="6" w:space="0" w:color="auto"/>
              <w:right w:val="single" w:sz="6" w:space="0" w:color="auto"/>
            </w:tcBorders>
            <w:vAlign w:val="center"/>
          </w:tcPr>
          <w:p w14:paraId="3E6BFC4A" w14:textId="77777777" w:rsidR="001E24AE" w:rsidRPr="003954D9" w:rsidRDefault="001E24A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54" w:type="dxa"/>
            <w:tcBorders>
              <w:top w:val="single" w:sz="6" w:space="0" w:color="auto"/>
              <w:left w:val="single" w:sz="6" w:space="0" w:color="auto"/>
              <w:bottom w:val="single" w:sz="6" w:space="0" w:color="auto"/>
              <w:right w:val="single" w:sz="6" w:space="0" w:color="auto"/>
            </w:tcBorders>
            <w:vAlign w:val="center"/>
          </w:tcPr>
          <w:p w14:paraId="4FBA6F89" w14:textId="77777777" w:rsidR="001E24AE" w:rsidRPr="003954D9" w:rsidRDefault="001E24A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677" w:type="dxa"/>
            <w:tcBorders>
              <w:top w:val="single" w:sz="6" w:space="0" w:color="auto"/>
              <w:left w:val="single" w:sz="6" w:space="0" w:color="auto"/>
              <w:bottom w:val="single" w:sz="6" w:space="0" w:color="auto"/>
              <w:right w:val="single" w:sz="6" w:space="0" w:color="auto"/>
            </w:tcBorders>
            <w:vAlign w:val="center"/>
          </w:tcPr>
          <w:p w14:paraId="3E55ADA4" w14:textId="77777777" w:rsidR="001E24AE" w:rsidRPr="003954D9" w:rsidRDefault="001E24A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07" w:type="dxa"/>
            <w:tcBorders>
              <w:top w:val="single" w:sz="6" w:space="0" w:color="auto"/>
              <w:left w:val="single" w:sz="6" w:space="0" w:color="auto"/>
              <w:bottom w:val="single" w:sz="6" w:space="0" w:color="auto"/>
              <w:right w:val="single" w:sz="6" w:space="0" w:color="auto"/>
            </w:tcBorders>
            <w:vAlign w:val="center"/>
          </w:tcPr>
          <w:p w14:paraId="77F3425E" w14:textId="77777777" w:rsidR="001E24AE" w:rsidRPr="003954D9" w:rsidRDefault="001E24A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820" w:type="dxa"/>
            <w:tcBorders>
              <w:top w:val="single" w:sz="6" w:space="0" w:color="auto"/>
              <w:left w:val="single" w:sz="6" w:space="0" w:color="auto"/>
              <w:bottom w:val="single" w:sz="6" w:space="0" w:color="auto"/>
              <w:right w:val="single" w:sz="6" w:space="0" w:color="auto"/>
            </w:tcBorders>
            <w:vAlign w:val="center"/>
          </w:tcPr>
          <w:p w14:paraId="4A460F87" w14:textId="77777777" w:rsidR="001E24AE" w:rsidRPr="003954D9" w:rsidRDefault="001E24A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59" w:type="dxa"/>
            <w:tcBorders>
              <w:top w:val="single" w:sz="6" w:space="0" w:color="auto"/>
              <w:left w:val="single" w:sz="6" w:space="0" w:color="auto"/>
              <w:bottom w:val="single" w:sz="6" w:space="0" w:color="auto"/>
              <w:right w:val="single" w:sz="6" w:space="0" w:color="auto"/>
            </w:tcBorders>
            <w:vAlign w:val="center"/>
          </w:tcPr>
          <w:p w14:paraId="7CCE7FC9" w14:textId="77777777" w:rsidR="001E24AE" w:rsidRPr="003954D9" w:rsidRDefault="001E24A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71" w:type="dxa"/>
            <w:tcBorders>
              <w:top w:val="single" w:sz="6" w:space="0" w:color="auto"/>
              <w:left w:val="single" w:sz="6" w:space="0" w:color="auto"/>
              <w:bottom w:val="single" w:sz="6" w:space="0" w:color="auto"/>
              <w:right w:val="single" w:sz="6" w:space="0" w:color="auto"/>
            </w:tcBorders>
            <w:vAlign w:val="center"/>
          </w:tcPr>
          <w:p w14:paraId="190948BE" w14:textId="77777777" w:rsidR="001E24AE" w:rsidRPr="003954D9" w:rsidRDefault="001E24A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86" w:type="dxa"/>
            <w:tcBorders>
              <w:top w:val="single" w:sz="6" w:space="0" w:color="auto"/>
              <w:left w:val="single" w:sz="6" w:space="0" w:color="auto"/>
              <w:bottom w:val="single" w:sz="6" w:space="0" w:color="auto"/>
              <w:right w:val="single" w:sz="6" w:space="0" w:color="auto"/>
            </w:tcBorders>
            <w:vAlign w:val="center"/>
          </w:tcPr>
          <w:p w14:paraId="14386B48" w14:textId="77777777" w:rsidR="001E24AE" w:rsidRPr="003954D9" w:rsidRDefault="001E24A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02" w:type="dxa"/>
            <w:tcBorders>
              <w:top w:val="single" w:sz="6" w:space="0" w:color="auto"/>
              <w:left w:val="single" w:sz="6" w:space="0" w:color="auto"/>
              <w:bottom w:val="single" w:sz="6" w:space="0" w:color="auto"/>
              <w:right w:val="single" w:sz="6" w:space="0" w:color="auto"/>
            </w:tcBorders>
            <w:vAlign w:val="center"/>
          </w:tcPr>
          <w:p w14:paraId="53785CDB" w14:textId="77777777" w:rsidR="001E24AE" w:rsidRPr="003954D9" w:rsidRDefault="001E24AE">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74795D" w:rsidRPr="003954D9" w14:paraId="6042D606" w14:textId="77777777" w:rsidTr="00553684">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7B508B5F" w14:textId="16A82C35" w:rsidR="0074795D" w:rsidRPr="003954D9" w:rsidRDefault="0074795D" w:rsidP="0074795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1 rokv </w:t>
            </w:r>
          </w:p>
        </w:tc>
        <w:tc>
          <w:tcPr>
            <w:tcW w:w="851" w:type="dxa"/>
            <w:tcBorders>
              <w:top w:val="single" w:sz="6" w:space="0" w:color="auto"/>
              <w:left w:val="single" w:sz="6" w:space="0" w:color="auto"/>
              <w:bottom w:val="single" w:sz="6" w:space="0" w:color="auto"/>
              <w:right w:val="single" w:sz="6" w:space="0" w:color="auto"/>
            </w:tcBorders>
            <w:vAlign w:val="center"/>
          </w:tcPr>
          <w:p w14:paraId="5BFFA310" w14:textId="1CD013A7"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22,9</w:t>
            </w:r>
          </w:p>
        </w:tc>
        <w:tc>
          <w:tcPr>
            <w:tcW w:w="851" w:type="dxa"/>
            <w:tcBorders>
              <w:top w:val="single" w:sz="6" w:space="0" w:color="auto"/>
              <w:left w:val="single" w:sz="6" w:space="0" w:color="auto"/>
              <w:bottom w:val="single" w:sz="6" w:space="0" w:color="auto"/>
              <w:right w:val="single" w:sz="6" w:space="0" w:color="auto"/>
            </w:tcBorders>
            <w:vAlign w:val="center"/>
          </w:tcPr>
          <w:p w14:paraId="791F77D9" w14:textId="7DD6E271"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28,3</w:t>
            </w:r>
          </w:p>
        </w:tc>
        <w:tc>
          <w:tcPr>
            <w:tcW w:w="851" w:type="dxa"/>
            <w:tcBorders>
              <w:top w:val="single" w:sz="6" w:space="0" w:color="auto"/>
              <w:left w:val="single" w:sz="6" w:space="0" w:color="auto"/>
              <w:bottom w:val="single" w:sz="6" w:space="0" w:color="auto"/>
              <w:right w:val="single" w:sz="6" w:space="0" w:color="auto"/>
            </w:tcBorders>
            <w:vAlign w:val="center"/>
          </w:tcPr>
          <w:p w14:paraId="4745B445" w14:textId="78EA7E5F"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25,3</w:t>
            </w:r>
          </w:p>
        </w:tc>
        <w:tc>
          <w:tcPr>
            <w:tcW w:w="851" w:type="dxa"/>
            <w:tcBorders>
              <w:top w:val="single" w:sz="6" w:space="0" w:color="auto"/>
              <w:left w:val="single" w:sz="6" w:space="0" w:color="auto"/>
              <w:bottom w:val="single" w:sz="6" w:space="0" w:color="auto"/>
              <w:right w:val="single" w:sz="6" w:space="0" w:color="auto"/>
            </w:tcBorders>
            <w:vAlign w:val="center"/>
          </w:tcPr>
          <w:p w14:paraId="58219F65" w14:textId="0F90DE3C" w:rsidR="0074795D" w:rsidRPr="003954D9" w:rsidRDefault="0074795D" w:rsidP="0074795D">
            <w:pPr>
              <w:autoSpaceDE w:val="0"/>
              <w:autoSpaceDN w:val="0"/>
              <w:adjustRightInd w:val="0"/>
              <w:jc w:val="right"/>
              <w:rPr>
                <w:rFonts w:ascii="Calibri" w:hAnsi="Calibri" w:cs="Calibri"/>
                <w:b/>
                <w:color w:val="33CCCC"/>
                <w:sz w:val="16"/>
                <w:szCs w:val="16"/>
              </w:rPr>
            </w:pPr>
            <w:r w:rsidRPr="003954D9">
              <w:rPr>
                <w:rFonts w:ascii="Calibri" w:hAnsi="Calibri" w:cs="Calibri"/>
                <w:b/>
                <w:bCs/>
                <w:color w:val="0066CC"/>
                <w:sz w:val="16"/>
                <w:szCs w:val="16"/>
              </w:rPr>
              <w:t>17,4</w:t>
            </w:r>
          </w:p>
        </w:tc>
        <w:tc>
          <w:tcPr>
            <w:tcW w:w="851" w:type="dxa"/>
            <w:tcBorders>
              <w:top w:val="single" w:sz="6" w:space="0" w:color="auto"/>
              <w:left w:val="single" w:sz="6" w:space="0" w:color="auto"/>
              <w:bottom w:val="single" w:sz="6" w:space="0" w:color="auto"/>
              <w:right w:val="single" w:sz="6" w:space="0" w:color="auto"/>
            </w:tcBorders>
            <w:vAlign w:val="center"/>
          </w:tcPr>
          <w:p w14:paraId="1CECC7DA" w14:textId="791987A4"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23,7</w:t>
            </w:r>
          </w:p>
        </w:tc>
        <w:tc>
          <w:tcPr>
            <w:tcW w:w="851" w:type="dxa"/>
            <w:tcBorders>
              <w:top w:val="single" w:sz="6" w:space="0" w:color="auto"/>
              <w:left w:val="single" w:sz="6" w:space="0" w:color="auto"/>
              <w:bottom w:val="single" w:sz="6" w:space="0" w:color="auto"/>
              <w:right w:val="single" w:sz="6" w:space="0" w:color="auto"/>
            </w:tcBorders>
            <w:vAlign w:val="center"/>
          </w:tcPr>
          <w:p w14:paraId="42BBA7B9" w14:textId="320B93D2"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22,6</w:t>
            </w:r>
          </w:p>
        </w:tc>
        <w:tc>
          <w:tcPr>
            <w:tcW w:w="851" w:type="dxa"/>
            <w:tcBorders>
              <w:top w:val="single" w:sz="6" w:space="0" w:color="auto"/>
              <w:left w:val="single" w:sz="6" w:space="0" w:color="auto"/>
              <w:bottom w:val="single" w:sz="6" w:space="0" w:color="auto"/>
              <w:right w:val="single" w:sz="6" w:space="0" w:color="auto"/>
            </w:tcBorders>
            <w:vAlign w:val="center"/>
          </w:tcPr>
          <w:p w14:paraId="341E4085" w14:textId="11512009"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25,7</w:t>
            </w:r>
          </w:p>
        </w:tc>
        <w:tc>
          <w:tcPr>
            <w:tcW w:w="851" w:type="dxa"/>
            <w:tcBorders>
              <w:top w:val="single" w:sz="6" w:space="0" w:color="auto"/>
              <w:left w:val="single" w:sz="6" w:space="0" w:color="auto"/>
              <w:bottom w:val="single" w:sz="6" w:space="0" w:color="auto"/>
              <w:right w:val="single" w:sz="6" w:space="0" w:color="auto"/>
            </w:tcBorders>
            <w:vAlign w:val="center"/>
          </w:tcPr>
          <w:p w14:paraId="079DFFC4" w14:textId="6301D130"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27,8</w:t>
            </w:r>
          </w:p>
        </w:tc>
        <w:tc>
          <w:tcPr>
            <w:tcW w:w="851" w:type="dxa"/>
            <w:tcBorders>
              <w:top w:val="single" w:sz="6" w:space="0" w:color="auto"/>
              <w:left w:val="single" w:sz="6" w:space="0" w:color="auto"/>
              <w:bottom w:val="single" w:sz="6" w:space="0" w:color="auto"/>
              <w:right w:val="single" w:sz="6" w:space="0" w:color="auto"/>
            </w:tcBorders>
            <w:vAlign w:val="center"/>
          </w:tcPr>
          <w:p w14:paraId="5369C6B0" w14:textId="6F2B7CE9" w:rsidR="0074795D" w:rsidRPr="003954D9" w:rsidRDefault="0074795D" w:rsidP="0074795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1BF82887" w14:textId="7BA0A703" w:rsidR="0074795D" w:rsidRPr="003954D9" w:rsidRDefault="0074795D" w:rsidP="0074795D">
            <w:pPr>
              <w:autoSpaceDE w:val="0"/>
              <w:autoSpaceDN w:val="0"/>
              <w:adjustRightInd w:val="0"/>
              <w:jc w:val="right"/>
              <w:rPr>
                <w:rFonts w:ascii="Calibri" w:hAnsi="Calibri" w:cs="Calibri"/>
                <w:color w:val="FF0000"/>
                <w:sz w:val="16"/>
                <w:szCs w:val="16"/>
              </w:rPr>
            </w:pPr>
            <w:r w:rsidRPr="003954D9">
              <w:rPr>
                <w:rFonts w:ascii="Calibri" w:hAnsi="Calibri" w:cs="Calibri"/>
                <w:b/>
                <w:bCs/>
                <w:color w:val="FF0000"/>
                <w:sz w:val="16"/>
                <w:szCs w:val="16"/>
              </w:rPr>
              <w:t>33,2</w:t>
            </w:r>
          </w:p>
        </w:tc>
      </w:tr>
      <w:tr w:rsidR="0074795D" w:rsidRPr="003954D9" w14:paraId="67D1B797" w14:textId="77777777" w:rsidTr="00553684">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7F199C83" w14:textId="77777777" w:rsidR="0074795D" w:rsidRPr="003954D9" w:rsidRDefault="0074795D" w:rsidP="0074795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w:t>
            </w:r>
          </w:p>
        </w:tc>
        <w:tc>
          <w:tcPr>
            <w:tcW w:w="851" w:type="dxa"/>
            <w:tcBorders>
              <w:top w:val="single" w:sz="6" w:space="0" w:color="auto"/>
              <w:left w:val="single" w:sz="6" w:space="0" w:color="auto"/>
              <w:bottom w:val="single" w:sz="6" w:space="0" w:color="auto"/>
              <w:right w:val="single" w:sz="6" w:space="0" w:color="auto"/>
            </w:tcBorders>
            <w:vAlign w:val="center"/>
          </w:tcPr>
          <w:p w14:paraId="149642DB" w14:textId="33DCB099"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23,7</w:t>
            </w:r>
          </w:p>
        </w:tc>
        <w:tc>
          <w:tcPr>
            <w:tcW w:w="851" w:type="dxa"/>
            <w:tcBorders>
              <w:top w:val="single" w:sz="6" w:space="0" w:color="auto"/>
              <w:left w:val="single" w:sz="6" w:space="0" w:color="auto"/>
              <w:bottom w:val="single" w:sz="6" w:space="0" w:color="auto"/>
              <w:right w:val="single" w:sz="6" w:space="0" w:color="auto"/>
            </w:tcBorders>
            <w:vAlign w:val="center"/>
          </w:tcPr>
          <w:p w14:paraId="638F895F" w14:textId="3A167BDA"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21,6</w:t>
            </w:r>
          </w:p>
        </w:tc>
        <w:tc>
          <w:tcPr>
            <w:tcW w:w="851" w:type="dxa"/>
            <w:tcBorders>
              <w:top w:val="single" w:sz="6" w:space="0" w:color="auto"/>
              <w:left w:val="single" w:sz="6" w:space="0" w:color="auto"/>
              <w:bottom w:val="single" w:sz="6" w:space="0" w:color="auto"/>
              <w:right w:val="single" w:sz="6" w:space="0" w:color="auto"/>
            </w:tcBorders>
            <w:vAlign w:val="center"/>
          </w:tcPr>
          <w:p w14:paraId="1495FC19" w14:textId="330ACEA1"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18,8</w:t>
            </w:r>
          </w:p>
        </w:tc>
        <w:tc>
          <w:tcPr>
            <w:tcW w:w="851" w:type="dxa"/>
            <w:tcBorders>
              <w:top w:val="single" w:sz="6" w:space="0" w:color="auto"/>
              <w:left w:val="single" w:sz="6" w:space="0" w:color="auto"/>
              <w:bottom w:val="single" w:sz="6" w:space="0" w:color="auto"/>
              <w:right w:val="single" w:sz="6" w:space="0" w:color="auto"/>
            </w:tcBorders>
            <w:vAlign w:val="center"/>
          </w:tcPr>
          <w:p w14:paraId="58F504DA" w14:textId="30398619" w:rsidR="0074795D" w:rsidRPr="003954D9" w:rsidRDefault="0074795D" w:rsidP="0074795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4AC7FAC2" w14:textId="3694B542"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20,6</w:t>
            </w:r>
          </w:p>
        </w:tc>
        <w:tc>
          <w:tcPr>
            <w:tcW w:w="851" w:type="dxa"/>
            <w:tcBorders>
              <w:top w:val="single" w:sz="6" w:space="0" w:color="auto"/>
              <w:left w:val="single" w:sz="6" w:space="0" w:color="auto"/>
              <w:bottom w:val="single" w:sz="6" w:space="0" w:color="auto"/>
              <w:right w:val="single" w:sz="6" w:space="0" w:color="auto"/>
            </w:tcBorders>
            <w:vAlign w:val="center"/>
          </w:tcPr>
          <w:p w14:paraId="74EBBCF7" w14:textId="0324BAFD"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23,8</w:t>
            </w:r>
          </w:p>
        </w:tc>
        <w:tc>
          <w:tcPr>
            <w:tcW w:w="851" w:type="dxa"/>
            <w:tcBorders>
              <w:top w:val="single" w:sz="6" w:space="0" w:color="auto"/>
              <w:left w:val="single" w:sz="6" w:space="0" w:color="auto"/>
              <w:bottom w:val="single" w:sz="6" w:space="0" w:color="auto"/>
              <w:right w:val="single" w:sz="6" w:space="0" w:color="auto"/>
            </w:tcBorders>
            <w:vAlign w:val="center"/>
          </w:tcPr>
          <w:p w14:paraId="12BD3D6E" w14:textId="5A177B98" w:rsidR="0074795D" w:rsidRPr="003954D9" w:rsidRDefault="0074795D" w:rsidP="0074795D">
            <w:pPr>
              <w:autoSpaceDE w:val="0"/>
              <w:autoSpaceDN w:val="0"/>
              <w:adjustRightInd w:val="0"/>
              <w:jc w:val="right"/>
              <w:rPr>
                <w:rFonts w:ascii="Calibri" w:hAnsi="Calibri" w:cs="Calibri"/>
                <w:color w:val="FF0000"/>
                <w:sz w:val="16"/>
                <w:szCs w:val="16"/>
              </w:rPr>
            </w:pPr>
            <w:r w:rsidRPr="003954D9">
              <w:rPr>
                <w:rFonts w:ascii="Calibri" w:hAnsi="Calibri" w:cs="Calibri"/>
                <w:b/>
                <w:bCs/>
                <w:color w:val="FF0000"/>
                <w:sz w:val="16"/>
                <w:szCs w:val="16"/>
              </w:rPr>
              <w:t>31,3</w:t>
            </w:r>
          </w:p>
        </w:tc>
        <w:tc>
          <w:tcPr>
            <w:tcW w:w="851" w:type="dxa"/>
            <w:tcBorders>
              <w:top w:val="single" w:sz="6" w:space="0" w:color="auto"/>
              <w:left w:val="single" w:sz="6" w:space="0" w:color="auto"/>
              <w:bottom w:val="single" w:sz="6" w:space="0" w:color="auto"/>
              <w:right w:val="single" w:sz="6" w:space="0" w:color="auto"/>
            </w:tcBorders>
            <w:vAlign w:val="center"/>
          </w:tcPr>
          <w:p w14:paraId="00EA5572" w14:textId="17226CC3"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15,9</w:t>
            </w:r>
          </w:p>
        </w:tc>
        <w:tc>
          <w:tcPr>
            <w:tcW w:w="851" w:type="dxa"/>
            <w:tcBorders>
              <w:top w:val="single" w:sz="6" w:space="0" w:color="auto"/>
              <w:left w:val="single" w:sz="6" w:space="0" w:color="auto"/>
              <w:bottom w:val="single" w:sz="6" w:space="0" w:color="auto"/>
              <w:right w:val="single" w:sz="6" w:space="0" w:color="auto"/>
            </w:tcBorders>
            <w:vAlign w:val="center"/>
          </w:tcPr>
          <w:p w14:paraId="38DC9788" w14:textId="5DE451A5" w:rsidR="0074795D" w:rsidRPr="003954D9" w:rsidRDefault="0074795D" w:rsidP="0074795D">
            <w:pPr>
              <w:autoSpaceDE w:val="0"/>
              <w:autoSpaceDN w:val="0"/>
              <w:adjustRightInd w:val="0"/>
              <w:jc w:val="right"/>
              <w:rPr>
                <w:rFonts w:ascii="Calibri" w:hAnsi="Calibri" w:cs="Calibri"/>
                <w:b/>
                <w:color w:val="0066CC"/>
                <w:sz w:val="16"/>
                <w:szCs w:val="16"/>
              </w:rPr>
            </w:pPr>
            <w:r w:rsidRPr="003954D9">
              <w:rPr>
                <w:rFonts w:ascii="Calibri" w:hAnsi="Calibri" w:cs="Calibri"/>
                <w:b/>
                <w:bCs/>
                <w:color w:val="0066CC"/>
                <w:sz w:val="16"/>
                <w:szCs w:val="16"/>
              </w:rPr>
              <w:t>0,0</w:t>
            </w:r>
          </w:p>
        </w:tc>
        <w:tc>
          <w:tcPr>
            <w:tcW w:w="851" w:type="dxa"/>
            <w:tcBorders>
              <w:top w:val="single" w:sz="6" w:space="0" w:color="auto"/>
              <w:left w:val="single" w:sz="6" w:space="0" w:color="auto"/>
              <w:bottom w:val="single" w:sz="6" w:space="0" w:color="auto"/>
              <w:right w:val="single" w:sz="6" w:space="0" w:color="auto"/>
            </w:tcBorders>
            <w:vAlign w:val="center"/>
          </w:tcPr>
          <w:p w14:paraId="01AE2131" w14:textId="42189150"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27,7</w:t>
            </w:r>
          </w:p>
        </w:tc>
      </w:tr>
      <w:tr w:rsidR="0074795D" w:rsidRPr="003954D9" w14:paraId="24F50775" w14:textId="77777777" w:rsidTr="00553684">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737D00B5" w14:textId="1D6BC40B" w:rsidR="0074795D" w:rsidRPr="003954D9" w:rsidRDefault="0074795D" w:rsidP="0074795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rokv</w:t>
            </w:r>
          </w:p>
        </w:tc>
        <w:tc>
          <w:tcPr>
            <w:tcW w:w="851" w:type="dxa"/>
            <w:tcBorders>
              <w:top w:val="single" w:sz="6" w:space="0" w:color="auto"/>
              <w:left w:val="single" w:sz="6" w:space="0" w:color="auto"/>
              <w:bottom w:val="single" w:sz="6" w:space="0" w:color="auto"/>
              <w:right w:val="single" w:sz="6" w:space="0" w:color="auto"/>
            </w:tcBorders>
            <w:vAlign w:val="center"/>
          </w:tcPr>
          <w:p w14:paraId="1D910C54" w14:textId="5919948E"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30,9</w:t>
            </w:r>
          </w:p>
        </w:tc>
        <w:tc>
          <w:tcPr>
            <w:tcW w:w="851" w:type="dxa"/>
            <w:tcBorders>
              <w:top w:val="single" w:sz="6" w:space="0" w:color="auto"/>
              <w:left w:val="single" w:sz="6" w:space="0" w:color="auto"/>
              <w:bottom w:val="single" w:sz="6" w:space="0" w:color="auto"/>
              <w:right w:val="single" w:sz="6" w:space="0" w:color="auto"/>
            </w:tcBorders>
            <w:vAlign w:val="center"/>
          </w:tcPr>
          <w:p w14:paraId="6092ADA2" w14:textId="4E267136" w:rsidR="0074795D" w:rsidRPr="003954D9" w:rsidRDefault="0074795D" w:rsidP="0074795D">
            <w:pPr>
              <w:autoSpaceDE w:val="0"/>
              <w:autoSpaceDN w:val="0"/>
              <w:adjustRightInd w:val="0"/>
              <w:jc w:val="right"/>
              <w:rPr>
                <w:rFonts w:ascii="Calibri" w:hAnsi="Calibri" w:cs="Calibri"/>
                <w:color w:val="FF6600"/>
                <w:sz w:val="16"/>
                <w:szCs w:val="16"/>
              </w:rPr>
            </w:pPr>
            <w:r w:rsidRPr="003954D9">
              <w:rPr>
                <w:rFonts w:ascii="Calibri" w:hAnsi="Calibri" w:cs="Calibri"/>
                <w:b/>
                <w:bCs/>
                <w:color w:val="FF0000"/>
                <w:sz w:val="16"/>
                <w:szCs w:val="16"/>
              </w:rPr>
              <w:t>41,2</w:t>
            </w:r>
          </w:p>
        </w:tc>
        <w:tc>
          <w:tcPr>
            <w:tcW w:w="851" w:type="dxa"/>
            <w:tcBorders>
              <w:top w:val="single" w:sz="6" w:space="0" w:color="auto"/>
              <w:left w:val="single" w:sz="6" w:space="0" w:color="auto"/>
              <w:bottom w:val="single" w:sz="6" w:space="0" w:color="auto"/>
              <w:right w:val="single" w:sz="6" w:space="0" w:color="auto"/>
            </w:tcBorders>
            <w:vAlign w:val="center"/>
          </w:tcPr>
          <w:p w14:paraId="761C05C0" w14:textId="1D407BF8"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16,0</w:t>
            </w:r>
          </w:p>
        </w:tc>
        <w:tc>
          <w:tcPr>
            <w:tcW w:w="851" w:type="dxa"/>
            <w:tcBorders>
              <w:top w:val="single" w:sz="6" w:space="0" w:color="auto"/>
              <w:left w:val="single" w:sz="6" w:space="0" w:color="auto"/>
              <w:bottom w:val="single" w:sz="6" w:space="0" w:color="auto"/>
              <w:right w:val="single" w:sz="6" w:space="0" w:color="auto"/>
            </w:tcBorders>
            <w:vAlign w:val="center"/>
          </w:tcPr>
          <w:p w14:paraId="2C159827" w14:textId="39F954A9"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21,7</w:t>
            </w:r>
          </w:p>
        </w:tc>
        <w:tc>
          <w:tcPr>
            <w:tcW w:w="851" w:type="dxa"/>
            <w:tcBorders>
              <w:top w:val="single" w:sz="6" w:space="0" w:color="auto"/>
              <w:left w:val="single" w:sz="6" w:space="0" w:color="auto"/>
              <w:bottom w:val="single" w:sz="6" w:space="0" w:color="auto"/>
              <w:right w:val="single" w:sz="6" w:space="0" w:color="auto"/>
            </w:tcBorders>
            <w:vAlign w:val="center"/>
          </w:tcPr>
          <w:p w14:paraId="537ADE51" w14:textId="6601A11F" w:rsidR="0074795D" w:rsidRPr="003954D9" w:rsidRDefault="0074795D" w:rsidP="0074795D">
            <w:pPr>
              <w:autoSpaceDE w:val="0"/>
              <w:autoSpaceDN w:val="0"/>
              <w:adjustRightInd w:val="0"/>
              <w:jc w:val="right"/>
              <w:rPr>
                <w:rFonts w:ascii="Calibri" w:hAnsi="Calibri" w:cs="Calibri"/>
                <w:b/>
                <w:color w:val="000000"/>
                <w:sz w:val="16"/>
                <w:szCs w:val="16"/>
              </w:rPr>
            </w:pPr>
            <w:r w:rsidRPr="003954D9">
              <w:rPr>
                <w:rFonts w:ascii="Calibri" w:hAnsi="Calibri" w:cs="Calibri"/>
                <w:b/>
                <w:bCs/>
                <w:color w:val="0066CC"/>
                <w:sz w:val="16"/>
                <w:szCs w:val="16"/>
              </w:rPr>
              <w:t>13,0</w:t>
            </w:r>
          </w:p>
        </w:tc>
        <w:tc>
          <w:tcPr>
            <w:tcW w:w="851" w:type="dxa"/>
            <w:tcBorders>
              <w:top w:val="single" w:sz="6" w:space="0" w:color="auto"/>
              <w:left w:val="single" w:sz="6" w:space="0" w:color="auto"/>
              <w:bottom w:val="single" w:sz="6" w:space="0" w:color="auto"/>
              <w:right w:val="single" w:sz="6" w:space="0" w:color="auto"/>
            </w:tcBorders>
            <w:vAlign w:val="center"/>
          </w:tcPr>
          <w:p w14:paraId="2BAFB493" w14:textId="78554A78"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21,2</w:t>
            </w:r>
          </w:p>
        </w:tc>
        <w:tc>
          <w:tcPr>
            <w:tcW w:w="851" w:type="dxa"/>
            <w:tcBorders>
              <w:top w:val="single" w:sz="6" w:space="0" w:color="auto"/>
              <w:left w:val="single" w:sz="6" w:space="0" w:color="auto"/>
              <w:bottom w:val="single" w:sz="6" w:space="0" w:color="auto"/>
              <w:right w:val="single" w:sz="6" w:space="0" w:color="auto"/>
            </w:tcBorders>
            <w:vAlign w:val="center"/>
          </w:tcPr>
          <w:p w14:paraId="0EAF3B81" w14:textId="1EC823BC" w:rsidR="0074795D" w:rsidRPr="003954D9" w:rsidRDefault="00553684" w:rsidP="0074795D">
            <w:pPr>
              <w:autoSpaceDE w:val="0"/>
              <w:autoSpaceDN w:val="0"/>
              <w:adjustRightInd w:val="0"/>
              <w:jc w:val="center"/>
              <w:rPr>
                <w:rFonts w:ascii="Calibri" w:hAnsi="Calibri" w:cs="Calibri"/>
                <w:bCs/>
                <w:color w:val="000000"/>
                <w:sz w:val="16"/>
                <w:szCs w:val="16"/>
              </w:rPr>
            </w:pPr>
            <w:r w:rsidRPr="003954D9">
              <w:rPr>
                <w:rFonts w:ascii="Calibri" w:hAnsi="Calibri" w:cs="Calibri"/>
                <w:bCs/>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738A7E01" w14:textId="7ECA33DB" w:rsidR="0074795D" w:rsidRPr="003954D9" w:rsidRDefault="0074795D" w:rsidP="0074795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2310EAC5" w14:textId="2635E582" w:rsidR="0074795D" w:rsidRPr="003954D9" w:rsidRDefault="0074795D" w:rsidP="0074795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5B0B4B86" w14:textId="630E228D"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31,9</w:t>
            </w:r>
          </w:p>
        </w:tc>
      </w:tr>
      <w:tr w:rsidR="0074795D" w:rsidRPr="003954D9" w14:paraId="7CD1A061" w14:textId="77777777" w:rsidTr="00553684">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672BE76C" w14:textId="77777777" w:rsidR="0074795D" w:rsidRPr="003954D9" w:rsidRDefault="0074795D" w:rsidP="0074795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w:t>
            </w:r>
          </w:p>
        </w:tc>
        <w:tc>
          <w:tcPr>
            <w:tcW w:w="851" w:type="dxa"/>
            <w:tcBorders>
              <w:top w:val="single" w:sz="6" w:space="0" w:color="auto"/>
              <w:left w:val="single" w:sz="6" w:space="0" w:color="auto"/>
              <w:bottom w:val="single" w:sz="6" w:space="0" w:color="auto"/>
              <w:right w:val="single" w:sz="6" w:space="0" w:color="auto"/>
            </w:tcBorders>
            <w:vAlign w:val="center"/>
          </w:tcPr>
          <w:p w14:paraId="1A5A04DC" w14:textId="17547C09" w:rsidR="0074795D" w:rsidRPr="003954D9" w:rsidRDefault="0074795D" w:rsidP="0074795D">
            <w:pPr>
              <w:autoSpaceDE w:val="0"/>
              <w:autoSpaceDN w:val="0"/>
              <w:adjustRightInd w:val="0"/>
              <w:jc w:val="right"/>
              <w:rPr>
                <w:rFonts w:ascii="Calibri" w:hAnsi="Calibri" w:cs="Calibri"/>
                <w:color w:val="FF6600"/>
                <w:sz w:val="16"/>
                <w:szCs w:val="16"/>
              </w:rPr>
            </w:pPr>
            <w:r w:rsidRPr="003954D9">
              <w:rPr>
                <w:rFonts w:ascii="Calibri" w:hAnsi="Calibri" w:cs="Calibri"/>
                <w:b/>
                <w:bCs/>
                <w:color w:val="FF0000"/>
                <w:sz w:val="16"/>
                <w:szCs w:val="16"/>
              </w:rPr>
              <w:t>29,6</w:t>
            </w:r>
          </w:p>
        </w:tc>
        <w:tc>
          <w:tcPr>
            <w:tcW w:w="851" w:type="dxa"/>
            <w:tcBorders>
              <w:top w:val="single" w:sz="6" w:space="0" w:color="auto"/>
              <w:left w:val="single" w:sz="6" w:space="0" w:color="auto"/>
              <w:bottom w:val="single" w:sz="6" w:space="0" w:color="auto"/>
              <w:right w:val="single" w:sz="6" w:space="0" w:color="auto"/>
            </w:tcBorders>
            <w:vAlign w:val="center"/>
          </w:tcPr>
          <w:p w14:paraId="0A79319C" w14:textId="3BF85186"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17,9</w:t>
            </w:r>
          </w:p>
        </w:tc>
        <w:tc>
          <w:tcPr>
            <w:tcW w:w="851" w:type="dxa"/>
            <w:tcBorders>
              <w:top w:val="single" w:sz="6" w:space="0" w:color="auto"/>
              <w:left w:val="single" w:sz="6" w:space="0" w:color="auto"/>
              <w:bottom w:val="single" w:sz="6" w:space="0" w:color="auto"/>
              <w:right w:val="single" w:sz="6" w:space="0" w:color="auto"/>
            </w:tcBorders>
            <w:vAlign w:val="center"/>
          </w:tcPr>
          <w:p w14:paraId="6670DE4C" w14:textId="2EF3F43C"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15,9</w:t>
            </w:r>
          </w:p>
        </w:tc>
        <w:tc>
          <w:tcPr>
            <w:tcW w:w="851" w:type="dxa"/>
            <w:tcBorders>
              <w:top w:val="single" w:sz="6" w:space="0" w:color="auto"/>
              <w:left w:val="single" w:sz="6" w:space="0" w:color="auto"/>
              <w:bottom w:val="single" w:sz="6" w:space="0" w:color="auto"/>
              <w:right w:val="single" w:sz="6" w:space="0" w:color="auto"/>
            </w:tcBorders>
            <w:vAlign w:val="center"/>
          </w:tcPr>
          <w:p w14:paraId="130D0565" w14:textId="343FB2CD"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15,4</w:t>
            </w:r>
          </w:p>
        </w:tc>
        <w:tc>
          <w:tcPr>
            <w:tcW w:w="851" w:type="dxa"/>
            <w:tcBorders>
              <w:top w:val="single" w:sz="6" w:space="0" w:color="auto"/>
              <w:left w:val="single" w:sz="6" w:space="0" w:color="auto"/>
              <w:bottom w:val="single" w:sz="6" w:space="0" w:color="auto"/>
              <w:right w:val="single" w:sz="6" w:space="0" w:color="auto"/>
            </w:tcBorders>
            <w:vAlign w:val="center"/>
          </w:tcPr>
          <w:p w14:paraId="7594A9DD" w14:textId="4C6D1614"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16,6</w:t>
            </w:r>
          </w:p>
        </w:tc>
        <w:tc>
          <w:tcPr>
            <w:tcW w:w="851" w:type="dxa"/>
            <w:tcBorders>
              <w:top w:val="single" w:sz="6" w:space="0" w:color="auto"/>
              <w:left w:val="single" w:sz="6" w:space="0" w:color="auto"/>
              <w:bottom w:val="single" w:sz="6" w:space="0" w:color="auto"/>
              <w:right w:val="single" w:sz="6" w:space="0" w:color="auto"/>
            </w:tcBorders>
            <w:vAlign w:val="center"/>
          </w:tcPr>
          <w:p w14:paraId="634569A3" w14:textId="3F9F3076"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851" w:type="dxa"/>
            <w:tcBorders>
              <w:top w:val="single" w:sz="6" w:space="0" w:color="auto"/>
              <w:left w:val="single" w:sz="6" w:space="0" w:color="auto"/>
              <w:bottom w:val="single" w:sz="6" w:space="0" w:color="auto"/>
              <w:right w:val="single" w:sz="6" w:space="0" w:color="auto"/>
            </w:tcBorders>
            <w:vAlign w:val="center"/>
          </w:tcPr>
          <w:p w14:paraId="78F270D9" w14:textId="49BEF3B3"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27,2</w:t>
            </w:r>
          </w:p>
        </w:tc>
        <w:tc>
          <w:tcPr>
            <w:tcW w:w="851" w:type="dxa"/>
            <w:tcBorders>
              <w:top w:val="single" w:sz="6" w:space="0" w:color="auto"/>
              <w:left w:val="single" w:sz="6" w:space="0" w:color="auto"/>
              <w:bottom w:val="single" w:sz="6" w:space="0" w:color="auto"/>
              <w:right w:val="single" w:sz="6" w:space="0" w:color="auto"/>
            </w:tcBorders>
            <w:vAlign w:val="center"/>
          </w:tcPr>
          <w:p w14:paraId="07E01E7C" w14:textId="091D2134"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18,0</w:t>
            </w:r>
          </w:p>
        </w:tc>
        <w:tc>
          <w:tcPr>
            <w:tcW w:w="851" w:type="dxa"/>
            <w:tcBorders>
              <w:top w:val="single" w:sz="6" w:space="0" w:color="auto"/>
              <w:left w:val="single" w:sz="6" w:space="0" w:color="auto"/>
              <w:bottom w:val="single" w:sz="6" w:space="0" w:color="auto"/>
              <w:right w:val="single" w:sz="6" w:space="0" w:color="auto"/>
            </w:tcBorders>
            <w:vAlign w:val="center"/>
          </w:tcPr>
          <w:p w14:paraId="3BFE3305" w14:textId="45B308DA" w:rsidR="0074795D" w:rsidRPr="003954D9" w:rsidRDefault="0074795D" w:rsidP="0074795D">
            <w:pPr>
              <w:autoSpaceDE w:val="0"/>
              <w:autoSpaceDN w:val="0"/>
              <w:adjustRightInd w:val="0"/>
              <w:jc w:val="right"/>
              <w:rPr>
                <w:rFonts w:ascii="Calibri" w:hAnsi="Calibri" w:cs="Calibri"/>
                <w:b/>
                <w:color w:val="0066CC"/>
                <w:sz w:val="16"/>
                <w:szCs w:val="16"/>
              </w:rPr>
            </w:pPr>
            <w:r w:rsidRPr="003954D9">
              <w:rPr>
                <w:rFonts w:ascii="Calibri" w:hAnsi="Calibri" w:cs="Calibri"/>
                <w:b/>
                <w:bCs/>
                <w:color w:val="0066CC"/>
                <w:sz w:val="16"/>
                <w:szCs w:val="16"/>
              </w:rPr>
              <w:t>13,2</w:t>
            </w:r>
          </w:p>
        </w:tc>
        <w:tc>
          <w:tcPr>
            <w:tcW w:w="851" w:type="dxa"/>
            <w:tcBorders>
              <w:top w:val="single" w:sz="6" w:space="0" w:color="auto"/>
              <w:left w:val="single" w:sz="6" w:space="0" w:color="auto"/>
              <w:bottom w:val="single" w:sz="6" w:space="0" w:color="auto"/>
              <w:right w:val="single" w:sz="6" w:space="0" w:color="auto"/>
            </w:tcBorders>
            <w:vAlign w:val="center"/>
          </w:tcPr>
          <w:p w14:paraId="21F81498" w14:textId="1D07EA56"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26,0</w:t>
            </w:r>
          </w:p>
        </w:tc>
      </w:tr>
      <w:tr w:rsidR="0074795D" w:rsidRPr="003954D9" w14:paraId="44470C2C" w14:textId="77777777" w:rsidTr="00553684">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1102AE3D" w14:textId="77777777" w:rsidR="0074795D" w:rsidRPr="003954D9" w:rsidRDefault="0074795D" w:rsidP="0074795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3 rok</w:t>
            </w:r>
          </w:p>
        </w:tc>
        <w:tc>
          <w:tcPr>
            <w:tcW w:w="851" w:type="dxa"/>
            <w:tcBorders>
              <w:top w:val="single" w:sz="6" w:space="0" w:color="auto"/>
              <w:left w:val="single" w:sz="6" w:space="0" w:color="auto"/>
              <w:bottom w:val="single" w:sz="6" w:space="0" w:color="auto"/>
              <w:right w:val="single" w:sz="6" w:space="0" w:color="auto"/>
            </w:tcBorders>
            <w:vAlign w:val="center"/>
          </w:tcPr>
          <w:p w14:paraId="2EE31D86" w14:textId="7CD27B4E" w:rsidR="0074795D" w:rsidRPr="003954D9" w:rsidRDefault="0074795D" w:rsidP="0074795D">
            <w:pPr>
              <w:autoSpaceDE w:val="0"/>
              <w:autoSpaceDN w:val="0"/>
              <w:adjustRightInd w:val="0"/>
              <w:jc w:val="right"/>
              <w:rPr>
                <w:rFonts w:ascii="Calibri" w:hAnsi="Calibri" w:cs="Calibri"/>
                <w:color w:val="FF6600"/>
                <w:sz w:val="16"/>
                <w:szCs w:val="16"/>
              </w:rPr>
            </w:pPr>
            <w:r w:rsidRPr="003954D9">
              <w:rPr>
                <w:rFonts w:ascii="Calibri" w:hAnsi="Calibri" w:cs="Calibri"/>
                <w:b/>
                <w:bCs/>
                <w:color w:val="FF0000"/>
                <w:sz w:val="16"/>
                <w:szCs w:val="16"/>
              </w:rPr>
              <w:t>34,1</w:t>
            </w:r>
          </w:p>
        </w:tc>
        <w:tc>
          <w:tcPr>
            <w:tcW w:w="851" w:type="dxa"/>
            <w:tcBorders>
              <w:top w:val="single" w:sz="6" w:space="0" w:color="auto"/>
              <w:left w:val="single" w:sz="6" w:space="0" w:color="auto"/>
              <w:bottom w:val="single" w:sz="6" w:space="0" w:color="auto"/>
              <w:right w:val="single" w:sz="6" w:space="0" w:color="auto"/>
            </w:tcBorders>
            <w:vAlign w:val="center"/>
          </w:tcPr>
          <w:p w14:paraId="59F05C78" w14:textId="4A33ACE5"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30,3</w:t>
            </w:r>
          </w:p>
        </w:tc>
        <w:tc>
          <w:tcPr>
            <w:tcW w:w="851" w:type="dxa"/>
            <w:tcBorders>
              <w:top w:val="single" w:sz="6" w:space="0" w:color="auto"/>
              <w:left w:val="single" w:sz="6" w:space="0" w:color="auto"/>
              <w:bottom w:val="single" w:sz="6" w:space="0" w:color="auto"/>
              <w:right w:val="single" w:sz="6" w:space="0" w:color="auto"/>
            </w:tcBorders>
            <w:vAlign w:val="center"/>
          </w:tcPr>
          <w:p w14:paraId="751849AC" w14:textId="379995A8"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17,7</w:t>
            </w:r>
          </w:p>
        </w:tc>
        <w:tc>
          <w:tcPr>
            <w:tcW w:w="851" w:type="dxa"/>
            <w:tcBorders>
              <w:top w:val="single" w:sz="6" w:space="0" w:color="auto"/>
              <w:left w:val="single" w:sz="6" w:space="0" w:color="auto"/>
              <w:bottom w:val="single" w:sz="6" w:space="0" w:color="auto"/>
              <w:right w:val="single" w:sz="6" w:space="0" w:color="auto"/>
            </w:tcBorders>
            <w:vAlign w:val="center"/>
          </w:tcPr>
          <w:p w14:paraId="3FCF42C5" w14:textId="52B0053A"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23,6</w:t>
            </w:r>
          </w:p>
        </w:tc>
        <w:tc>
          <w:tcPr>
            <w:tcW w:w="851" w:type="dxa"/>
            <w:tcBorders>
              <w:top w:val="single" w:sz="6" w:space="0" w:color="auto"/>
              <w:left w:val="single" w:sz="6" w:space="0" w:color="auto"/>
              <w:bottom w:val="single" w:sz="6" w:space="0" w:color="auto"/>
              <w:right w:val="single" w:sz="6" w:space="0" w:color="auto"/>
            </w:tcBorders>
            <w:vAlign w:val="center"/>
          </w:tcPr>
          <w:p w14:paraId="0D416001" w14:textId="3F162ECF"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21,0</w:t>
            </w:r>
          </w:p>
        </w:tc>
        <w:tc>
          <w:tcPr>
            <w:tcW w:w="851" w:type="dxa"/>
            <w:tcBorders>
              <w:top w:val="single" w:sz="6" w:space="0" w:color="auto"/>
              <w:left w:val="single" w:sz="6" w:space="0" w:color="auto"/>
              <w:bottom w:val="single" w:sz="6" w:space="0" w:color="auto"/>
              <w:right w:val="single" w:sz="6" w:space="0" w:color="auto"/>
            </w:tcBorders>
            <w:vAlign w:val="center"/>
          </w:tcPr>
          <w:p w14:paraId="200CB113" w14:textId="36D499AD"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23,0</w:t>
            </w:r>
          </w:p>
        </w:tc>
        <w:tc>
          <w:tcPr>
            <w:tcW w:w="851" w:type="dxa"/>
            <w:tcBorders>
              <w:top w:val="single" w:sz="6" w:space="0" w:color="auto"/>
              <w:left w:val="single" w:sz="6" w:space="0" w:color="auto"/>
              <w:bottom w:val="single" w:sz="6" w:space="0" w:color="auto"/>
              <w:right w:val="single" w:sz="6" w:space="0" w:color="auto"/>
            </w:tcBorders>
            <w:vAlign w:val="center"/>
          </w:tcPr>
          <w:p w14:paraId="21F1EDE9" w14:textId="6326193C"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29,0</w:t>
            </w:r>
          </w:p>
        </w:tc>
        <w:tc>
          <w:tcPr>
            <w:tcW w:w="851" w:type="dxa"/>
            <w:tcBorders>
              <w:top w:val="single" w:sz="6" w:space="0" w:color="auto"/>
              <w:left w:val="single" w:sz="6" w:space="0" w:color="auto"/>
              <w:bottom w:val="single" w:sz="6" w:space="0" w:color="auto"/>
              <w:right w:val="single" w:sz="6" w:space="0" w:color="auto"/>
            </w:tcBorders>
            <w:vAlign w:val="center"/>
          </w:tcPr>
          <w:p w14:paraId="5940CC79" w14:textId="55566198" w:rsidR="0074795D" w:rsidRPr="003954D9" w:rsidRDefault="0074795D" w:rsidP="0074795D">
            <w:pPr>
              <w:autoSpaceDE w:val="0"/>
              <w:autoSpaceDN w:val="0"/>
              <w:adjustRightInd w:val="0"/>
              <w:jc w:val="right"/>
              <w:rPr>
                <w:rFonts w:ascii="Calibri" w:hAnsi="Calibri" w:cs="Calibri"/>
                <w:b/>
                <w:color w:val="0066CC"/>
                <w:sz w:val="16"/>
                <w:szCs w:val="16"/>
              </w:rPr>
            </w:pPr>
            <w:r w:rsidRPr="003954D9">
              <w:rPr>
                <w:rFonts w:ascii="Calibri" w:hAnsi="Calibri" w:cs="Calibri"/>
                <w:b/>
                <w:bCs/>
                <w:color w:val="0066CC"/>
                <w:sz w:val="16"/>
                <w:szCs w:val="16"/>
              </w:rPr>
              <w:t>12,1</w:t>
            </w:r>
          </w:p>
        </w:tc>
        <w:tc>
          <w:tcPr>
            <w:tcW w:w="851" w:type="dxa"/>
            <w:tcBorders>
              <w:top w:val="single" w:sz="6" w:space="0" w:color="auto"/>
              <w:left w:val="single" w:sz="6" w:space="0" w:color="auto"/>
              <w:bottom w:val="single" w:sz="6" w:space="0" w:color="auto"/>
              <w:right w:val="single" w:sz="6" w:space="0" w:color="auto"/>
            </w:tcBorders>
            <w:vAlign w:val="center"/>
          </w:tcPr>
          <w:p w14:paraId="25F12D14" w14:textId="68A2FC9B"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c>
          <w:tcPr>
            <w:tcW w:w="851" w:type="dxa"/>
            <w:tcBorders>
              <w:top w:val="single" w:sz="6" w:space="0" w:color="auto"/>
              <w:left w:val="single" w:sz="6" w:space="0" w:color="auto"/>
              <w:bottom w:val="single" w:sz="6" w:space="0" w:color="auto"/>
              <w:right w:val="single" w:sz="6" w:space="0" w:color="auto"/>
            </w:tcBorders>
            <w:vAlign w:val="center"/>
          </w:tcPr>
          <w:p w14:paraId="305B1A0E" w14:textId="57BB6354"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32,8</w:t>
            </w:r>
          </w:p>
        </w:tc>
      </w:tr>
      <w:tr w:rsidR="0074795D" w:rsidRPr="003954D9" w14:paraId="3BA481F0" w14:textId="77777777" w:rsidTr="00553684">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74AABD09" w14:textId="77777777" w:rsidR="0074795D" w:rsidRPr="003954D9" w:rsidRDefault="0074795D" w:rsidP="0074795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4 rok</w:t>
            </w:r>
          </w:p>
        </w:tc>
        <w:tc>
          <w:tcPr>
            <w:tcW w:w="851" w:type="dxa"/>
            <w:tcBorders>
              <w:top w:val="single" w:sz="6" w:space="0" w:color="auto"/>
              <w:left w:val="single" w:sz="6" w:space="0" w:color="auto"/>
              <w:bottom w:val="single" w:sz="6" w:space="0" w:color="auto"/>
              <w:right w:val="single" w:sz="6" w:space="0" w:color="auto"/>
            </w:tcBorders>
            <w:vAlign w:val="center"/>
          </w:tcPr>
          <w:p w14:paraId="5523064B" w14:textId="554070EA"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27,9</w:t>
            </w:r>
          </w:p>
        </w:tc>
        <w:tc>
          <w:tcPr>
            <w:tcW w:w="851" w:type="dxa"/>
            <w:tcBorders>
              <w:top w:val="single" w:sz="6" w:space="0" w:color="auto"/>
              <w:left w:val="single" w:sz="6" w:space="0" w:color="auto"/>
              <w:bottom w:val="single" w:sz="6" w:space="0" w:color="auto"/>
              <w:right w:val="single" w:sz="6" w:space="0" w:color="auto"/>
            </w:tcBorders>
            <w:vAlign w:val="center"/>
          </w:tcPr>
          <w:p w14:paraId="3BB5472F" w14:textId="2B2EC1C8"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15,4</w:t>
            </w:r>
          </w:p>
        </w:tc>
        <w:tc>
          <w:tcPr>
            <w:tcW w:w="851" w:type="dxa"/>
            <w:tcBorders>
              <w:top w:val="single" w:sz="6" w:space="0" w:color="auto"/>
              <w:left w:val="single" w:sz="6" w:space="0" w:color="auto"/>
              <w:bottom w:val="single" w:sz="6" w:space="0" w:color="auto"/>
              <w:right w:val="single" w:sz="6" w:space="0" w:color="auto"/>
            </w:tcBorders>
            <w:vAlign w:val="center"/>
          </w:tcPr>
          <w:p w14:paraId="3478AB0B" w14:textId="3C9D1462"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c>
          <w:tcPr>
            <w:tcW w:w="851" w:type="dxa"/>
            <w:tcBorders>
              <w:top w:val="single" w:sz="6" w:space="0" w:color="auto"/>
              <w:left w:val="single" w:sz="6" w:space="0" w:color="auto"/>
              <w:bottom w:val="single" w:sz="6" w:space="0" w:color="auto"/>
              <w:right w:val="single" w:sz="6" w:space="0" w:color="auto"/>
            </w:tcBorders>
            <w:vAlign w:val="center"/>
          </w:tcPr>
          <w:p w14:paraId="14469E17" w14:textId="04BE430A" w:rsidR="0074795D" w:rsidRPr="003954D9" w:rsidRDefault="0074795D" w:rsidP="0074795D">
            <w:pPr>
              <w:autoSpaceDE w:val="0"/>
              <w:autoSpaceDN w:val="0"/>
              <w:adjustRightInd w:val="0"/>
              <w:jc w:val="right"/>
              <w:rPr>
                <w:rFonts w:ascii="Calibri" w:hAnsi="Calibri" w:cs="Calibri"/>
                <w:color w:val="FF6600"/>
                <w:sz w:val="16"/>
                <w:szCs w:val="16"/>
              </w:rPr>
            </w:pPr>
            <w:r w:rsidRPr="003954D9">
              <w:rPr>
                <w:rFonts w:ascii="Calibri" w:hAnsi="Calibri" w:cs="Calibri"/>
                <w:b/>
                <w:bCs/>
                <w:color w:val="FF0000"/>
                <w:sz w:val="16"/>
                <w:szCs w:val="16"/>
              </w:rPr>
              <w:t>31,3</w:t>
            </w:r>
          </w:p>
        </w:tc>
        <w:tc>
          <w:tcPr>
            <w:tcW w:w="851" w:type="dxa"/>
            <w:tcBorders>
              <w:top w:val="single" w:sz="6" w:space="0" w:color="auto"/>
              <w:left w:val="single" w:sz="6" w:space="0" w:color="auto"/>
              <w:bottom w:val="single" w:sz="6" w:space="0" w:color="auto"/>
              <w:right w:val="single" w:sz="6" w:space="0" w:color="auto"/>
            </w:tcBorders>
            <w:vAlign w:val="center"/>
          </w:tcPr>
          <w:p w14:paraId="742B8AB4" w14:textId="3712B7F3"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14,8</w:t>
            </w:r>
          </w:p>
        </w:tc>
        <w:tc>
          <w:tcPr>
            <w:tcW w:w="851" w:type="dxa"/>
            <w:tcBorders>
              <w:top w:val="single" w:sz="6" w:space="0" w:color="auto"/>
              <w:left w:val="single" w:sz="6" w:space="0" w:color="auto"/>
              <w:bottom w:val="single" w:sz="6" w:space="0" w:color="auto"/>
              <w:right w:val="single" w:sz="6" w:space="0" w:color="auto"/>
            </w:tcBorders>
            <w:vAlign w:val="center"/>
          </w:tcPr>
          <w:p w14:paraId="45751DFE" w14:textId="6403F1C2"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22,4</w:t>
            </w:r>
          </w:p>
        </w:tc>
        <w:tc>
          <w:tcPr>
            <w:tcW w:w="851" w:type="dxa"/>
            <w:tcBorders>
              <w:top w:val="single" w:sz="6" w:space="0" w:color="auto"/>
              <w:left w:val="single" w:sz="6" w:space="0" w:color="auto"/>
              <w:bottom w:val="single" w:sz="6" w:space="0" w:color="auto"/>
              <w:right w:val="single" w:sz="6" w:space="0" w:color="auto"/>
            </w:tcBorders>
            <w:vAlign w:val="center"/>
          </w:tcPr>
          <w:p w14:paraId="390C63D4" w14:textId="7429CA06"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17,8</w:t>
            </w:r>
          </w:p>
        </w:tc>
        <w:tc>
          <w:tcPr>
            <w:tcW w:w="851" w:type="dxa"/>
            <w:tcBorders>
              <w:top w:val="single" w:sz="6" w:space="0" w:color="auto"/>
              <w:left w:val="single" w:sz="6" w:space="0" w:color="auto"/>
              <w:bottom w:val="single" w:sz="6" w:space="0" w:color="auto"/>
              <w:right w:val="single" w:sz="6" w:space="0" w:color="auto"/>
            </w:tcBorders>
            <w:vAlign w:val="center"/>
          </w:tcPr>
          <w:p w14:paraId="2B5E8B97" w14:textId="407D948B"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12,0</w:t>
            </w:r>
          </w:p>
        </w:tc>
        <w:tc>
          <w:tcPr>
            <w:tcW w:w="851" w:type="dxa"/>
            <w:tcBorders>
              <w:top w:val="single" w:sz="6" w:space="0" w:color="auto"/>
              <w:left w:val="single" w:sz="6" w:space="0" w:color="auto"/>
              <w:bottom w:val="single" w:sz="6" w:space="0" w:color="auto"/>
              <w:right w:val="single" w:sz="6" w:space="0" w:color="auto"/>
            </w:tcBorders>
            <w:vAlign w:val="center"/>
          </w:tcPr>
          <w:p w14:paraId="651DF5F2" w14:textId="3B4F12AF" w:rsidR="0074795D" w:rsidRPr="003954D9" w:rsidRDefault="0074795D" w:rsidP="0074795D">
            <w:pPr>
              <w:autoSpaceDE w:val="0"/>
              <w:autoSpaceDN w:val="0"/>
              <w:adjustRightInd w:val="0"/>
              <w:jc w:val="right"/>
              <w:rPr>
                <w:rFonts w:ascii="Calibri" w:hAnsi="Calibri" w:cs="Calibri"/>
                <w:b/>
                <w:color w:val="0066CC"/>
                <w:sz w:val="16"/>
                <w:szCs w:val="16"/>
              </w:rPr>
            </w:pPr>
            <w:r w:rsidRPr="003954D9">
              <w:rPr>
                <w:rFonts w:ascii="Calibri" w:hAnsi="Calibri" w:cs="Calibri"/>
                <w:b/>
                <w:bCs/>
                <w:color w:val="0066CC"/>
                <w:sz w:val="16"/>
                <w:szCs w:val="16"/>
              </w:rPr>
              <w:t>7,7</w:t>
            </w:r>
          </w:p>
        </w:tc>
        <w:tc>
          <w:tcPr>
            <w:tcW w:w="851" w:type="dxa"/>
            <w:tcBorders>
              <w:top w:val="single" w:sz="6" w:space="0" w:color="auto"/>
              <w:left w:val="single" w:sz="6" w:space="0" w:color="auto"/>
              <w:bottom w:val="single" w:sz="6" w:space="0" w:color="auto"/>
              <w:right w:val="single" w:sz="6" w:space="0" w:color="auto"/>
            </w:tcBorders>
            <w:vAlign w:val="center"/>
          </w:tcPr>
          <w:p w14:paraId="497139CD" w14:textId="24E178C9"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25,7</w:t>
            </w:r>
          </w:p>
        </w:tc>
      </w:tr>
      <w:tr w:rsidR="0074795D" w:rsidRPr="003954D9" w14:paraId="096B0FC1" w14:textId="77777777" w:rsidTr="00553684">
        <w:trPr>
          <w:trHeight w:val="252"/>
        </w:trPr>
        <w:tc>
          <w:tcPr>
            <w:tcW w:w="851" w:type="dxa"/>
            <w:tcBorders>
              <w:top w:val="single" w:sz="6" w:space="0" w:color="auto"/>
              <w:left w:val="single" w:sz="6" w:space="0" w:color="auto"/>
              <w:bottom w:val="single" w:sz="6" w:space="0" w:color="auto"/>
              <w:right w:val="single" w:sz="6" w:space="0" w:color="auto"/>
            </w:tcBorders>
            <w:vAlign w:val="center"/>
          </w:tcPr>
          <w:p w14:paraId="3119B692" w14:textId="77777777" w:rsidR="0074795D" w:rsidRPr="003954D9" w:rsidRDefault="0074795D" w:rsidP="0074795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5 - rok</w:t>
            </w:r>
          </w:p>
        </w:tc>
        <w:tc>
          <w:tcPr>
            <w:tcW w:w="851" w:type="dxa"/>
            <w:tcBorders>
              <w:top w:val="single" w:sz="6" w:space="0" w:color="auto"/>
              <w:left w:val="single" w:sz="6" w:space="0" w:color="auto"/>
              <w:bottom w:val="single" w:sz="6" w:space="0" w:color="auto"/>
              <w:right w:val="single" w:sz="6" w:space="0" w:color="auto"/>
            </w:tcBorders>
            <w:vAlign w:val="center"/>
          </w:tcPr>
          <w:p w14:paraId="427DC579" w14:textId="4967C590"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851" w:type="dxa"/>
            <w:tcBorders>
              <w:top w:val="single" w:sz="6" w:space="0" w:color="auto"/>
              <w:left w:val="single" w:sz="6" w:space="0" w:color="auto"/>
              <w:bottom w:val="single" w:sz="6" w:space="0" w:color="auto"/>
              <w:right w:val="single" w:sz="6" w:space="0" w:color="auto"/>
            </w:tcBorders>
            <w:vAlign w:val="center"/>
          </w:tcPr>
          <w:p w14:paraId="6E0D82E7" w14:textId="4FCA2AB2"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20,4</w:t>
            </w:r>
          </w:p>
        </w:tc>
        <w:tc>
          <w:tcPr>
            <w:tcW w:w="851" w:type="dxa"/>
            <w:tcBorders>
              <w:top w:val="single" w:sz="6" w:space="0" w:color="auto"/>
              <w:left w:val="single" w:sz="6" w:space="0" w:color="auto"/>
              <w:bottom w:val="single" w:sz="6" w:space="0" w:color="auto"/>
              <w:right w:val="single" w:sz="6" w:space="0" w:color="auto"/>
            </w:tcBorders>
            <w:vAlign w:val="center"/>
          </w:tcPr>
          <w:p w14:paraId="1763D0DB" w14:textId="16BA64E5"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c>
          <w:tcPr>
            <w:tcW w:w="851" w:type="dxa"/>
            <w:tcBorders>
              <w:top w:val="single" w:sz="6" w:space="0" w:color="auto"/>
              <w:left w:val="single" w:sz="6" w:space="0" w:color="auto"/>
              <w:bottom w:val="single" w:sz="6" w:space="0" w:color="auto"/>
              <w:right w:val="single" w:sz="6" w:space="0" w:color="auto"/>
            </w:tcBorders>
            <w:vAlign w:val="center"/>
          </w:tcPr>
          <w:p w14:paraId="6B501BA0" w14:textId="0849CF6A"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18,2</w:t>
            </w:r>
          </w:p>
        </w:tc>
        <w:tc>
          <w:tcPr>
            <w:tcW w:w="851" w:type="dxa"/>
            <w:tcBorders>
              <w:top w:val="single" w:sz="6" w:space="0" w:color="auto"/>
              <w:left w:val="single" w:sz="6" w:space="0" w:color="auto"/>
              <w:bottom w:val="single" w:sz="6" w:space="0" w:color="auto"/>
              <w:right w:val="single" w:sz="6" w:space="0" w:color="auto"/>
            </w:tcBorders>
            <w:vAlign w:val="center"/>
          </w:tcPr>
          <w:p w14:paraId="7B40C08F" w14:textId="23E6784E"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18,8</w:t>
            </w:r>
          </w:p>
        </w:tc>
        <w:tc>
          <w:tcPr>
            <w:tcW w:w="851" w:type="dxa"/>
            <w:tcBorders>
              <w:top w:val="single" w:sz="6" w:space="0" w:color="auto"/>
              <w:left w:val="single" w:sz="6" w:space="0" w:color="auto"/>
              <w:bottom w:val="single" w:sz="6" w:space="0" w:color="auto"/>
              <w:right w:val="single" w:sz="6" w:space="0" w:color="auto"/>
            </w:tcBorders>
            <w:vAlign w:val="center"/>
          </w:tcPr>
          <w:p w14:paraId="7E281C77" w14:textId="757BF039" w:rsidR="0074795D" w:rsidRPr="003954D9" w:rsidRDefault="0074795D" w:rsidP="0074795D">
            <w:pPr>
              <w:autoSpaceDE w:val="0"/>
              <w:autoSpaceDN w:val="0"/>
              <w:adjustRightInd w:val="0"/>
              <w:jc w:val="center"/>
              <w:rPr>
                <w:rFonts w:ascii="Calibri" w:hAnsi="Calibri" w:cs="Calibri"/>
                <w:b/>
                <w:bCs/>
                <w:color w:val="000000"/>
                <w:sz w:val="16"/>
                <w:szCs w:val="16"/>
              </w:rPr>
            </w:pPr>
            <w:r w:rsidRPr="003954D9">
              <w:rPr>
                <w:rFonts w:ascii="Calibri" w:hAnsi="Calibri" w:cs="Calibri"/>
                <w:b/>
                <w:bCs/>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63D8FE6F" w14:textId="73D304D1"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20,3</w:t>
            </w:r>
          </w:p>
        </w:tc>
        <w:tc>
          <w:tcPr>
            <w:tcW w:w="851" w:type="dxa"/>
            <w:tcBorders>
              <w:top w:val="single" w:sz="6" w:space="0" w:color="auto"/>
              <w:left w:val="single" w:sz="6" w:space="0" w:color="auto"/>
              <w:bottom w:val="single" w:sz="6" w:space="0" w:color="auto"/>
              <w:right w:val="single" w:sz="6" w:space="0" w:color="auto"/>
            </w:tcBorders>
            <w:vAlign w:val="center"/>
          </w:tcPr>
          <w:p w14:paraId="16A5D63F" w14:textId="463E830C" w:rsidR="0074795D" w:rsidRPr="003954D9" w:rsidRDefault="0074795D" w:rsidP="0074795D">
            <w:pPr>
              <w:autoSpaceDE w:val="0"/>
              <w:autoSpaceDN w:val="0"/>
              <w:adjustRightInd w:val="0"/>
              <w:jc w:val="right"/>
              <w:rPr>
                <w:rFonts w:ascii="Calibri" w:hAnsi="Calibri" w:cs="Calibri"/>
                <w:b/>
                <w:color w:val="0066CC"/>
                <w:sz w:val="16"/>
                <w:szCs w:val="16"/>
              </w:rPr>
            </w:pPr>
            <w:r w:rsidRPr="003954D9">
              <w:rPr>
                <w:rFonts w:ascii="Calibri" w:hAnsi="Calibri" w:cs="Calibri"/>
                <w:b/>
                <w:bCs/>
                <w:color w:val="0066CC"/>
                <w:sz w:val="16"/>
                <w:szCs w:val="16"/>
              </w:rPr>
              <w:t>7,0</w:t>
            </w:r>
          </w:p>
        </w:tc>
        <w:tc>
          <w:tcPr>
            <w:tcW w:w="851" w:type="dxa"/>
            <w:tcBorders>
              <w:top w:val="single" w:sz="6" w:space="0" w:color="auto"/>
              <w:left w:val="single" w:sz="6" w:space="0" w:color="auto"/>
              <w:bottom w:val="single" w:sz="6" w:space="0" w:color="auto"/>
              <w:right w:val="single" w:sz="6" w:space="0" w:color="auto"/>
            </w:tcBorders>
            <w:vAlign w:val="center"/>
          </w:tcPr>
          <w:p w14:paraId="7318F444" w14:textId="25F954A0" w:rsidR="0074795D" w:rsidRPr="003954D9" w:rsidRDefault="0074795D" w:rsidP="0074795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1F5FDC8D" w14:textId="79366F40" w:rsidR="0074795D" w:rsidRPr="003954D9" w:rsidRDefault="0074795D" w:rsidP="0074795D">
            <w:pPr>
              <w:autoSpaceDE w:val="0"/>
              <w:autoSpaceDN w:val="0"/>
              <w:adjustRightInd w:val="0"/>
              <w:jc w:val="right"/>
              <w:rPr>
                <w:rFonts w:ascii="Calibri" w:hAnsi="Calibri" w:cs="Calibri"/>
                <w:color w:val="FF0000"/>
                <w:sz w:val="16"/>
                <w:szCs w:val="16"/>
              </w:rPr>
            </w:pPr>
            <w:r w:rsidRPr="003954D9">
              <w:rPr>
                <w:rFonts w:ascii="Calibri" w:hAnsi="Calibri" w:cs="Calibri"/>
                <w:b/>
                <w:bCs/>
                <w:color w:val="FF0000"/>
                <w:sz w:val="16"/>
                <w:szCs w:val="16"/>
              </w:rPr>
              <w:t>54,5</w:t>
            </w:r>
          </w:p>
        </w:tc>
      </w:tr>
      <w:tr w:rsidR="0074795D" w:rsidRPr="003954D9" w14:paraId="22F3CC69" w14:textId="77777777" w:rsidTr="00553684">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6B4802B4" w14:textId="77777777" w:rsidR="0074795D" w:rsidRPr="003954D9" w:rsidRDefault="0074795D" w:rsidP="0074795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Samtliga</w:t>
            </w:r>
          </w:p>
        </w:tc>
        <w:tc>
          <w:tcPr>
            <w:tcW w:w="851" w:type="dxa"/>
            <w:tcBorders>
              <w:top w:val="single" w:sz="6" w:space="0" w:color="auto"/>
              <w:left w:val="single" w:sz="6" w:space="0" w:color="auto"/>
              <w:bottom w:val="single" w:sz="6" w:space="0" w:color="auto"/>
              <w:right w:val="single" w:sz="6" w:space="0" w:color="auto"/>
            </w:tcBorders>
            <w:vAlign w:val="center"/>
          </w:tcPr>
          <w:p w14:paraId="449C97F2" w14:textId="7A8CA8F4" w:rsidR="0074795D" w:rsidRPr="003954D9" w:rsidRDefault="0074795D" w:rsidP="0074795D">
            <w:pPr>
              <w:autoSpaceDE w:val="0"/>
              <w:autoSpaceDN w:val="0"/>
              <w:adjustRightInd w:val="0"/>
              <w:jc w:val="right"/>
              <w:rPr>
                <w:rFonts w:ascii="Calibri" w:hAnsi="Calibri" w:cs="Calibri"/>
                <w:color w:val="FF6600"/>
                <w:sz w:val="16"/>
                <w:szCs w:val="16"/>
              </w:rPr>
            </w:pPr>
            <w:r w:rsidRPr="003954D9">
              <w:rPr>
                <w:rFonts w:ascii="Calibri" w:hAnsi="Calibri" w:cs="Calibri"/>
                <w:b/>
                <w:bCs/>
                <w:color w:val="FF0000"/>
                <w:sz w:val="16"/>
                <w:szCs w:val="16"/>
              </w:rPr>
              <w:t>30,9</w:t>
            </w:r>
          </w:p>
        </w:tc>
        <w:tc>
          <w:tcPr>
            <w:tcW w:w="851" w:type="dxa"/>
            <w:tcBorders>
              <w:top w:val="single" w:sz="6" w:space="0" w:color="auto"/>
              <w:left w:val="single" w:sz="6" w:space="0" w:color="auto"/>
              <w:bottom w:val="single" w:sz="6" w:space="0" w:color="auto"/>
              <w:right w:val="single" w:sz="6" w:space="0" w:color="auto"/>
            </w:tcBorders>
            <w:vAlign w:val="center"/>
          </w:tcPr>
          <w:p w14:paraId="467DEFC3" w14:textId="3CBC2E2F"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24,2</w:t>
            </w:r>
          </w:p>
        </w:tc>
        <w:tc>
          <w:tcPr>
            <w:tcW w:w="851" w:type="dxa"/>
            <w:tcBorders>
              <w:top w:val="single" w:sz="6" w:space="0" w:color="auto"/>
              <w:left w:val="single" w:sz="6" w:space="0" w:color="auto"/>
              <w:bottom w:val="single" w:sz="6" w:space="0" w:color="auto"/>
              <w:right w:val="single" w:sz="6" w:space="0" w:color="auto"/>
            </w:tcBorders>
            <w:vAlign w:val="center"/>
          </w:tcPr>
          <w:p w14:paraId="6863E54D" w14:textId="53F80BA7"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18,1</w:t>
            </w:r>
          </w:p>
        </w:tc>
        <w:tc>
          <w:tcPr>
            <w:tcW w:w="851" w:type="dxa"/>
            <w:tcBorders>
              <w:top w:val="single" w:sz="6" w:space="0" w:color="auto"/>
              <w:left w:val="single" w:sz="6" w:space="0" w:color="auto"/>
              <w:bottom w:val="single" w:sz="6" w:space="0" w:color="auto"/>
              <w:right w:val="single" w:sz="6" w:space="0" w:color="auto"/>
            </w:tcBorders>
            <w:vAlign w:val="center"/>
          </w:tcPr>
          <w:p w14:paraId="5B60B687" w14:textId="5BF67965"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19,6</w:t>
            </w:r>
          </w:p>
        </w:tc>
        <w:tc>
          <w:tcPr>
            <w:tcW w:w="851" w:type="dxa"/>
            <w:tcBorders>
              <w:top w:val="single" w:sz="6" w:space="0" w:color="auto"/>
              <w:left w:val="single" w:sz="6" w:space="0" w:color="auto"/>
              <w:bottom w:val="single" w:sz="6" w:space="0" w:color="auto"/>
              <w:right w:val="single" w:sz="6" w:space="0" w:color="auto"/>
            </w:tcBorders>
            <w:vAlign w:val="center"/>
          </w:tcPr>
          <w:p w14:paraId="2847470A" w14:textId="1042AC6C"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18,1</w:t>
            </w:r>
          </w:p>
        </w:tc>
        <w:tc>
          <w:tcPr>
            <w:tcW w:w="851" w:type="dxa"/>
            <w:tcBorders>
              <w:top w:val="single" w:sz="6" w:space="0" w:color="auto"/>
              <w:left w:val="single" w:sz="6" w:space="0" w:color="auto"/>
              <w:bottom w:val="single" w:sz="6" w:space="0" w:color="auto"/>
              <w:right w:val="single" w:sz="6" w:space="0" w:color="auto"/>
            </w:tcBorders>
            <w:vAlign w:val="center"/>
          </w:tcPr>
          <w:p w14:paraId="517D16FC" w14:textId="1352D214"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22,1</w:t>
            </w:r>
          </w:p>
        </w:tc>
        <w:tc>
          <w:tcPr>
            <w:tcW w:w="851" w:type="dxa"/>
            <w:tcBorders>
              <w:top w:val="single" w:sz="6" w:space="0" w:color="auto"/>
              <w:left w:val="single" w:sz="6" w:space="0" w:color="auto"/>
              <w:bottom w:val="single" w:sz="6" w:space="0" w:color="auto"/>
              <w:right w:val="single" w:sz="6" w:space="0" w:color="auto"/>
            </w:tcBorders>
            <w:vAlign w:val="center"/>
          </w:tcPr>
          <w:p w14:paraId="46E79EE8" w14:textId="474229B1"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26,1</w:t>
            </w:r>
          </w:p>
        </w:tc>
        <w:tc>
          <w:tcPr>
            <w:tcW w:w="851" w:type="dxa"/>
            <w:tcBorders>
              <w:top w:val="single" w:sz="6" w:space="0" w:color="auto"/>
              <w:left w:val="single" w:sz="6" w:space="0" w:color="auto"/>
              <w:bottom w:val="single" w:sz="6" w:space="0" w:color="auto"/>
              <w:right w:val="single" w:sz="6" w:space="0" w:color="auto"/>
            </w:tcBorders>
            <w:vAlign w:val="center"/>
          </w:tcPr>
          <w:p w14:paraId="3EC8108F" w14:textId="3098619E" w:rsidR="0074795D" w:rsidRPr="003954D9" w:rsidRDefault="0074795D" w:rsidP="0074795D">
            <w:pPr>
              <w:autoSpaceDE w:val="0"/>
              <w:autoSpaceDN w:val="0"/>
              <w:adjustRightInd w:val="0"/>
              <w:jc w:val="right"/>
              <w:rPr>
                <w:rFonts w:ascii="Calibri" w:hAnsi="Calibri" w:cs="Calibri"/>
                <w:color w:val="0066CC"/>
                <w:sz w:val="16"/>
                <w:szCs w:val="16"/>
              </w:rPr>
            </w:pPr>
            <w:r w:rsidRPr="003954D9">
              <w:rPr>
                <w:rFonts w:ascii="Calibri" w:hAnsi="Calibri" w:cs="Calibri"/>
                <w:b/>
                <w:bCs/>
                <w:color w:val="0066CC"/>
                <w:sz w:val="16"/>
                <w:szCs w:val="16"/>
              </w:rPr>
              <w:t>15,5</w:t>
            </w:r>
          </w:p>
        </w:tc>
        <w:tc>
          <w:tcPr>
            <w:tcW w:w="851" w:type="dxa"/>
            <w:tcBorders>
              <w:top w:val="single" w:sz="6" w:space="0" w:color="auto"/>
              <w:left w:val="single" w:sz="6" w:space="0" w:color="auto"/>
              <w:bottom w:val="single" w:sz="6" w:space="0" w:color="auto"/>
              <w:right w:val="single" w:sz="6" w:space="0" w:color="auto"/>
            </w:tcBorders>
            <w:vAlign w:val="center"/>
          </w:tcPr>
          <w:p w14:paraId="1C301578" w14:textId="669E0CBF" w:rsidR="0074795D" w:rsidRPr="003954D9" w:rsidRDefault="0074795D" w:rsidP="0074795D">
            <w:pPr>
              <w:autoSpaceDE w:val="0"/>
              <w:autoSpaceDN w:val="0"/>
              <w:adjustRightInd w:val="0"/>
              <w:jc w:val="right"/>
              <w:rPr>
                <w:rFonts w:ascii="Calibri" w:hAnsi="Calibri" w:cs="Calibri"/>
                <w:b/>
                <w:color w:val="000000"/>
                <w:sz w:val="16"/>
                <w:szCs w:val="16"/>
              </w:rPr>
            </w:pPr>
            <w:r w:rsidRPr="003954D9">
              <w:rPr>
                <w:rFonts w:ascii="Calibri" w:hAnsi="Calibri" w:cs="Calibri"/>
                <w:b/>
                <w:bCs/>
                <w:color w:val="0066CC"/>
                <w:sz w:val="16"/>
                <w:szCs w:val="16"/>
              </w:rPr>
              <w:t>15,5</w:t>
            </w:r>
          </w:p>
        </w:tc>
        <w:tc>
          <w:tcPr>
            <w:tcW w:w="851" w:type="dxa"/>
            <w:tcBorders>
              <w:top w:val="single" w:sz="6" w:space="0" w:color="auto"/>
              <w:left w:val="single" w:sz="6" w:space="0" w:color="auto"/>
              <w:bottom w:val="single" w:sz="6" w:space="0" w:color="auto"/>
              <w:right w:val="single" w:sz="6" w:space="0" w:color="auto"/>
            </w:tcBorders>
            <w:vAlign w:val="center"/>
          </w:tcPr>
          <w:p w14:paraId="7BB4560F" w14:textId="5BC4220B"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29,5</w:t>
            </w:r>
          </w:p>
        </w:tc>
      </w:tr>
      <w:tr w:rsidR="0074795D" w:rsidRPr="003954D9" w14:paraId="42CED00D" w14:textId="77777777" w:rsidTr="00553684">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7DF5ABE9" w14:textId="77777777" w:rsidR="0074795D" w:rsidRPr="003954D9" w:rsidRDefault="0074795D" w:rsidP="0074795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Antal</w:t>
            </w:r>
          </w:p>
        </w:tc>
        <w:tc>
          <w:tcPr>
            <w:tcW w:w="851" w:type="dxa"/>
            <w:tcBorders>
              <w:top w:val="single" w:sz="6" w:space="0" w:color="auto"/>
              <w:left w:val="single" w:sz="6" w:space="0" w:color="auto"/>
              <w:bottom w:val="single" w:sz="6" w:space="0" w:color="auto"/>
              <w:right w:val="single" w:sz="6" w:space="0" w:color="auto"/>
            </w:tcBorders>
            <w:vAlign w:val="center"/>
          </w:tcPr>
          <w:p w14:paraId="54D10CB1" w14:textId="50CADCBD"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1 385</w:t>
            </w:r>
          </w:p>
        </w:tc>
        <w:tc>
          <w:tcPr>
            <w:tcW w:w="851" w:type="dxa"/>
            <w:tcBorders>
              <w:top w:val="single" w:sz="6" w:space="0" w:color="auto"/>
              <w:left w:val="single" w:sz="6" w:space="0" w:color="auto"/>
              <w:bottom w:val="single" w:sz="6" w:space="0" w:color="auto"/>
              <w:right w:val="single" w:sz="6" w:space="0" w:color="auto"/>
            </w:tcBorders>
            <w:vAlign w:val="center"/>
          </w:tcPr>
          <w:p w14:paraId="72E0D6A9" w14:textId="6D4FB82B"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579</w:t>
            </w:r>
          </w:p>
        </w:tc>
        <w:tc>
          <w:tcPr>
            <w:tcW w:w="851" w:type="dxa"/>
            <w:tcBorders>
              <w:top w:val="single" w:sz="6" w:space="0" w:color="auto"/>
              <w:left w:val="single" w:sz="6" w:space="0" w:color="auto"/>
              <w:bottom w:val="single" w:sz="6" w:space="0" w:color="auto"/>
              <w:right w:val="single" w:sz="6" w:space="0" w:color="auto"/>
            </w:tcBorders>
            <w:vAlign w:val="center"/>
          </w:tcPr>
          <w:p w14:paraId="369814F8" w14:textId="4A60B62D"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851" w:type="dxa"/>
            <w:tcBorders>
              <w:top w:val="single" w:sz="6" w:space="0" w:color="auto"/>
              <w:left w:val="single" w:sz="6" w:space="0" w:color="auto"/>
              <w:bottom w:val="single" w:sz="6" w:space="0" w:color="auto"/>
              <w:right w:val="single" w:sz="6" w:space="0" w:color="auto"/>
            </w:tcBorders>
            <w:vAlign w:val="center"/>
          </w:tcPr>
          <w:p w14:paraId="03694670" w14:textId="6EFE0D65"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178</w:t>
            </w:r>
          </w:p>
        </w:tc>
        <w:tc>
          <w:tcPr>
            <w:tcW w:w="851" w:type="dxa"/>
            <w:tcBorders>
              <w:top w:val="single" w:sz="6" w:space="0" w:color="auto"/>
              <w:left w:val="single" w:sz="6" w:space="0" w:color="auto"/>
              <w:bottom w:val="single" w:sz="6" w:space="0" w:color="auto"/>
              <w:right w:val="single" w:sz="6" w:space="0" w:color="auto"/>
            </w:tcBorders>
            <w:vAlign w:val="center"/>
          </w:tcPr>
          <w:p w14:paraId="78BFF014" w14:textId="04E46739"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480</w:t>
            </w:r>
          </w:p>
        </w:tc>
        <w:tc>
          <w:tcPr>
            <w:tcW w:w="851" w:type="dxa"/>
            <w:tcBorders>
              <w:top w:val="single" w:sz="6" w:space="0" w:color="auto"/>
              <w:left w:val="single" w:sz="6" w:space="0" w:color="auto"/>
              <w:bottom w:val="single" w:sz="6" w:space="0" w:color="auto"/>
              <w:right w:val="single" w:sz="6" w:space="0" w:color="auto"/>
            </w:tcBorders>
            <w:vAlign w:val="center"/>
          </w:tcPr>
          <w:p w14:paraId="766A34B6" w14:textId="6BD4C56C"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306</w:t>
            </w:r>
          </w:p>
        </w:tc>
        <w:tc>
          <w:tcPr>
            <w:tcW w:w="851" w:type="dxa"/>
            <w:tcBorders>
              <w:top w:val="single" w:sz="6" w:space="0" w:color="auto"/>
              <w:left w:val="single" w:sz="6" w:space="0" w:color="auto"/>
              <w:bottom w:val="single" w:sz="6" w:space="0" w:color="auto"/>
              <w:right w:val="single" w:sz="6" w:space="0" w:color="auto"/>
            </w:tcBorders>
            <w:vAlign w:val="center"/>
          </w:tcPr>
          <w:p w14:paraId="63751749" w14:textId="011ADDEE"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727</w:t>
            </w:r>
          </w:p>
        </w:tc>
        <w:tc>
          <w:tcPr>
            <w:tcW w:w="851" w:type="dxa"/>
            <w:tcBorders>
              <w:top w:val="single" w:sz="6" w:space="0" w:color="auto"/>
              <w:left w:val="single" w:sz="6" w:space="0" w:color="auto"/>
              <w:bottom w:val="single" w:sz="6" w:space="0" w:color="auto"/>
              <w:right w:val="single" w:sz="6" w:space="0" w:color="auto"/>
            </w:tcBorders>
            <w:vAlign w:val="center"/>
          </w:tcPr>
          <w:p w14:paraId="1E0B3E63" w14:textId="3D1C5607"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401</w:t>
            </w:r>
          </w:p>
        </w:tc>
        <w:tc>
          <w:tcPr>
            <w:tcW w:w="851" w:type="dxa"/>
            <w:tcBorders>
              <w:top w:val="single" w:sz="6" w:space="0" w:color="auto"/>
              <w:left w:val="single" w:sz="6" w:space="0" w:color="auto"/>
              <w:bottom w:val="single" w:sz="6" w:space="0" w:color="auto"/>
              <w:right w:val="single" w:sz="6" w:space="0" w:color="auto"/>
            </w:tcBorders>
            <w:vAlign w:val="center"/>
          </w:tcPr>
          <w:p w14:paraId="306520E6" w14:textId="11120961" w:rsidR="0074795D" w:rsidRPr="00526BF8" w:rsidRDefault="0074795D" w:rsidP="0074795D">
            <w:pPr>
              <w:autoSpaceDE w:val="0"/>
              <w:autoSpaceDN w:val="0"/>
              <w:adjustRightInd w:val="0"/>
              <w:jc w:val="right"/>
              <w:rPr>
                <w:rFonts w:ascii="Calibri" w:hAnsi="Calibri" w:cs="Calibri"/>
                <w:b/>
                <w:color w:val="000000"/>
                <w:sz w:val="16"/>
                <w:szCs w:val="16"/>
              </w:rPr>
            </w:pPr>
            <w:r w:rsidRPr="00526BF8">
              <w:rPr>
                <w:rFonts w:ascii="Calibri" w:hAnsi="Calibri" w:cs="Calibri"/>
                <w:b/>
                <w:color w:val="0070C0"/>
                <w:sz w:val="16"/>
                <w:szCs w:val="16"/>
              </w:rPr>
              <w:t>49</w:t>
            </w:r>
          </w:p>
        </w:tc>
        <w:tc>
          <w:tcPr>
            <w:tcW w:w="851" w:type="dxa"/>
            <w:tcBorders>
              <w:top w:val="single" w:sz="6" w:space="0" w:color="auto"/>
              <w:left w:val="single" w:sz="6" w:space="0" w:color="auto"/>
              <w:bottom w:val="single" w:sz="6" w:space="0" w:color="auto"/>
              <w:right w:val="single" w:sz="6" w:space="0" w:color="auto"/>
            </w:tcBorders>
            <w:vAlign w:val="center"/>
          </w:tcPr>
          <w:p w14:paraId="32ABF597" w14:textId="6E5E6B2B" w:rsidR="0074795D" w:rsidRPr="003954D9" w:rsidRDefault="0074795D" w:rsidP="0074795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1 028</w:t>
            </w:r>
          </w:p>
        </w:tc>
      </w:tr>
    </w:tbl>
    <w:p w14:paraId="1548A815" w14:textId="77777777" w:rsidR="001E24AE" w:rsidRPr="003954D9" w:rsidRDefault="001E24AE" w:rsidP="001E24AE">
      <w:pPr>
        <w:autoSpaceDE w:val="0"/>
        <w:autoSpaceDN w:val="0"/>
        <w:adjustRightInd w:val="0"/>
        <w:ind w:left="70"/>
        <w:rPr>
          <w:rFonts w:ascii="Calibri" w:eastAsiaTheme="minorHAnsi" w:hAnsi="Calibri" w:cs="Calibri"/>
          <w:bCs/>
          <w:color w:val="000000"/>
          <w:sz w:val="16"/>
          <w:szCs w:val="16"/>
          <w:lang w:eastAsia="en-US"/>
        </w:rPr>
      </w:pPr>
      <w:r w:rsidRPr="00526BF8">
        <w:rPr>
          <w:b/>
          <w:color w:val="FF0000"/>
          <w:sz w:val="16"/>
          <w:szCs w:val="16"/>
        </w:rPr>
        <w:t>Röd färg högsta</w:t>
      </w:r>
      <w:r w:rsidRPr="00526BF8">
        <w:rPr>
          <w:color w:val="FF0000"/>
          <w:sz w:val="16"/>
          <w:szCs w:val="16"/>
        </w:rPr>
        <w:t xml:space="preserve"> </w:t>
      </w:r>
      <w:r w:rsidRPr="003954D9">
        <w:rPr>
          <w:sz w:val="16"/>
          <w:szCs w:val="16"/>
        </w:rPr>
        <w:t xml:space="preserve">och </w:t>
      </w:r>
      <w:r w:rsidRPr="00526BF8">
        <w:rPr>
          <w:b/>
          <w:color w:val="0070C0"/>
          <w:sz w:val="16"/>
          <w:szCs w:val="16"/>
        </w:rPr>
        <w:t>blå färg lägsta</w:t>
      </w:r>
      <w:r w:rsidRPr="00526BF8">
        <w:rPr>
          <w:color w:val="0070C0"/>
          <w:sz w:val="16"/>
          <w:szCs w:val="16"/>
        </w:rPr>
        <w:t xml:space="preserve"> </w:t>
      </w:r>
      <w:r w:rsidRPr="003954D9">
        <w:rPr>
          <w:sz w:val="16"/>
          <w:szCs w:val="16"/>
        </w:rPr>
        <w:t>värde i gruppen</w:t>
      </w:r>
    </w:p>
    <w:p w14:paraId="1F64E168" w14:textId="77777777" w:rsidR="001E24AE" w:rsidRPr="003954D9" w:rsidRDefault="001E24AE">
      <w:pPr>
        <w:tabs>
          <w:tab w:val="left" w:pos="1377"/>
          <w:tab w:val="left" w:pos="2166"/>
          <w:tab w:val="left" w:pos="3004"/>
          <w:tab w:val="left" w:pos="3858"/>
          <w:tab w:val="left" w:pos="4535"/>
          <w:tab w:val="left" w:pos="5342"/>
          <w:tab w:val="left" w:pos="6162"/>
          <w:tab w:val="left" w:pos="6921"/>
          <w:tab w:val="left" w:pos="7792"/>
          <w:tab w:val="left" w:pos="8678"/>
        </w:tabs>
        <w:autoSpaceDE w:val="0"/>
        <w:autoSpaceDN w:val="0"/>
        <w:adjustRightInd w:val="0"/>
        <w:ind w:left="40"/>
        <w:rPr>
          <w:rFonts w:ascii="Calibri" w:hAnsi="Calibri" w:cs="Calibri"/>
          <w:color w:val="000000"/>
          <w:sz w:val="16"/>
          <w:szCs w:val="16"/>
        </w:rPr>
      </w:pPr>
      <w:r w:rsidRPr="003954D9">
        <w:rPr>
          <w:rFonts w:ascii="Calibri" w:hAnsi="Calibri" w:cs="Calibri"/>
          <w:b/>
          <w:bCs/>
          <w:color w:val="000000"/>
          <w:sz w:val="16"/>
          <w:szCs w:val="16"/>
        </w:rPr>
        <w:tab/>
      </w:r>
      <w:r w:rsidRPr="003954D9">
        <w:rPr>
          <w:rFonts w:ascii="Calibri" w:hAnsi="Calibri" w:cs="Calibri"/>
          <w:color w:val="000000"/>
          <w:sz w:val="16"/>
          <w:szCs w:val="16"/>
        </w:rPr>
        <w:tab/>
      </w:r>
      <w:r w:rsidRPr="003954D9">
        <w:rPr>
          <w:rFonts w:ascii="Calibri" w:hAnsi="Calibri" w:cs="Calibri"/>
          <w:color w:val="000000"/>
          <w:sz w:val="16"/>
          <w:szCs w:val="16"/>
        </w:rPr>
        <w:tab/>
      </w:r>
      <w:r w:rsidRPr="003954D9">
        <w:rPr>
          <w:rFonts w:ascii="Calibri" w:hAnsi="Calibri" w:cs="Calibri"/>
          <w:color w:val="000000"/>
          <w:sz w:val="16"/>
          <w:szCs w:val="16"/>
        </w:rPr>
        <w:tab/>
      </w:r>
      <w:r w:rsidRPr="003954D9">
        <w:rPr>
          <w:rFonts w:ascii="Calibri" w:hAnsi="Calibri" w:cs="Calibri"/>
          <w:color w:val="000000"/>
          <w:sz w:val="16"/>
          <w:szCs w:val="16"/>
        </w:rPr>
        <w:tab/>
      </w:r>
      <w:r w:rsidRPr="003954D9">
        <w:rPr>
          <w:rFonts w:ascii="Calibri" w:hAnsi="Calibri" w:cs="Calibri"/>
          <w:color w:val="000000"/>
          <w:sz w:val="16"/>
          <w:szCs w:val="16"/>
        </w:rPr>
        <w:tab/>
      </w:r>
      <w:r w:rsidRPr="003954D9">
        <w:rPr>
          <w:rFonts w:ascii="Calibri" w:hAnsi="Calibri" w:cs="Calibri"/>
          <w:color w:val="000000"/>
          <w:sz w:val="16"/>
          <w:szCs w:val="16"/>
        </w:rPr>
        <w:tab/>
      </w:r>
      <w:r w:rsidRPr="003954D9">
        <w:rPr>
          <w:rFonts w:ascii="Calibri" w:hAnsi="Calibri" w:cs="Calibri"/>
          <w:color w:val="000000"/>
          <w:sz w:val="16"/>
          <w:szCs w:val="16"/>
        </w:rPr>
        <w:tab/>
      </w:r>
      <w:r w:rsidRPr="003954D9">
        <w:rPr>
          <w:rFonts w:ascii="Calibri" w:hAnsi="Calibri" w:cs="Calibri"/>
          <w:color w:val="000000"/>
          <w:sz w:val="16"/>
          <w:szCs w:val="16"/>
        </w:rPr>
        <w:tab/>
      </w:r>
      <w:r w:rsidRPr="003954D9">
        <w:rPr>
          <w:rFonts w:ascii="Calibri" w:hAnsi="Calibri" w:cs="Calibri"/>
          <w:color w:val="000000"/>
          <w:sz w:val="16"/>
          <w:szCs w:val="16"/>
        </w:rPr>
        <w:tab/>
      </w:r>
    </w:p>
    <w:bookmarkEnd w:id="156"/>
    <w:bookmarkEnd w:id="157"/>
    <w:bookmarkEnd w:id="158"/>
    <w:bookmarkEnd w:id="159"/>
    <w:bookmarkEnd w:id="160"/>
    <w:bookmarkEnd w:id="161"/>
    <w:p w14:paraId="2C4A03B9" w14:textId="651C13E1" w:rsidR="00C10D53" w:rsidRPr="003954D9" w:rsidRDefault="00344E97" w:rsidP="00E47D8A">
      <w:pPr>
        <w:pStyle w:val="Rubrik4"/>
      </w:pPr>
      <w:r w:rsidRPr="003954D9">
        <w:t xml:space="preserve">Hyreshöjning med 5 </w:t>
      </w:r>
      <w:r w:rsidR="00475673" w:rsidRPr="003954D9">
        <w:t>procent</w:t>
      </w:r>
      <w:r w:rsidRPr="003954D9">
        <w:t xml:space="preserve"> </w:t>
      </w:r>
    </w:p>
    <w:p w14:paraId="09D9841C" w14:textId="19A90B12" w:rsidR="005522ED" w:rsidRPr="003954D9" w:rsidRDefault="002375E3" w:rsidP="00DD505D">
      <w:r w:rsidRPr="003954D9">
        <w:t>Sammantaget är det boende i Angered</w:t>
      </w:r>
      <w:r w:rsidR="00F4273C" w:rsidRPr="003954D9">
        <w:t xml:space="preserve"> som påverkas mest följda</w:t>
      </w:r>
      <w:r w:rsidRPr="003954D9">
        <w:t xml:space="preserve"> av </w:t>
      </w:r>
      <w:r w:rsidR="00F4273C" w:rsidRPr="003954D9">
        <w:t xml:space="preserve">boende i </w:t>
      </w:r>
      <w:r w:rsidRPr="003954D9">
        <w:t xml:space="preserve">Östra Göteborg. I de vanligaste storlekarna (2 rok och 3 rok) är det boende i Angered som råkar värst ut. Östra Göteborg ligger i topp för 1 rokv och 5 rok, men de senare är få. Boende i 1 rok i Västra Hisingen hör också till den grupp som råkar värst ut och i lägenhetsstorleken 4 rok är det Lundby som påverkas mest. Minst effekt har höjningen i Örgryte-Härlanda och Västra Göteborg. </w:t>
      </w:r>
      <w:r w:rsidR="00526BF8">
        <w:t>Se tabell 6:7.</w:t>
      </w:r>
    </w:p>
    <w:p w14:paraId="4F0FFCBB" w14:textId="2FF086EB" w:rsidR="00A47BC7" w:rsidRPr="003954D9" w:rsidRDefault="00A47BC7" w:rsidP="00CC1A5C">
      <w:pPr>
        <w:pStyle w:val="Rubrik5"/>
      </w:pPr>
      <w:r w:rsidRPr="003954D9">
        <w:t xml:space="preserve">Tabell </w:t>
      </w:r>
      <w:r w:rsidR="006E3B2D" w:rsidRPr="003954D9">
        <w:t>6</w:t>
      </w:r>
      <w:r w:rsidR="00553684" w:rsidRPr="003954D9">
        <w:t>:7</w:t>
      </w:r>
      <w:r w:rsidRPr="003954D9">
        <w:t xml:space="preserve">: </w:t>
      </w:r>
      <w:r w:rsidR="00344E97" w:rsidRPr="003954D9">
        <w:t>A</w:t>
      </w:r>
      <w:r w:rsidRPr="003954D9">
        <w:t xml:space="preserve">ndel </w:t>
      </w:r>
      <w:r w:rsidR="00344E97" w:rsidRPr="003954D9">
        <w:t xml:space="preserve">och antal </w:t>
      </w:r>
      <w:r w:rsidRPr="003954D9">
        <w:t xml:space="preserve">hushåll </w:t>
      </w:r>
      <w:r w:rsidR="00344E97" w:rsidRPr="003954D9">
        <w:t>i riskzonen</w:t>
      </w:r>
      <w:r w:rsidRPr="003954D9">
        <w:t xml:space="preserve"> vid en hyreshöjning på 5 procent, lägenhetstyp och stadsdel.</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885"/>
        <w:gridCol w:w="886"/>
        <w:gridCol w:w="871"/>
        <w:gridCol w:w="773"/>
        <w:gridCol w:w="821"/>
        <w:gridCol w:w="854"/>
        <w:gridCol w:w="790"/>
        <w:gridCol w:w="854"/>
        <w:gridCol w:w="902"/>
        <w:gridCol w:w="855"/>
      </w:tblGrid>
      <w:tr w:rsidR="00A47BC7" w:rsidRPr="003954D9" w14:paraId="32165D8D" w14:textId="77777777" w:rsidTr="008877C3">
        <w:trPr>
          <w:trHeight w:val="227"/>
        </w:trPr>
        <w:tc>
          <w:tcPr>
            <w:tcW w:w="934" w:type="dxa"/>
          </w:tcPr>
          <w:p w14:paraId="335F82C7"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Lägenhets-typ</w:t>
            </w:r>
          </w:p>
        </w:tc>
        <w:tc>
          <w:tcPr>
            <w:tcW w:w="885" w:type="dxa"/>
          </w:tcPr>
          <w:p w14:paraId="7228D4E5"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86" w:type="dxa"/>
          </w:tcPr>
          <w:p w14:paraId="237C55C5" w14:textId="6788DE37" w:rsidR="00A47BC7" w:rsidRPr="003954D9" w:rsidRDefault="00602FA3"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w:t>
            </w:r>
            <w:r w:rsidR="00A47BC7" w:rsidRPr="003954D9">
              <w:rPr>
                <w:rFonts w:ascii="Calibri" w:eastAsiaTheme="minorHAnsi" w:hAnsi="Calibri" w:cs="Calibri"/>
                <w:b/>
                <w:bCs/>
                <w:color w:val="000000"/>
                <w:sz w:val="16"/>
                <w:szCs w:val="16"/>
                <w:lang w:eastAsia="en-US"/>
              </w:rPr>
              <w:t xml:space="preserve"> Frölunda </w:t>
            </w:r>
            <w:r w:rsidRPr="003954D9">
              <w:rPr>
                <w:rFonts w:ascii="Calibri" w:eastAsiaTheme="minorHAnsi" w:hAnsi="Calibri" w:cs="Calibri"/>
                <w:b/>
                <w:bCs/>
                <w:color w:val="000000"/>
                <w:sz w:val="16"/>
                <w:szCs w:val="16"/>
                <w:lang w:eastAsia="en-US"/>
              </w:rPr>
              <w:t>-</w:t>
            </w:r>
            <w:r w:rsidR="00A47BC7" w:rsidRPr="003954D9">
              <w:rPr>
                <w:rFonts w:ascii="Calibri" w:eastAsiaTheme="minorHAnsi" w:hAnsi="Calibri" w:cs="Calibri"/>
                <w:b/>
                <w:bCs/>
                <w:color w:val="000000"/>
                <w:sz w:val="16"/>
                <w:szCs w:val="16"/>
                <w:lang w:eastAsia="en-US"/>
              </w:rPr>
              <w:t>Högsbo</w:t>
            </w:r>
          </w:p>
        </w:tc>
        <w:tc>
          <w:tcPr>
            <w:tcW w:w="871" w:type="dxa"/>
          </w:tcPr>
          <w:p w14:paraId="73F334B7"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73" w:type="dxa"/>
          </w:tcPr>
          <w:p w14:paraId="543A3BA1"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21" w:type="dxa"/>
          </w:tcPr>
          <w:p w14:paraId="590E5FBC" w14:textId="493822DE" w:rsidR="00A47BC7" w:rsidRPr="003954D9" w:rsidRDefault="00A47BC7" w:rsidP="00602FA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w:t>
            </w:r>
            <w:r w:rsidR="00602FA3" w:rsidRPr="003954D9">
              <w:rPr>
                <w:rFonts w:ascii="Calibri" w:eastAsiaTheme="minorHAnsi" w:hAnsi="Calibri" w:cs="Calibri"/>
                <w:b/>
                <w:bCs/>
                <w:color w:val="000000"/>
                <w:sz w:val="16"/>
                <w:szCs w:val="16"/>
                <w:lang w:eastAsia="en-US"/>
              </w:rPr>
              <w:t>-</w:t>
            </w:r>
            <w:r w:rsidRPr="003954D9">
              <w:rPr>
                <w:rFonts w:ascii="Calibri" w:eastAsiaTheme="minorHAnsi" w:hAnsi="Calibri" w:cs="Calibri"/>
                <w:b/>
                <w:bCs/>
                <w:color w:val="000000"/>
                <w:sz w:val="16"/>
                <w:szCs w:val="16"/>
                <w:lang w:eastAsia="en-US"/>
              </w:rPr>
              <w:t>Linn</w:t>
            </w:r>
            <w:r w:rsidR="00602FA3" w:rsidRPr="003954D9">
              <w:rPr>
                <w:rFonts w:ascii="Calibri" w:eastAsiaTheme="minorHAnsi" w:hAnsi="Calibri" w:cs="Calibri"/>
                <w:b/>
                <w:bCs/>
                <w:color w:val="000000"/>
                <w:sz w:val="16"/>
                <w:szCs w:val="16"/>
                <w:lang w:eastAsia="en-US"/>
              </w:rPr>
              <w:t>é</w:t>
            </w:r>
          </w:p>
        </w:tc>
        <w:tc>
          <w:tcPr>
            <w:tcW w:w="854" w:type="dxa"/>
          </w:tcPr>
          <w:p w14:paraId="177B9DBE"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790" w:type="dxa"/>
          </w:tcPr>
          <w:p w14:paraId="7C5F51D2"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854" w:type="dxa"/>
          </w:tcPr>
          <w:p w14:paraId="6FD2D049" w14:textId="099E6B2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 Härland</w:t>
            </w:r>
            <w:r w:rsidR="00602FA3" w:rsidRPr="003954D9">
              <w:rPr>
                <w:rFonts w:ascii="Calibri" w:eastAsiaTheme="minorHAnsi" w:hAnsi="Calibri" w:cs="Calibri"/>
                <w:b/>
                <w:bCs/>
                <w:color w:val="000000"/>
                <w:sz w:val="16"/>
                <w:szCs w:val="16"/>
                <w:lang w:eastAsia="en-US"/>
              </w:rPr>
              <w:t>a</w:t>
            </w:r>
          </w:p>
        </w:tc>
        <w:tc>
          <w:tcPr>
            <w:tcW w:w="902" w:type="dxa"/>
          </w:tcPr>
          <w:p w14:paraId="058D690C"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855" w:type="dxa"/>
          </w:tcPr>
          <w:p w14:paraId="1D03B3D3"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A47BC7" w:rsidRPr="003954D9" w14:paraId="236D745A" w14:textId="77777777" w:rsidTr="008877C3">
        <w:trPr>
          <w:trHeight w:val="227"/>
        </w:trPr>
        <w:tc>
          <w:tcPr>
            <w:tcW w:w="934" w:type="dxa"/>
          </w:tcPr>
          <w:p w14:paraId="1F0FB108"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rokv</w:t>
            </w:r>
          </w:p>
        </w:tc>
        <w:tc>
          <w:tcPr>
            <w:tcW w:w="885" w:type="dxa"/>
          </w:tcPr>
          <w:p w14:paraId="38074C55"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18,5</w:t>
            </w:r>
          </w:p>
        </w:tc>
        <w:tc>
          <w:tcPr>
            <w:tcW w:w="886" w:type="dxa"/>
          </w:tcPr>
          <w:p w14:paraId="0B083D36"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25,2</w:t>
            </w:r>
          </w:p>
        </w:tc>
        <w:tc>
          <w:tcPr>
            <w:tcW w:w="871" w:type="dxa"/>
          </w:tcPr>
          <w:p w14:paraId="5620FC69"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21,8</w:t>
            </w:r>
          </w:p>
        </w:tc>
        <w:tc>
          <w:tcPr>
            <w:tcW w:w="773" w:type="dxa"/>
          </w:tcPr>
          <w:p w14:paraId="4A802009"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15,3</w:t>
            </w:r>
          </w:p>
        </w:tc>
        <w:tc>
          <w:tcPr>
            <w:tcW w:w="821" w:type="dxa"/>
          </w:tcPr>
          <w:p w14:paraId="3059D595"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16,7</w:t>
            </w:r>
          </w:p>
        </w:tc>
        <w:tc>
          <w:tcPr>
            <w:tcW w:w="854" w:type="dxa"/>
          </w:tcPr>
          <w:p w14:paraId="01638695"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20,4</w:t>
            </w:r>
          </w:p>
        </w:tc>
        <w:tc>
          <w:tcPr>
            <w:tcW w:w="790" w:type="dxa"/>
          </w:tcPr>
          <w:p w14:paraId="622EA040"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c>
          <w:tcPr>
            <w:tcW w:w="854" w:type="dxa"/>
          </w:tcPr>
          <w:p w14:paraId="31C691D7"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24,5</w:t>
            </w:r>
          </w:p>
        </w:tc>
        <w:tc>
          <w:tcPr>
            <w:tcW w:w="902" w:type="dxa"/>
          </w:tcPr>
          <w:p w14:paraId="29D5BB33"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5" w:type="dxa"/>
          </w:tcPr>
          <w:p w14:paraId="077B620E" w14:textId="77777777" w:rsidR="00A47BC7" w:rsidRPr="00526BF8" w:rsidRDefault="00A47BC7" w:rsidP="008877C3">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29,6</w:t>
            </w:r>
          </w:p>
        </w:tc>
      </w:tr>
      <w:tr w:rsidR="00A47BC7" w:rsidRPr="003954D9" w14:paraId="54E9BEF7" w14:textId="77777777" w:rsidTr="008877C3">
        <w:trPr>
          <w:trHeight w:val="227"/>
        </w:trPr>
        <w:tc>
          <w:tcPr>
            <w:tcW w:w="934" w:type="dxa"/>
          </w:tcPr>
          <w:p w14:paraId="39155C30"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rok</w:t>
            </w:r>
          </w:p>
        </w:tc>
        <w:tc>
          <w:tcPr>
            <w:tcW w:w="885" w:type="dxa"/>
          </w:tcPr>
          <w:p w14:paraId="037E7FD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c>
          <w:tcPr>
            <w:tcW w:w="886" w:type="dxa"/>
          </w:tcPr>
          <w:p w14:paraId="26FA61B9"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19,6</w:t>
            </w:r>
          </w:p>
        </w:tc>
        <w:tc>
          <w:tcPr>
            <w:tcW w:w="871" w:type="dxa"/>
          </w:tcPr>
          <w:p w14:paraId="6E83C627"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13,0</w:t>
            </w:r>
          </w:p>
        </w:tc>
        <w:tc>
          <w:tcPr>
            <w:tcW w:w="773" w:type="dxa"/>
          </w:tcPr>
          <w:p w14:paraId="5055BF1A"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21" w:type="dxa"/>
          </w:tcPr>
          <w:p w14:paraId="049128E2"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16,7</w:t>
            </w:r>
          </w:p>
        </w:tc>
        <w:tc>
          <w:tcPr>
            <w:tcW w:w="854" w:type="dxa"/>
          </w:tcPr>
          <w:p w14:paraId="4FDA10C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19,0</w:t>
            </w:r>
          </w:p>
        </w:tc>
        <w:tc>
          <w:tcPr>
            <w:tcW w:w="790" w:type="dxa"/>
          </w:tcPr>
          <w:p w14:paraId="7BC3C391" w14:textId="77777777" w:rsidR="00A47BC7" w:rsidRPr="00526BF8" w:rsidRDefault="00A47BC7" w:rsidP="008877C3">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23,4</w:t>
            </w:r>
          </w:p>
        </w:tc>
        <w:tc>
          <w:tcPr>
            <w:tcW w:w="854" w:type="dxa"/>
          </w:tcPr>
          <w:p w14:paraId="203280D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11,8</w:t>
            </w:r>
          </w:p>
        </w:tc>
        <w:tc>
          <w:tcPr>
            <w:tcW w:w="902" w:type="dxa"/>
          </w:tcPr>
          <w:p w14:paraId="4C86B3C4"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0,0</w:t>
            </w:r>
          </w:p>
        </w:tc>
        <w:tc>
          <w:tcPr>
            <w:tcW w:w="855" w:type="dxa"/>
          </w:tcPr>
          <w:p w14:paraId="66AB4E5A"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21,4</w:t>
            </w:r>
          </w:p>
        </w:tc>
      </w:tr>
      <w:tr w:rsidR="00A47BC7" w:rsidRPr="003954D9" w14:paraId="4CCB3AEA" w14:textId="77777777" w:rsidTr="008877C3">
        <w:trPr>
          <w:trHeight w:val="227"/>
        </w:trPr>
        <w:tc>
          <w:tcPr>
            <w:tcW w:w="934" w:type="dxa"/>
          </w:tcPr>
          <w:p w14:paraId="264FF5A1" w14:textId="77777777" w:rsidR="00A47BC7" w:rsidRPr="003954D9" w:rsidRDefault="00A47BC7" w:rsidP="008877C3">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2 rokv</w:t>
            </w:r>
          </w:p>
        </w:tc>
        <w:tc>
          <w:tcPr>
            <w:tcW w:w="885" w:type="dxa"/>
          </w:tcPr>
          <w:p w14:paraId="648EEA8B"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22,2</w:t>
            </w:r>
          </w:p>
        </w:tc>
        <w:tc>
          <w:tcPr>
            <w:tcW w:w="886" w:type="dxa"/>
          </w:tcPr>
          <w:p w14:paraId="59C8B428" w14:textId="77777777" w:rsidR="00A47BC7" w:rsidRPr="00526BF8" w:rsidRDefault="00A47BC7" w:rsidP="008877C3">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41,2</w:t>
            </w:r>
          </w:p>
        </w:tc>
        <w:tc>
          <w:tcPr>
            <w:tcW w:w="871" w:type="dxa"/>
          </w:tcPr>
          <w:p w14:paraId="03B43E53"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7,6</w:t>
            </w:r>
          </w:p>
        </w:tc>
        <w:tc>
          <w:tcPr>
            <w:tcW w:w="773" w:type="dxa"/>
          </w:tcPr>
          <w:p w14:paraId="34C796D2"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20,3</w:t>
            </w:r>
          </w:p>
        </w:tc>
        <w:tc>
          <w:tcPr>
            <w:tcW w:w="821" w:type="dxa"/>
          </w:tcPr>
          <w:p w14:paraId="67F1D79E"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8,7</w:t>
            </w:r>
          </w:p>
        </w:tc>
        <w:tc>
          <w:tcPr>
            <w:tcW w:w="854" w:type="dxa"/>
          </w:tcPr>
          <w:p w14:paraId="43E9C6BA"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16,3</w:t>
            </w:r>
          </w:p>
        </w:tc>
        <w:tc>
          <w:tcPr>
            <w:tcW w:w="790" w:type="dxa"/>
          </w:tcPr>
          <w:p w14:paraId="7A79B0D9"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4" w:type="dxa"/>
          </w:tcPr>
          <w:p w14:paraId="29826886"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02" w:type="dxa"/>
          </w:tcPr>
          <w:p w14:paraId="0AF0A18B"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5" w:type="dxa"/>
          </w:tcPr>
          <w:p w14:paraId="4C72023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27,0</w:t>
            </w:r>
          </w:p>
        </w:tc>
      </w:tr>
      <w:tr w:rsidR="00A47BC7" w:rsidRPr="003954D9" w14:paraId="4EECA6B9" w14:textId="77777777" w:rsidTr="008877C3">
        <w:trPr>
          <w:trHeight w:val="227"/>
        </w:trPr>
        <w:tc>
          <w:tcPr>
            <w:tcW w:w="934" w:type="dxa"/>
          </w:tcPr>
          <w:p w14:paraId="2B9FFB6D"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rok</w:t>
            </w:r>
          </w:p>
        </w:tc>
        <w:tc>
          <w:tcPr>
            <w:tcW w:w="885" w:type="dxa"/>
          </w:tcPr>
          <w:p w14:paraId="337D44F6" w14:textId="77777777" w:rsidR="00A47BC7" w:rsidRPr="00526BF8" w:rsidRDefault="00A47BC7" w:rsidP="008877C3">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20,7</w:t>
            </w:r>
          </w:p>
        </w:tc>
        <w:tc>
          <w:tcPr>
            <w:tcW w:w="886" w:type="dxa"/>
          </w:tcPr>
          <w:p w14:paraId="67CB6C54"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8,5</w:t>
            </w:r>
          </w:p>
        </w:tc>
        <w:tc>
          <w:tcPr>
            <w:tcW w:w="871" w:type="dxa"/>
          </w:tcPr>
          <w:p w14:paraId="0207BFFD"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11,3</w:t>
            </w:r>
          </w:p>
        </w:tc>
        <w:tc>
          <w:tcPr>
            <w:tcW w:w="773" w:type="dxa"/>
          </w:tcPr>
          <w:p w14:paraId="7E5D0ED8"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c>
          <w:tcPr>
            <w:tcW w:w="821" w:type="dxa"/>
          </w:tcPr>
          <w:p w14:paraId="530F6EAE"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9,6</w:t>
            </w:r>
          </w:p>
        </w:tc>
        <w:tc>
          <w:tcPr>
            <w:tcW w:w="854" w:type="dxa"/>
          </w:tcPr>
          <w:p w14:paraId="1215DD82"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13,6</w:t>
            </w:r>
          </w:p>
        </w:tc>
        <w:tc>
          <w:tcPr>
            <w:tcW w:w="790" w:type="dxa"/>
          </w:tcPr>
          <w:p w14:paraId="6BDF84F6"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17,9</w:t>
            </w:r>
          </w:p>
        </w:tc>
        <w:tc>
          <w:tcPr>
            <w:tcW w:w="854" w:type="dxa"/>
          </w:tcPr>
          <w:p w14:paraId="78FCCF2B"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11,4</w:t>
            </w:r>
          </w:p>
        </w:tc>
        <w:tc>
          <w:tcPr>
            <w:tcW w:w="902" w:type="dxa"/>
          </w:tcPr>
          <w:p w14:paraId="15A4A3ED"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7,8</w:t>
            </w:r>
          </w:p>
        </w:tc>
        <w:tc>
          <w:tcPr>
            <w:tcW w:w="855" w:type="dxa"/>
          </w:tcPr>
          <w:p w14:paraId="683185F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17,4</w:t>
            </w:r>
          </w:p>
        </w:tc>
      </w:tr>
      <w:tr w:rsidR="00A47BC7" w:rsidRPr="003954D9" w14:paraId="5FFEB43B" w14:textId="77777777" w:rsidTr="008877C3">
        <w:trPr>
          <w:trHeight w:val="227"/>
        </w:trPr>
        <w:tc>
          <w:tcPr>
            <w:tcW w:w="934" w:type="dxa"/>
          </w:tcPr>
          <w:p w14:paraId="67C4F32D"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 rok</w:t>
            </w:r>
          </w:p>
        </w:tc>
        <w:tc>
          <w:tcPr>
            <w:tcW w:w="885" w:type="dxa"/>
          </w:tcPr>
          <w:p w14:paraId="09B1FBBD" w14:textId="77777777" w:rsidR="00A47BC7" w:rsidRPr="00526BF8" w:rsidRDefault="00A47BC7" w:rsidP="008877C3">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22,9</w:t>
            </w:r>
          </w:p>
        </w:tc>
        <w:tc>
          <w:tcPr>
            <w:tcW w:w="886" w:type="dxa"/>
          </w:tcPr>
          <w:p w14:paraId="0C1334D7"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18,0</w:t>
            </w:r>
          </w:p>
        </w:tc>
        <w:tc>
          <w:tcPr>
            <w:tcW w:w="871" w:type="dxa"/>
          </w:tcPr>
          <w:p w14:paraId="57DED1E7"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w:t>
            </w:r>
          </w:p>
        </w:tc>
        <w:tc>
          <w:tcPr>
            <w:tcW w:w="773" w:type="dxa"/>
          </w:tcPr>
          <w:p w14:paraId="1A2774CB"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821" w:type="dxa"/>
          </w:tcPr>
          <w:p w14:paraId="76B85C78"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14,7</w:t>
            </w:r>
          </w:p>
        </w:tc>
        <w:tc>
          <w:tcPr>
            <w:tcW w:w="854" w:type="dxa"/>
          </w:tcPr>
          <w:p w14:paraId="19C067CC"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14,2</w:t>
            </w:r>
          </w:p>
        </w:tc>
        <w:tc>
          <w:tcPr>
            <w:tcW w:w="790" w:type="dxa"/>
          </w:tcPr>
          <w:p w14:paraId="055ACEDC"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20,9</w:t>
            </w:r>
          </w:p>
        </w:tc>
        <w:tc>
          <w:tcPr>
            <w:tcW w:w="854" w:type="dxa"/>
          </w:tcPr>
          <w:p w14:paraId="07BE87EC"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6,7</w:t>
            </w:r>
          </w:p>
        </w:tc>
        <w:tc>
          <w:tcPr>
            <w:tcW w:w="902" w:type="dxa"/>
          </w:tcPr>
          <w:p w14:paraId="33710C7A"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14,4</w:t>
            </w:r>
          </w:p>
        </w:tc>
        <w:tc>
          <w:tcPr>
            <w:tcW w:w="855" w:type="dxa"/>
          </w:tcPr>
          <w:p w14:paraId="12F8707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21,3</w:t>
            </w:r>
          </w:p>
        </w:tc>
      </w:tr>
      <w:tr w:rsidR="00A47BC7" w:rsidRPr="003954D9" w14:paraId="5C79ECAF" w14:textId="77777777" w:rsidTr="008877C3">
        <w:trPr>
          <w:trHeight w:val="227"/>
        </w:trPr>
        <w:tc>
          <w:tcPr>
            <w:tcW w:w="934" w:type="dxa"/>
          </w:tcPr>
          <w:p w14:paraId="49552E13"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 rok</w:t>
            </w:r>
          </w:p>
        </w:tc>
        <w:tc>
          <w:tcPr>
            <w:tcW w:w="885" w:type="dxa"/>
          </w:tcPr>
          <w:p w14:paraId="63D5654B"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19,4</w:t>
            </w:r>
          </w:p>
        </w:tc>
        <w:tc>
          <w:tcPr>
            <w:tcW w:w="886" w:type="dxa"/>
          </w:tcPr>
          <w:p w14:paraId="0C9BD8A6"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9,8</w:t>
            </w:r>
          </w:p>
        </w:tc>
        <w:tc>
          <w:tcPr>
            <w:tcW w:w="871" w:type="dxa"/>
          </w:tcPr>
          <w:p w14:paraId="51D30915"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8,6</w:t>
            </w:r>
          </w:p>
        </w:tc>
        <w:tc>
          <w:tcPr>
            <w:tcW w:w="773" w:type="dxa"/>
          </w:tcPr>
          <w:p w14:paraId="28104DFC" w14:textId="77777777" w:rsidR="00A47BC7" w:rsidRPr="00526BF8" w:rsidRDefault="00A47BC7" w:rsidP="008877C3">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24,2</w:t>
            </w:r>
          </w:p>
        </w:tc>
        <w:tc>
          <w:tcPr>
            <w:tcW w:w="821" w:type="dxa"/>
          </w:tcPr>
          <w:p w14:paraId="148C90D8"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11,7</w:t>
            </w:r>
          </w:p>
        </w:tc>
        <w:tc>
          <w:tcPr>
            <w:tcW w:w="854" w:type="dxa"/>
          </w:tcPr>
          <w:p w14:paraId="6F9D6F34"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c>
          <w:tcPr>
            <w:tcW w:w="790" w:type="dxa"/>
          </w:tcPr>
          <w:p w14:paraId="05C01BB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11,1</w:t>
            </w:r>
          </w:p>
        </w:tc>
        <w:tc>
          <w:tcPr>
            <w:tcW w:w="854" w:type="dxa"/>
          </w:tcPr>
          <w:p w14:paraId="35F3549B"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8,9</w:t>
            </w:r>
          </w:p>
        </w:tc>
        <w:tc>
          <w:tcPr>
            <w:tcW w:w="902" w:type="dxa"/>
          </w:tcPr>
          <w:p w14:paraId="53018916"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5" w:type="dxa"/>
          </w:tcPr>
          <w:p w14:paraId="7CF4F578"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17,2</w:t>
            </w:r>
          </w:p>
        </w:tc>
      </w:tr>
      <w:tr w:rsidR="00A47BC7" w:rsidRPr="003954D9" w14:paraId="6C0260C2" w14:textId="77777777" w:rsidTr="008877C3">
        <w:trPr>
          <w:trHeight w:val="227"/>
        </w:trPr>
        <w:tc>
          <w:tcPr>
            <w:tcW w:w="934" w:type="dxa"/>
          </w:tcPr>
          <w:p w14:paraId="4C79EB96"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5 - rok</w:t>
            </w:r>
          </w:p>
        </w:tc>
        <w:tc>
          <w:tcPr>
            <w:tcW w:w="885" w:type="dxa"/>
          </w:tcPr>
          <w:p w14:paraId="7C4FB68D"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26,8</w:t>
            </w:r>
          </w:p>
        </w:tc>
        <w:tc>
          <w:tcPr>
            <w:tcW w:w="886" w:type="dxa"/>
          </w:tcPr>
          <w:p w14:paraId="191B2FFE"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14,8</w:t>
            </w:r>
          </w:p>
        </w:tc>
        <w:tc>
          <w:tcPr>
            <w:tcW w:w="871" w:type="dxa"/>
          </w:tcPr>
          <w:p w14:paraId="430CE4FC"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c>
          <w:tcPr>
            <w:tcW w:w="773" w:type="dxa"/>
          </w:tcPr>
          <w:p w14:paraId="60B97CD9"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21" w:type="dxa"/>
          </w:tcPr>
          <w:p w14:paraId="46F780DA"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13,4</w:t>
            </w:r>
          </w:p>
        </w:tc>
        <w:tc>
          <w:tcPr>
            <w:tcW w:w="854" w:type="dxa"/>
          </w:tcPr>
          <w:p w14:paraId="2016F3E1"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90" w:type="dxa"/>
          </w:tcPr>
          <w:p w14:paraId="2B96B98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8,5</w:t>
            </w:r>
          </w:p>
        </w:tc>
        <w:tc>
          <w:tcPr>
            <w:tcW w:w="854" w:type="dxa"/>
          </w:tcPr>
          <w:p w14:paraId="50596CFA"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6,1</w:t>
            </w:r>
          </w:p>
        </w:tc>
        <w:tc>
          <w:tcPr>
            <w:tcW w:w="902" w:type="dxa"/>
          </w:tcPr>
          <w:p w14:paraId="11B69E58"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5" w:type="dxa"/>
          </w:tcPr>
          <w:p w14:paraId="25E5628C" w14:textId="77777777" w:rsidR="00A47BC7" w:rsidRPr="00526BF8" w:rsidRDefault="00A47BC7" w:rsidP="008877C3">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54,5</w:t>
            </w:r>
          </w:p>
        </w:tc>
      </w:tr>
      <w:tr w:rsidR="00A47BC7" w:rsidRPr="003954D9" w14:paraId="17014080" w14:textId="77777777" w:rsidTr="008877C3">
        <w:trPr>
          <w:trHeight w:val="227"/>
        </w:trPr>
        <w:tc>
          <w:tcPr>
            <w:tcW w:w="934" w:type="dxa"/>
          </w:tcPr>
          <w:p w14:paraId="3246F2C1"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Samtliga</w:t>
            </w:r>
          </w:p>
        </w:tc>
        <w:tc>
          <w:tcPr>
            <w:tcW w:w="885" w:type="dxa"/>
          </w:tcPr>
          <w:p w14:paraId="66DBAEC0" w14:textId="77777777" w:rsidR="00A47BC7" w:rsidRPr="00526BF8" w:rsidRDefault="00A47BC7" w:rsidP="008877C3">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21,5</w:t>
            </w:r>
          </w:p>
        </w:tc>
        <w:tc>
          <w:tcPr>
            <w:tcW w:w="886" w:type="dxa"/>
          </w:tcPr>
          <w:p w14:paraId="14CBF762"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15,3</w:t>
            </w:r>
          </w:p>
        </w:tc>
        <w:tc>
          <w:tcPr>
            <w:tcW w:w="871" w:type="dxa"/>
          </w:tcPr>
          <w:p w14:paraId="6FDE393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12,6</w:t>
            </w:r>
          </w:p>
        </w:tc>
        <w:tc>
          <w:tcPr>
            <w:tcW w:w="773" w:type="dxa"/>
          </w:tcPr>
          <w:p w14:paraId="3B45481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15,2</w:t>
            </w:r>
          </w:p>
        </w:tc>
        <w:tc>
          <w:tcPr>
            <w:tcW w:w="821" w:type="dxa"/>
          </w:tcPr>
          <w:p w14:paraId="6BECAAFF"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12,3</w:t>
            </w:r>
          </w:p>
        </w:tc>
        <w:tc>
          <w:tcPr>
            <w:tcW w:w="854" w:type="dxa"/>
          </w:tcPr>
          <w:p w14:paraId="7168DB64"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15,8</w:t>
            </w:r>
          </w:p>
        </w:tc>
        <w:tc>
          <w:tcPr>
            <w:tcW w:w="790" w:type="dxa"/>
          </w:tcPr>
          <w:p w14:paraId="5EB574C0"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17,7</w:t>
            </w:r>
          </w:p>
        </w:tc>
        <w:tc>
          <w:tcPr>
            <w:tcW w:w="854" w:type="dxa"/>
          </w:tcPr>
          <w:p w14:paraId="724CD977"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10,8</w:t>
            </w:r>
          </w:p>
        </w:tc>
        <w:tc>
          <w:tcPr>
            <w:tcW w:w="902" w:type="dxa"/>
          </w:tcPr>
          <w:p w14:paraId="093FA3C5" w14:textId="77777777" w:rsidR="00A47BC7" w:rsidRPr="003954D9" w:rsidRDefault="00A47BC7" w:rsidP="008877C3">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9,1</w:t>
            </w:r>
          </w:p>
        </w:tc>
        <w:tc>
          <w:tcPr>
            <w:tcW w:w="855" w:type="dxa"/>
          </w:tcPr>
          <w:p w14:paraId="697A61A7"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20,9</w:t>
            </w:r>
          </w:p>
        </w:tc>
      </w:tr>
      <w:tr w:rsidR="00A47BC7" w:rsidRPr="003954D9" w14:paraId="78BECDE7" w14:textId="77777777" w:rsidTr="008877C3">
        <w:trPr>
          <w:trHeight w:val="227"/>
        </w:trPr>
        <w:tc>
          <w:tcPr>
            <w:tcW w:w="934" w:type="dxa"/>
          </w:tcPr>
          <w:p w14:paraId="26143981" w14:textId="77777777" w:rsidR="00A47BC7" w:rsidRPr="003954D9" w:rsidRDefault="00A47BC7" w:rsidP="008877C3">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Antal</w:t>
            </w:r>
          </w:p>
        </w:tc>
        <w:tc>
          <w:tcPr>
            <w:tcW w:w="885" w:type="dxa"/>
          </w:tcPr>
          <w:p w14:paraId="70EEDCE2" w14:textId="77777777" w:rsidR="00A47BC7" w:rsidRPr="00526BF8" w:rsidRDefault="00A47BC7" w:rsidP="008877C3">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962</w:t>
            </w:r>
          </w:p>
        </w:tc>
        <w:tc>
          <w:tcPr>
            <w:tcW w:w="886" w:type="dxa"/>
          </w:tcPr>
          <w:p w14:paraId="169CADD5"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366</w:t>
            </w:r>
          </w:p>
        </w:tc>
        <w:tc>
          <w:tcPr>
            <w:tcW w:w="871" w:type="dxa"/>
          </w:tcPr>
          <w:p w14:paraId="13C5953B"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259</w:t>
            </w:r>
          </w:p>
        </w:tc>
        <w:tc>
          <w:tcPr>
            <w:tcW w:w="773" w:type="dxa"/>
          </w:tcPr>
          <w:p w14:paraId="1DFAAB89"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138</w:t>
            </w:r>
          </w:p>
        </w:tc>
        <w:tc>
          <w:tcPr>
            <w:tcW w:w="821" w:type="dxa"/>
          </w:tcPr>
          <w:p w14:paraId="34937BF7"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325</w:t>
            </w:r>
          </w:p>
        </w:tc>
        <w:tc>
          <w:tcPr>
            <w:tcW w:w="854" w:type="dxa"/>
          </w:tcPr>
          <w:p w14:paraId="19077A5D"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219</w:t>
            </w:r>
          </w:p>
        </w:tc>
        <w:tc>
          <w:tcPr>
            <w:tcW w:w="790" w:type="dxa"/>
          </w:tcPr>
          <w:p w14:paraId="4EEE0E23"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494</w:t>
            </w:r>
          </w:p>
        </w:tc>
        <w:tc>
          <w:tcPr>
            <w:tcW w:w="854" w:type="dxa"/>
          </w:tcPr>
          <w:p w14:paraId="1DA13214" w14:textId="77777777" w:rsidR="00A47BC7" w:rsidRPr="00526BF8" w:rsidRDefault="00A47BC7" w:rsidP="008877C3">
            <w:pPr>
              <w:autoSpaceDE w:val="0"/>
              <w:autoSpaceDN w:val="0"/>
              <w:adjustRightInd w:val="0"/>
              <w:jc w:val="right"/>
              <w:rPr>
                <w:rFonts w:ascii="Calibri" w:eastAsiaTheme="minorHAnsi" w:hAnsi="Calibri" w:cs="Calibri"/>
                <w:bCs/>
                <w:color w:val="0066CC"/>
                <w:sz w:val="16"/>
                <w:szCs w:val="16"/>
                <w:lang w:eastAsia="en-US"/>
              </w:rPr>
            </w:pPr>
            <w:r w:rsidRPr="00526BF8">
              <w:rPr>
                <w:rFonts w:ascii="Calibri" w:eastAsiaTheme="minorHAnsi" w:hAnsi="Calibri" w:cs="Calibri"/>
                <w:bCs/>
                <w:sz w:val="16"/>
                <w:szCs w:val="16"/>
                <w:lang w:eastAsia="en-US"/>
              </w:rPr>
              <w:t>279</w:t>
            </w:r>
          </w:p>
        </w:tc>
        <w:tc>
          <w:tcPr>
            <w:tcW w:w="902" w:type="dxa"/>
          </w:tcPr>
          <w:p w14:paraId="4C0AE92E" w14:textId="77777777" w:rsidR="00A47BC7" w:rsidRPr="00526BF8" w:rsidRDefault="00A47BC7" w:rsidP="008877C3">
            <w:pPr>
              <w:autoSpaceDE w:val="0"/>
              <w:autoSpaceDN w:val="0"/>
              <w:adjustRightInd w:val="0"/>
              <w:jc w:val="right"/>
              <w:rPr>
                <w:rFonts w:ascii="Calibri" w:eastAsiaTheme="minorHAnsi" w:hAnsi="Calibri" w:cs="Calibri"/>
                <w:b/>
                <w:color w:val="000000"/>
                <w:sz w:val="16"/>
                <w:szCs w:val="16"/>
                <w:lang w:eastAsia="en-US"/>
              </w:rPr>
            </w:pPr>
            <w:r w:rsidRPr="00526BF8">
              <w:rPr>
                <w:rFonts w:ascii="Calibri" w:eastAsiaTheme="minorHAnsi" w:hAnsi="Calibri" w:cs="Calibri"/>
                <w:b/>
                <w:color w:val="0070C0"/>
                <w:sz w:val="16"/>
                <w:szCs w:val="16"/>
                <w:lang w:eastAsia="en-US"/>
              </w:rPr>
              <w:t>29</w:t>
            </w:r>
          </w:p>
        </w:tc>
        <w:tc>
          <w:tcPr>
            <w:tcW w:w="855" w:type="dxa"/>
          </w:tcPr>
          <w:p w14:paraId="59A0613A" w14:textId="77777777" w:rsidR="00A47BC7" w:rsidRPr="003954D9" w:rsidRDefault="00A47BC7" w:rsidP="008877C3">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727</w:t>
            </w:r>
          </w:p>
        </w:tc>
      </w:tr>
    </w:tbl>
    <w:p w14:paraId="075C41CD" w14:textId="77777777" w:rsidR="006E3B2D" w:rsidRPr="003954D9" w:rsidRDefault="00BF22AF" w:rsidP="006E3B2D">
      <w:pPr>
        <w:autoSpaceDE w:val="0"/>
        <w:autoSpaceDN w:val="0"/>
        <w:adjustRightInd w:val="0"/>
        <w:ind w:left="70"/>
        <w:rPr>
          <w:rFonts w:ascii="Calibri" w:eastAsiaTheme="minorHAnsi" w:hAnsi="Calibri" w:cs="Calibri"/>
          <w:bCs/>
          <w:color w:val="000000"/>
          <w:sz w:val="16"/>
          <w:szCs w:val="16"/>
          <w:lang w:eastAsia="en-US"/>
        </w:rPr>
      </w:pPr>
      <w:r w:rsidRPr="003954D9">
        <w:rPr>
          <w:b/>
          <w:sz w:val="20"/>
          <w:szCs w:val="20"/>
        </w:rPr>
        <w:t xml:space="preserve"> </w:t>
      </w:r>
      <w:r w:rsidR="006E3B2D" w:rsidRPr="00526BF8">
        <w:rPr>
          <w:b/>
          <w:color w:val="FF6600"/>
          <w:sz w:val="16"/>
          <w:szCs w:val="16"/>
        </w:rPr>
        <w:t>Röd färg högsta</w:t>
      </w:r>
      <w:r w:rsidR="006E3B2D" w:rsidRPr="003954D9">
        <w:rPr>
          <w:color w:val="FF6600"/>
          <w:sz w:val="16"/>
          <w:szCs w:val="16"/>
        </w:rPr>
        <w:t xml:space="preserve"> </w:t>
      </w:r>
      <w:r w:rsidR="006E3B2D" w:rsidRPr="003954D9">
        <w:rPr>
          <w:sz w:val="16"/>
          <w:szCs w:val="16"/>
        </w:rPr>
        <w:t xml:space="preserve">och </w:t>
      </w:r>
      <w:r w:rsidR="006E3B2D" w:rsidRPr="00526BF8">
        <w:rPr>
          <w:b/>
          <w:color w:val="0070C0"/>
          <w:sz w:val="16"/>
          <w:szCs w:val="16"/>
        </w:rPr>
        <w:t>blå färg lägsta</w:t>
      </w:r>
      <w:r w:rsidR="006E3B2D" w:rsidRPr="003954D9">
        <w:rPr>
          <w:sz w:val="16"/>
          <w:szCs w:val="16"/>
        </w:rPr>
        <w:t xml:space="preserve"> värde i gruppen</w:t>
      </w:r>
    </w:p>
    <w:p w14:paraId="5087D9DC" w14:textId="0491971E" w:rsidR="00A47BC7" w:rsidRPr="003954D9" w:rsidRDefault="00A47BC7" w:rsidP="00A47BC7">
      <w:pPr>
        <w:rPr>
          <w:b/>
          <w:sz w:val="20"/>
          <w:szCs w:val="20"/>
        </w:rPr>
      </w:pPr>
    </w:p>
    <w:p w14:paraId="242129EF" w14:textId="40ACB78B" w:rsidR="00126D81" w:rsidRPr="003954D9" w:rsidRDefault="00337BA8" w:rsidP="00126D81">
      <w:pPr>
        <w:pStyle w:val="Rubrik4"/>
      </w:pPr>
      <w:r w:rsidRPr="003954D9">
        <w:t xml:space="preserve">Läget idag </w:t>
      </w:r>
      <w:r w:rsidR="00103C5B" w:rsidRPr="003954D9">
        <w:t>i stadsdelarna</w:t>
      </w:r>
    </w:p>
    <w:p w14:paraId="017CCC3E" w14:textId="6C448D4C" w:rsidR="00DA3E46" w:rsidRPr="003954D9" w:rsidRDefault="00B336DA" w:rsidP="00DA3E46">
      <w:r w:rsidRPr="003954D9">
        <w:t>Mönstret är detsamma som vid hyreshöjningarna</w:t>
      </w:r>
      <w:r w:rsidR="00F4273C" w:rsidRPr="003954D9">
        <w:t xml:space="preserve"> på olika nivåer</w:t>
      </w:r>
      <w:r w:rsidRPr="003954D9">
        <w:t xml:space="preserve">. </w:t>
      </w:r>
      <w:r w:rsidR="00DA3E46" w:rsidRPr="003954D9">
        <w:t xml:space="preserve">Sammantaget är det boende i Angered </w:t>
      </w:r>
      <w:r w:rsidRPr="003954D9">
        <w:t xml:space="preserve">och </w:t>
      </w:r>
      <w:r w:rsidR="00DA3E46" w:rsidRPr="003954D9">
        <w:t>Östra Göteborg</w:t>
      </w:r>
      <w:r w:rsidRPr="003954D9">
        <w:t xml:space="preserve"> som </w:t>
      </w:r>
      <w:r w:rsidR="00ED6B6D" w:rsidRPr="003954D9">
        <w:t>har det tuffaste utgångsläget</w:t>
      </w:r>
      <w:r w:rsidR="00DA3E46" w:rsidRPr="003954D9">
        <w:t xml:space="preserve">. I de vanligaste storlekarna (2 rok och 3 rok) är det boende i Angered som </w:t>
      </w:r>
      <w:r w:rsidR="00ED6B6D" w:rsidRPr="003954D9">
        <w:t>ligger sämst till</w:t>
      </w:r>
      <w:r w:rsidR="00DA3E46" w:rsidRPr="003954D9">
        <w:t xml:space="preserve">. Östra Göteborg ligger i topp för 1 rokv och 5 rok, men de senare är få. Boende i 1 rok i Västra Hisingen hör också till den grupp som </w:t>
      </w:r>
      <w:r w:rsidR="00ED6B6D" w:rsidRPr="003954D9">
        <w:t xml:space="preserve">redan idag har en stor andel hushåll i riskzonen </w:t>
      </w:r>
      <w:r w:rsidR="00DA3E46" w:rsidRPr="003954D9">
        <w:t xml:space="preserve">och i lägenhetsstorleken 4 rok </w:t>
      </w:r>
      <w:r w:rsidR="00ED6B6D" w:rsidRPr="003954D9">
        <w:t xml:space="preserve">gäller det för </w:t>
      </w:r>
      <w:r w:rsidR="00DA3E46" w:rsidRPr="003954D9">
        <w:t>Lundby. Minst effekt har höjningen i Örgryte-Härlanda</w:t>
      </w:r>
      <w:r w:rsidRPr="003954D9">
        <w:t>, Centrum</w:t>
      </w:r>
      <w:r w:rsidR="00DA3E46" w:rsidRPr="003954D9">
        <w:t xml:space="preserve"> och Västra Göteborg. </w:t>
      </w:r>
      <w:r w:rsidR="00526BF8">
        <w:t>Se tabell 6:8.</w:t>
      </w:r>
    </w:p>
    <w:p w14:paraId="6D57242A" w14:textId="77777777" w:rsidR="00523800" w:rsidRDefault="00523800" w:rsidP="00ED6B6D">
      <w:pPr>
        <w:pStyle w:val="Rubrik5"/>
      </w:pPr>
      <w:r>
        <w:br w:type="page"/>
      </w:r>
    </w:p>
    <w:p w14:paraId="00375F7D" w14:textId="2F911ECB" w:rsidR="00ED6B6D" w:rsidRPr="003954D9" w:rsidRDefault="00ED6B6D" w:rsidP="00ED6B6D">
      <w:pPr>
        <w:pStyle w:val="Rubrik5"/>
      </w:pPr>
      <w:r w:rsidRPr="003954D9">
        <w:lastRenderedPageBreak/>
        <w:t>Tabell</w:t>
      </w:r>
      <w:r w:rsidR="001C58D8" w:rsidRPr="003954D9">
        <w:t xml:space="preserve"> </w:t>
      </w:r>
      <w:r w:rsidR="006E3B2D" w:rsidRPr="003954D9">
        <w:t>6:</w:t>
      </w:r>
      <w:r w:rsidR="00553684" w:rsidRPr="003954D9">
        <w:t>8</w:t>
      </w:r>
      <w:r w:rsidRPr="003954D9">
        <w:t>: An</w:t>
      </w:r>
      <w:r w:rsidR="001C58D8" w:rsidRPr="003954D9">
        <w:t>del</w:t>
      </w:r>
      <w:r w:rsidRPr="003954D9">
        <w:t xml:space="preserve"> och </w:t>
      </w:r>
      <w:r w:rsidR="001C58D8" w:rsidRPr="003954D9">
        <w:t>antal</w:t>
      </w:r>
      <w:r w:rsidRPr="003954D9">
        <w:t xml:space="preserve"> av hushållen </w:t>
      </w:r>
      <w:r w:rsidR="001C58D8" w:rsidRPr="003954D9">
        <w:t>i riskzonen</w:t>
      </w:r>
      <w:r w:rsidRPr="003954D9">
        <w:t xml:space="preserve"> idag efter lägenhetstyp och stadsdel</w:t>
      </w:r>
    </w:p>
    <w:tbl>
      <w:tblPr>
        <w:tblW w:w="94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779"/>
        <w:gridCol w:w="863"/>
        <w:gridCol w:w="850"/>
        <w:gridCol w:w="703"/>
        <w:gridCol w:w="857"/>
        <w:gridCol w:w="850"/>
        <w:gridCol w:w="888"/>
        <w:gridCol w:w="888"/>
        <w:gridCol w:w="917"/>
        <w:gridCol w:w="931"/>
      </w:tblGrid>
      <w:tr w:rsidR="00ED6B6D" w:rsidRPr="003954D9" w14:paraId="67B65DFF" w14:textId="77777777" w:rsidTr="00ED6B6D">
        <w:trPr>
          <w:trHeight w:val="227"/>
        </w:trPr>
        <w:tc>
          <w:tcPr>
            <w:tcW w:w="940" w:type="dxa"/>
          </w:tcPr>
          <w:p w14:paraId="6756FB06" w14:textId="77777777" w:rsidR="00ED6B6D" w:rsidRPr="003954D9" w:rsidRDefault="00ED6B6D" w:rsidP="00ED6B6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Lägenhets-</w:t>
            </w:r>
          </w:p>
          <w:p w14:paraId="0EE9135D" w14:textId="77777777" w:rsidR="00ED6B6D" w:rsidRPr="003954D9" w:rsidRDefault="00ED6B6D" w:rsidP="00ED6B6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typ</w:t>
            </w:r>
          </w:p>
        </w:tc>
        <w:tc>
          <w:tcPr>
            <w:tcW w:w="779" w:type="dxa"/>
          </w:tcPr>
          <w:p w14:paraId="1E989427" w14:textId="77777777" w:rsidR="00ED6B6D" w:rsidRPr="003954D9" w:rsidRDefault="00ED6B6D" w:rsidP="00ED6B6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63" w:type="dxa"/>
          </w:tcPr>
          <w:p w14:paraId="5E786CF0" w14:textId="5615D625" w:rsidR="00ED6B6D" w:rsidRPr="003954D9" w:rsidRDefault="00810B82" w:rsidP="00810B82">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w:t>
            </w:r>
            <w:r w:rsidR="00ED6B6D" w:rsidRPr="003954D9">
              <w:rPr>
                <w:rFonts w:ascii="Calibri" w:eastAsiaTheme="minorHAnsi" w:hAnsi="Calibri" w:cs="Calibri"/>
                <w:b/>
                <w:bCs/>
                <w:color w:val="000000"/>
                <w:sz w:val="16"/>
                <w:szCs w:val="16"/>
                <w:lang w:eastAsia="en-US"/>
              </w:rPr>
              <w:t xml:space="preserve"> Fr</w:t>
            </w:r>
            <w:r w:rsidRPr="003954D9">
              <w:rPr>
                <w:rFonts w:ascii="Calibri" w:eastAsiaTheme="minorHAnsi" w:hAnsi="Calibri" w:cs="Calibri"/>
                <w:b/>
                <w:bCs/>
                <w:color w:val="000000"/>
                <w:sz w:val="16"/>
                <w:szCs w:val="16"/>
                <w:lang w:eastAsia="en-US"/>
              </w:rPr>
              <w:t>ölunda-</w:t>
            </w:r>
            <w:r w:rsidR="00ED6B6D" w:rsidRPr="003954D9">
              <w:rPr>
                <w:rFonts w:ascii="Calibri" w:eastAsiaTheme="minorHAnsi" w:hAnsi="Calibri" w:cs="Calibri"/>
                <w:b/>
                <w:bCs/>
                <w:color w:val="000000"/>
                <w:sz w:val="16"/>
                <w:szCs w:val="16"/>
                <w:lang w:eastAsia="en-US"/>
              </w:rPr>
              <w:t>Högsbo</w:t>
            </w:r>
          </w:p>
        </w:tc>
        <w:tc>
          <w:tcPr>
            <w:tcW w:w="850" w:type="dxa"/>
          </w:tcPr>
          <w:p w14:paraId="4CF82C0C" w14:textId="77777777" w:rsidR="00ED6B6D" w:rsidRPr="003954D9" w:rsidRDefault="00ED6B6D" w:rsidP="00ED6B6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03" w:type="dxa"/>
          </w:tcPr>
          <w:p w14:paraId="67BEA1AC" w14:textId="77777777" w:rsidR="00ED6B6D" w:rsidRPr="003954D9" w:rsidRDefault="00ED6B6D" w:rsidP="00ED6B6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57" w:type="dxa"/>
          </w:tcPr>
          <w:p w14:paraId="174D311B" w14:textId="4653D212" w:rsidR="00ED6B6D" w:rsidRPr="003954D9" w:rsidRDefault="00ED6B6D" w:rsidP="00810B82">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w:t>
            </w:r>
            <w:r w:rsidR="00810B82" w:rsidRPr="003954D9">
              <w:rPr>
                <w:rFonts w:ascii="Calibri" w:eastAsiaTheme="minorHAnsi" w:hAnsi="Calibri" w:cs="Calibri"/>
                <w:b/>
                <w:bCs/>
                <w:color w:val="000000"/>
                <w:sz w:val="16"/>
                <w:szCs w:val="16"/>
                <w:lang w:eastAsia="en-US"/>
              </w:rPr>
              <w:t>-</w:t>
            </w:r>
            <w:r w:rsidRPr="003954D9">
              <w:rPr>
                <w:rFonts w:ascii="Calibri" w:eastAsiaTheme="minorHAnsi" w:hAnsi="Calibri" w:cs="Calibri"/>
                <w:b/>
                <w:bCs/>
                <w:color w:val="000000"/>
                <w:sz w:val="16"/>
                <w:szCs w:val="16"/>
                <w:lang w:eastAsia="en-US"/>
              </w:rPr>
              <w:t xml:space="preserve"> Linn</w:t>
            </w:r>
            <w:r w:rsidR="00810B82" w:rsidRPr="003954D9">
              <w:rPr>
                <w:rFonts w:ascii="Calibri" w:eastAsiaTheme="minorHAnsi" w:hAnsi="Calibri" w:cs="Calibri"/>
                <w:b/>
                <w:bCs/>
                <w:color w:val="000000"/>
                <w:sz w:val="16"/>
                <w:szCs w:val="16"/>
                <w:lang w:eastAsia="en-US"/>
              </w:rPr>
              <w:t>é</w:t>
            </w:r>
          </w:p>
        </w:tc>
        <w:tc>
          <w:tcPr>
            <w:tcW w:w="850" w:type="dxa"/>
          </w:tcPr>
          <w:p w14:paraId="0761A8B0" w14:textId="77777777" w:rsidR="00ED6B6D" w:rsidRPr="003954D9" w:rsidRDefault="00ED6B6D" w:rsidP="00ED6B6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888" w:type="dxa"/>
          </w:tcPr>
          <w:p w14:paraId="48910D2D" w14:textId="77777777" w:rsidR="00ED6B6D" w:rsidRPr="003954D9" w:rsidRDefault="00ED6B6D" w:rsidP="00ED6B6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888" w:type="dxa"/>
          </w:tcPr>
          <w:p w14:paraId="7FB35BBF" w14:textId="18AEDB67" w:rsidR="00ED6B6D" w:rsidRPr="003954D9" w:rsidRDefault="00ED6B6D" w:rsidP="00ED6B6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 Härland</w:t>
            </w:r>
            <w:r w:rsidR="00810B82" w:rsidRPr="003954D9">
              <w:rPr>
                <w:rFonts w:ascii="Calibri" w:eastAsiaTheme="minorHAnsi" w:hAnsi="Calibri" w:cs="Calibri"/>
                <w:b/>
                <w:bCs/>
                <w:color w:val="000000"/>
                <w:sz w:val="16"/>
                <w:szCs w:val="16"/>
                <w:lang w:eastAsia="en-US"/>
              </w:rPr>
              <w:t>a</w:t>
            </w:r>
          </w:p>
        </w:tc>
        <w:tc>
          <w:tcPr>
            <w:tcW w:w="917" w:type="dxa"/>
          </w:tcPr>
          <w:p w14:paraId="1ED3BDE0" w14:textId="77777777" w:rsidR="00ED6B6D" w:rsidRPr="003954D9" w:rsidRDefault="00ED6B6D" w:rsidP="00ED6B6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931" w:type="dxa"/>
          </w:tcPr>
          <w:p w14:paraId="3C280E38" w14:textId="77777777" w:rsidR="00ED6B6D" w:rsidRPr="003954D9" w:rsidRDefault="00ED6B6D" w:rsidP="00ED6B6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ED6B6D" w:rsidRPr="003954D9" w14:paraId="286C426C" w14:textId="77777777" w:rsidTr="00ED6B6D">
        <w:trPr>
          <w:trHeight w:val="227"/>
        </w:trPr>
        <w:tc>
          <w:tcPr>
            <w:tcW w:w="940" w:type="dxa"/>
          </w:tcPr>
          <w:p w14:paraId="5A40EFCE" w14:textId="77777777" w:rsidR="00ED6B6D" w:rsidRPr="003954D9" w:rsidRDefault="00ED6B6D" w:rsidP="00ED6B6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1 rokv</w:t>
            </w:r>
          </w:p>
        </w:tc>
        <w:tc>
          <w:tcPr>
            <w:tcW w:w="779" w:type="dxa"/>
          </w:tcPr>
          <w:p w14:paraId="083C8875"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17,8</w:t>
            </w:r>
          </w:p>
        </w:tc>
        <w:tc>
          <w:tcPr>
            <w:tcW w:w="863" w:type="dxa"/>
          </w:tcPr>
          <w:p w14:paraId="154BA315"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25,2</w:t>
            </w:r>
          </w:p>
        </w:tc>
        <w:tc>
          <w:tcPr>
            <w:tcW w:w="850" w:type="dxa"/>
          </w:tcPr>
          <w:p w14:paraId="11BC2769"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21,1</w:t>
            </w:r>
          </w:p>
        </w:tc>
        <w:tc>
          <w:tcPr>
            <w:tcW w:w="703" w:type="dxa"/>
          </w:tcPr>
          <w:p w14:paraId="7A40A542" w14:textId="77777777" w:rsidR="00ED6B6D" w:rsidRPr="003954D9" w:rsidRDefault="00ED6B6D" w:rsidP="00ED6B6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14,5</w:t>
            </w:r>
          </w:p>
        </w:tc>
        <w:tc>
          <w:tcPr>
            <w:tcW w:w="857" w:type="dxa"/>
          </w:tcPr>
          <w:p w14:paraId="1D10C512"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15,6</w:t>
            </w:r>
          </w:p>
        </w:tc>
        <w:tc>
          <w:tcPr>
            <w:tcW w:w="850" w:type="dxa"/>
          </w:tcPr>
          <w:p w14:paraId="27651331"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20,4</w:t>
            </w:r>
          </w:p>
        </w:tc>
        <w:tc>
          <w:tcPr>
            <w:tcW w:w="888" w:type="dxa"/>
          </w:tcPr>
          <w:p w14:paraId="6B9DF57F"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15,7</w:t>
            </w:r>
          </w:p>
        </w:tc>
        <w:tc>
          <w:tcPr>
            <w:tcW w:w="888" w:type="dxa"/>
          </w:tcPr>
          <w:p w14:paraId="25DFF9E8"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23,7</w:t>
            </w:r>
          </w:p>
        </w:tc>
        <w:tc>
          <w:tcPr>
            <w:tcW w:w="917" w:type="dxa"/>
          </w:tcPr>
          <w:p w14:paraId="1C82FAFF" w14:textId="77777777" w:rsidR="00ED6B6D" w:rsidRPr="003954D9" w:rsidRDefault="00ED6B6D" w:rsidP="00ED6B6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31" w:type="dxa"/>
          </w:tcPr>
          <w:p w14:paraId="67E3C793" w14:textId="77777777" w:rsidR="00ED6B6D" w:rsidRPr="00526BF8" w:rsidRDefault="00ED6B6D" w:rsidP="00ED6B6D">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28,5</w:t>
            </w:r>
          </w:p>
        </w:tc>
      </w:tr>
      <w:tr w:rsidR="00ED6B6D" w:rsidRPr="003954D9" w14:paraId="2E5B6050" w14:textId="77777777" w:rsidTr="00ED6B6D">
        <w:trPr>
          <w:trHeight w:val="227"/>
        </w:trPr>
        <w:tc>
          <w:tcPr>
            <w:tcW w:w="940" w:type="dxa"/>
          </w:tcPr>
          <w:p w14:paraId="5C3CF1EA" w14:textId="77777777" w:rsidR="00ED6B6D" w:rsidRPr="003954D9" w:rsidRDefault="00ED6B6D" w:rsidP="00ED6B6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1 rok</w:t>
            </w:r>
          </w:p>
        </w:tc>
        <w:tc>
          <w:tcPr>
            <w:tcW w:w="779" w:type="dxa"/>
          </w:tcPr>
          <w:p w14:paraId="29197F31"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c>
          <w:tcPr>
            <w:tcW w:w="863" w:type="dxa"/>
          </w:tcPr>
          <w:p w14:paraId="523144D4"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17,6</w:t>
            </w:r>
          </w:p>
        </w:tc>
        <w:tc>
          <w:tcPr>
            <w:tcW w:w="850" w:type="dxa"/>
          </w:tcPr>
          <w:p w14:paraId="472A648A"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13,0</w:t>
            </w:r>
          </w:p>
        </w:tc>
        <w:tc>
          <w:tcPr>
            <w:tcW w:w="703" w:type="dxa"/>
          </w:tcPr>
          <w:p w14:paraId="405FCEB6" w14:textId="77777777" w:rsidR="00ED6B6D" w:rsidRPr="003954D9" w:rsidRDefault="00ED6B6D" w:rsidP="00ED6B6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7" w:type="dxa"/>
          </w:tcPr>
          <w:p w14:paraId="3689E805"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15,8</w:t>
            </w:r>
          </w:p>
        </w:tc>
        <w:tc>
          <w:tcPr>
            <w:tcW w:w="850" w:type="dxa"/>
          </w:tcPr>
          <w:p w14:paraId="6396E1BA"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15,5</w:t>
            </w:r>
          </w:p>
        </w:tc>
        <w:tc>
          <w:tcPr>
            <w:tcW w:w="888" w:type="dxa"/>
          </w:tcPr>
          <w:p w14:paraId="2E5E9B93" w14:textId="77777777" w:rsidR="00ED6B6D" w:rsidRPr="00526BF8" w:rsidRDefault="00ED6B6D" w:rsidP="00ED6B6D">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21,9</w:t>
            </w:r>
          </w:p>
        </w:tc>
        <w:tc>
          <w:tcPr>
            <w:tcW w:w="888" w:type="dxa"/>
          </w:tcPr>
          <w:p w14:paraId="7E832BAB"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10,5</w:t>
            </w:r>
          </w:p>
        </w:tc>
        <w:tc>
          <w:tcPr>
            <w:tcW w:w="917" w:type="dxa"/>
          </w:tcPr>
          <w:p w14:paraId="092F3416" w14:textId="77777777" w:rsidR="00ED6B6D" w:rsidRPr="003954D9" w:rsidRDefault="00ED6B6D" w:rsidP="00ED6B6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0,0</w:t>
            </w:r>
          </w:p>
        </w:tc>
        <w:tc>
          <w:tcPr>
            <w:tcW w:w="931" w:type="dxa"/>
          </w:tcPr>
          <w:p w14:paraId="72EDF84C"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19,9</w:t>
            </w:r>
          </w:p>
        </w:tc>
      </w:tr>
      <w:tr w:rsidR="00ED6B6D" w:rsidRPr="003954D9" w14:paraId="2662302E" w14:textId="77777777" w:rsidTr="00ED6B6D">
        <w:trPr>
          <w:trHeight w:val="227"/>
        </w:trPr>
        <w:tc>
          <w:tcPr>
            <w:tcW w:w="940" w:type="dxa"/>
          </w:tcPr>
          <w:p w14:paraId="028ABBB3" w14:textId="77777777" w:rsidR="00ED6B6D" w:rsidRPr="003954D9" w:rsidRDefault="00ED6B6D" w:rsidP="00ED6B6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2 rokv</w:t>
            </w:r>
          </w:p>
        </w:tc>
        <w:tc>
          <w:tcPr>
            <w:tcW w:w="779" w:type="dxa"/>
          </w:tcPr>
          <w:p w14:paraId="1F4F8551"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19,6</w:t>
            </w:r>
          </w:p>
        </w:tc>
        <w:tc>
          <w:tcPr>
            <w:tcW w:w="863" w:type="dxa"/>
          </w:tcPr>
          <w:p w14:paraId="48BA2C40" w14:textId="77777777" w:rsidR="00ED6B6D" w:rsidRPr="00526BF8" w:rsidRDefault="00ED6B6D" w:rsidP="00ED6B6D">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35,3</w:t>
            </w:r>
          </w:p>
        </w:tc>
        <w:tc>
          <w:tcPr>
            <w:tcW w:w="850" w:type="dxa"/>
          </w:tcPr>
          <w:p w14:paraId="29406A18" w14:textId="77777777" w:rsidR="00ED6B6D" w:rsidRPr="003954D9" w:rsidRDefault="00ED6B6D" w:rsidP="00ED6B6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6,3</w:t>
            </w:r>
          </w:p>
        </w:tc>
        <w:tc>
          <w:tcPr>
            <w:tcW w:w="703" w:type="dxa"/>
          </w:tcPr>
          <w:p w14:paraId="2732E234"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18,8</w:t>
            </w:r>
          </w:p>
        </w:tc>
        <w:tc>
          <w:tcPr>
            <w:tcW w:w="857" w:type="dxa"/>
          </w:tcPr>
          <w:p w14:paraId="661CA34E"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8,2</w:t>
            </w:r>
          </w:p>
        </w:tc>
        <w:tc>
          <w:tcPr>
            <w:tcW w:w="850" w:type="dxa"/>
          </w:tcPr>
          <w:p w14:paraId="73B1CCF0"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16,3</w:t>
            </w:r>
          </w:p>
        </w:tc>
        <w:tc>
          <w:tcPr>
            <w:tcW w:w="888" w:type="dxa"/>
          </w:tcPr>
          <w:p w14:paraId="070FF8B8" w14:textId="77777777" w:rsidR="00ED6B6D" w:rsidRPr="003954D9" w:rsidRDefault="00ED6B6D" w:rsidP="00ED6B6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88" w:type="dxa"/>
          </w:tcPr>
          <w:p w14:paraId="0AC5631E" w14:textId="77777777" w:rsidR="00ED6B6D" w:rsidRPr="003954D9" w:rsidRDefault="00ED6B6D" w:rsidP="00ED6B6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17" w:type="dxa"/>
          </w:tcPr>
          <w:p w14:paraId="5178392F" w14:textId="77777777" w:rsidR="00ED6B6D" w:rsidRPr="003954D9" w:rsidRDefault="00ED6B6D" w:rsidP="00ED6B6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31" w:type="dxa"/>
          </w:tcPr>
          <w:p w14:paraId="0C369E43"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24,3</w:t>
            </w:r>
          </w:p>
        </w:tc>
      </w:tr>
      <w:tr w:rsidR="00ED6B6D" w:rsidRPr="003954D9" w14:paraId="48FFD163" w14:textId="77777777" w:rsidTr="00ED6B6D">
        <w:trPr>
          <w:trHeight w:val="227"/>
        </w:trPr>
        <w:tc>
          <w:tcPr>
            <w:tcW w:w="940" w:type="dxa"/>
          </w:tcPr>
          <w:p w14:paraId="1FDF2543" w14:textId="77777777" w:rsidR="00ED6B6D" w:rsidRPr="003954D9" w:rsidRDefault="00ED6B6D" w:rsidP="00ED6B6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2 rok</w:t>
            </w:r>
          </w:p>
        </w:tc>
        <w:tc>
          <w:tcPr>
            <w:tcW w:w="779" w:type="dxa"/>
          </w:tcPr>
          <w:p w14:paraId="4EA538EE" w14:textId="77777777" w:rsidR="00ED6B6D" w:rsidRPr="00526BF8" w:rsidRDefault="00ED6B6D" w:rsidP="00ED6B6D">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18,7</w:t>
            </w:r>
          </w:p>
        </w:tc>
        <w:tc>
          <w:tcPr>
            <w:tcW w:w="863" w:type="dxa"/>
          </w:tcPr>
          <w:p w14:paraId="3385E824"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7,2</w:t>
            </w:r>
          </w:p>
        </w:tc>
        <w:tc>
          <w:tcPr>
            <w:tcW w:w="850" w:type="dxa"/>
          </w:tcPr>
          <w:p w14:paraId="33277336"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10,3</w:t>
            </w:r>
          </w:p>
        </w:tc>
        <w:tc>
          <w:tcPr>
            <w:tcW w:w="703" w:type="dxa"/>
          </w:tcPr>
          <w:p w14:paraId="0B7BB90F"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9,0</w:t>
            </w:r>
          </w:p>
        </w:tc>
        <w:tc>
          <w:tcPr>
            <w:tcW w:w="857" w:type="dxa"/>
          </w:tcPr>
          <w:p w14:paraId="24773125"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8,4</w:t>
            </w:r>
          </w:p>
        </w:tc>
        <w:tc>
          <w:tcPr>
            <w:tcW w:w="850" w:type="dxa"/>
          </w:tcPr>
          <w:p w14:paraId="0BA510DE"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c>
          <w:tcPr>
            <w:tcW w:w="888" w:type="dxa"/>
          </w:tcPr>
          <w:p w14:paraId="5684BF82"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15,3</w:t>
            </w:r>
          </w:p>
        </w:tc>
        <w:tc>
          <w:tcPr>
            <w:tcW w:w="888" w:type="dxa"/>
          </w:tcPr>
          <w:p w14:paraId="3DB3B42B"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9,9</w:t>
            </w:r>
          </w:p>
        </w:tc>
        <w:tc>
          <w:tcPr>
            <w:tcW w:w="917" w:type="dxa"/>
          </w:tcPr>
          <w:p w14:paraId="3213BC93" w14:textId="77777777" w:rsidR="00ED6B6D" w:rsidRPr="003954D9" w:rsidRDefault="00ED6B6D" w:rsidP="00ED6B6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6,2</w:t>
            </w:r>
          </w:p>
        </w:tc>
        <w:tc>
          <w:tcPr>
            <w:tcW w:w="931" w:type="dxa"/>
          </w:tcPr>
          <w:p w14:paraId="3A361CE8"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15,1</w:t>
            </w:r>
          </w:p>
        </w:tc>
      </w:tr>
      <w:tr w:rsidR="00ED6B6D" w:rsidRPr="003954D9" w14:paraId="7767564B" w14:textId="77777777" w:rsidTr="00ED6B6D">
        <w:trPr>
          <w:trHeight w:val="227"/>
        </w:trPr>
        <w:tc>
          <w:tcPr>
            <w:tcW w:w="940" w:type="dxa"/>
          </w:tcPr>
          <w:p w14:paraId="1910AC64" w14:textId="77777777" w:rsidR="00ED6B6D" w:rsidRPr="003954D9" w:rsidRDefault="00ED6B6D" w:rsidP="00ED6B6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3 rok</w:t>
            </w:r>
          </w:p>
        </w:tc>
        <w:tc>
          <w:tcPr>
            <w:tcW w:w="779" w:type="dxa"/>
          </w:tcPr>
          <w:p w14:paraId="2FB2419C" w14:textId="77777777" w:rsidR="00ED6B6D" w:rsidRPr="00526BF8" w:rsidRDefault="00ED6B6D" w:rsidP="00ED6B6D">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20,2</w:t>
            </w:r>
          </w:p>
        </w:tc>
        <w:tc>
          <w:tcPr>
            <w:tcW w:w="863" w:type="dxa"/>
          </w:tcPr>
          <w:p w14:paraId="648BC9DF"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15,2</w:t>
            </w:r>
          </w:p>
        </w:tc>
        <w:tc>
          <w:tcPr>
            <w:tcW w:w="850" w:type="dxa"/>
          </w:tcPr>
          <w:p w14:paraId="61CC65CC"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9,0</w:t>
            </w:r>
          </w:p>
        </w:tc>
        <w:tc>
          <w:tcPr>
            <w:tcW w:w="703" w:type="dxa"/>
          </w:tcPr>
          <w:p w14:paraId="796A31A0"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857" w:type="dxa"/>
          </w:tcPr>
          <w:p w14:paraId="79FEC441"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12,3</w:t>
            </w:r>
          </w:p>
        </w:tc>
        <w:tc>
          <w:tcPr>
            <w:tcW w:w="850" w:type="dxa"/>
          </w:tcPr>
          <w:p w14:paraId="3DBBD8A4"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12,6</w:t>
            </w:r>
          </w:p>
        </w:tc>
        <w:tc>
          <w:tcPr>
            <w:tcW w:w="888" w:type="dxa"/>
          </w:tcPr>
          <w:p w14:paraId="6A72DC20"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19,0</w:t>
            </w:r>
          </w:p>
        </w:tc>
        <w:tc>
          <w:tcPr>
            <w:tcW w:w="888" w:type="dxa"/>
          </w:tcPr>
          <w:p w14:paraId="53739B94" w14:textId="77777777" w:rsidR="00ED6B6D" w:rsidRPr="003954D9" w:rsidRDefault="00ED6B6D" w:rsidP="00ED6B6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6,1</w:t>
            </w:r>
          </w:p>
        </w:tc>
        <w:tc>
          <w:tcPr>
            <w:tcW w:w="917" w:type="dxa"/>
          </w:tcPr>
          <w:p w14:paraId="15246272"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13,5</w:t>
            </w:r>
          </w:p>
        </w:tc>
        <w:tc>
          <w:tcPr>
            <w:tcW w:w="931" w:type="dxa"/>
          </w:tcPr>
          <w:p w14:paraId="2FE1758C"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17,8</w:t>
            </w:r>
          </w:p>
        </w:tc>
      </w:tr>
      <w:tr w:rsidR="00ED6B6D" w:rsidRPr="003954D9" w14:paraId="33DAD836" w14:textId="77777777" w:rsidTr="00ED6B6D">
        <w:trPr>
          <w:trHeight w:val="227"/>
        </w:trPr>
        <w:tc>
          <w:tcPr>
            <w:tcW w:w="940" w:type="dxa"/>
          </w:tcPr>
          <w:p w14:paraId="526684AA" w14:textId="77777777" w:rsidR="00ED6B6D" w:rsidRPr="003954D9" w:rsidRDefault="00ED6B6D" w:rsidP="00ED6B6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4 rok</w:t>
            </w:r>
          </w:p>
        </w:tc>
        <w:tc>
          <w:tcPr>
            <w:tcW w:w="779" w:type="dxa"/>
          </w:tcPr>
          <w:p w14:paraId="41FC4CB1"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16,8</w:t>
            </w:r>
          </w:p>
        </w:tc>
        <w:tc>
          <w:tcPr>
            <w:tcW w:w="863" w:type="dxa"/>
          </w:tcPr>
          <w:p w14:paraId="07170177"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850" w:type="dxa"/>
          </w:tcPr>
          <w:p w14:paraId="189FD992" w14:textId="77777777" w:rsidR="00ED6B6D" w:rsidRPr="003954D9" w:rsidRDefault="00ED6B6D" w:rsidP="00ED6B6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7,6</w:t>
            </w:r>
          </w:p>
        </w:tc>
        <w:tc>
          <w:tcPr>
            <w:tcW w:w="703" w:type="dxa"/>
          </w:tcPr>
          <w:p w14:paraId="476A7760" w14:textId="77777777" w:rsidR="00ED6B6D" w:rsidRPr="00526BF8" w:rsidRDefault="00ED6B6D" w:rsidP="00ED6B6D">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20,3</w:t>
            </w:r>
          </w:p>
        </w:tc>
        <w:tc>
          <w:tcPr>
            <w:tcW w:w="857" w:type="dxa"/>
          </w:tcPr>
          <w:p w14:paraId="5A7286B3"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10,3</w:t>
            </w:r>
          </w:p>
        </w:tc>
        <w:tc>
          <w:tcPr>
            <w:tcW w:w="850" w:type="dxa"/>
          </w:tcPr>
          <w:p w14:paraId="76A65F49"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16,3</w:t>
            </w:r>
          </w:p>
        </w:tc>
        <w:tc>
          <w:tcPr>
            <w:tcW w:w="888" w:type="dxa"/>
          </w:tcPr>
          <w:p w14:paraId="67A260B0"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9,0</w:t>
            </w:r>
          </w:p>
        </w:tc>
        <w:tc>
          <w:tcPr>
            <w:tcW w:w="888" w:type="dxa"/>
          </w:tcPr>
          <w:p w14:paraId="5B6432CD"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8,4</w:t>
            </w:r>
          </w:p>
        </w:tc>
        <w:tc>
          <w:tcPr>
            <w:tcW w:w="917" w:type="dxa"/>
          </w:tcPr>
          <w:p w14:paraId="2DFDCDC5" w14:textId="77777777" w:rsidR="00ED6B6D" w:rsidRPr="003954D9" w:rsidRDefault="00ED6B6D" w:rsidP="00ED6B6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31" w:type="dxa"/>
          </w:tcPr>
          <w:p w14:paraId="7CCBDC99"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14,2</w:t>
            </w:r>
          </w:p>
        </w:tc>
      </w:tr>
      <w:tr w:rsidR="00ED6B6D" w:rsidRPr="003954D9" w14:paraId="35D49F83" w14:textId="77777777" w:rsidTr="00ED6B6D">
        <w:trPr>
          <w:trHeight w:val="227"/>
        </w:trPr>
        <w:tc>
          <w:tcPr>
            <w:tcW w:w="940" w:type="dxa"/>
          </w:tcPr>
          <w:p w14:paraId="6DA5688E" w14:textId="77777777" w:rsidR="00ED6B6D" w:rsidRPr="003954D9" w:rsidRDefault="00ED6B6D" w:rsidP="00ED6B6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5 - rok</w:t>
            </w:r>
          </w:p>
        </w:tc>
        <w:tc>
          <w:tcPr>
            <w:tcW w:w="779" w:type="dxa"/>
          </w:tcPr>
          <w:p w14:paraId="7DA900B9"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26,1</w:t>
            </w:r>
          </w:p>
        </w:tc>
        <w:tc>
          <w:tcPr>
            <w:tcW w:w="863" w:type="dxa"/>
          </w:tcPr>
          <w:p w14:paraId="578DC433"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14,8</w:t>
            </w:r>
          </w:p>
        </w:tc>
        <w:tc>
          <w:tcPr>
            <w:tcW w:w="850" w:type="dxa"/>
          </w:tcPr>
          <w:p w14:paraId="74ACB044"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9,8</w:t>
            </w:r>
          </w:p>
        </w:tc>
        <w:tc>
          <w:tcPr>
            <w:tcW w:w="703" w:type="dxa"/>
          </w:tcPr>
          <w:p w14:paraId="1FF31572" w14:textId="77777777" w:rsidR="00ED6B6D" w:rsidRPr="003954D9" w:rsidRDefault="00ED6B6D" w:rsidP="00ED6B6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7" w:type="dxa"/>
          </w:tcPr>
          <w:p w14:paraId="4B8A69E4"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11,6</w:t>
            </w:r>
          </w:p>
        </w:tc>
        <w:tc>
          <w:tcPr>
            <w:tcW w:w="850" w:type="dxa"/>
          </w:tcPr>
          <w:p w14:paraId="180D2181" w14:textId="77777777" w:rsidR="00ED6B6D" w:rsidRPr="003954D9" w:rsidRDefault="00ED6B6D" w:rsidP="00ED6B6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88" w:type="dxa"/>
          </w:tcPr>
          <w:p w14:paraId="4ACB04E4"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8,5</w:t>
            </w:r>
          </w:p>
        </w:tc>
        <w:tc>
          <w:tcPr>
            <w:tcW w:w="888" w:type="dxa"/>
          </w:tcPr>
          <w:p w14:paraId="69876D0D" w14:textId="77777777" w:rsidR="00ED6B6D" w:rsidRPr="003954D9" w:rsidRDefault="00ED6B6D" w:rsidP="00ED6B6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6,1</w:t>
            </w:r>
          </w:p>
        </w:tc>
        <w:tc>
          <w:tcPr>
            <w:tcW w:w="917" w:type="dxa"/>
          </w:tcPr>
          <w:p w14:paraId="0B6F7DD8" w14:textId="77777777" w:rsidR="00ED6B6D" w:rsidRPr="003954D9" w:rsidRDefault="00ED6B6D" w:rsidP="00ED6B6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31" w:type="dxa"/>
          </w:tcPr>
          <w:p w14:paraId="4F3B6D15" w14:textId="77777777" w:rsidR="00ED6B6D" w:rsidRPr="003954D9" w:rsidRDefault="00ED6B6D" w:rsidP="00ED6B6D">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54,5</w:t>
            </w:r>
          </w:p>
        </w:tc>
      </w:tr>
      <w:tr w:rsidR="00ED6B6D" w:rsidRPr="003954D9" w14:paraId="5D11C914" w14:textId="77777777" w:rsidTr="00ED6B6D">
        <w:trPr>
          <w:trHeight w:val="227"/>
        </w:trPr>
        <w:tc>
          <w:tcPr>
            <w:tcW w:w="940" w:type="dxa"/>
          </w:tcPr>
          <w:p w14:paraId="38F8391C" w14:textId="77777777" w:rsidR="00ED6B6D" w:rsidRPr="003954D9" w:rsidRDefault="00ED6B6D" w:rsidP="00ED6B6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Samtliga</w:t>
            </w:r>
          </w:p>
        </w:tc>
        <w:tc>
          <w:tcPr>
            <w:tcW w:w="779" w:type="dxa"/>
          </w:tcPr>
          <w:p w14:paraId="25B3BCD1" w14:textId="77777777" w:rsidR="00ED6B6D" w:rsidRPr="00526BF8" w:rsidRDefault="00ED6B6D" w:rsidP="00ED6B6D">
            <w:pPr>
              <w:autoSpaceDE w:val="0"/>
              <w:autoSpaceDN w:val="0"/>
              <w:adjustRightInd w:val="0"/>
              <w:jc w:val="right"/>
              <w:rPr>
                <w:rFonts w:ascii="Calibri" w:eastAsiaTheme="minorHAnsi" w:hAnsi="Calibri" w:cs="Calibri"/>
                <w:b/>
                <w:color w:val="FF0000"/>
                <w:sz w:val="16"/>
                <w:szCs w:val="16"/>
                <w:lang w:eastAsia="en-US"/>
              </w:rPr>
            </w:pPr>
            <w:r w:rsidRPr="00526BF8">
              <w:rPr>
                <w:rFonts w:ascii="Calibri" w:eastAsiaTheme="minorHAnsi" w:hAnsi="Calibri" w:cs="Calibri"/>
                <w:b/>
                <w:color w:val="FF0000"/>
                <w:sz w:val="16"/>
                <w:szCs w:val="16"/>
                <w:lang w:eastAsia="en-US"/>
              </w:rPr>
              <w:t>19,2</w:t>
            </w:r>
          </w:p>
        </w:tc>
        <w:tc>
          <w:tcPr>
            <w:tcW w:w="863" w:type="dxa"/>
          </w:tcPr>
          <w:p w14:paraId="7B5F6900"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13,5</w:t>
            </w:r>
          </w:p>
        </w:tc>
        <w:tc>
          <w:tcPr>
            <w:tcW w:w="850" w:type="dxa"/>
          </w:tcPr>
          <w:p w14:paraId="164C255B"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11,6</w:t>
            </w:r>
          </w:p>
        </w:tc>
        <w:tc>
          <w:tcPr>
            <w:tcW w:w="703" w:type="dxa"/>
          </w:tcPr>
          <w:p w14:paraId="0241CD62"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13,8</w:t>
            </w:r>
          </w:p>
        </w:tc>
        <w:tc>
          <w:tcPr>
            <w:tcW w:w="857" w:type="dxa"/>
          </w:tcPr>
          <w:p w14:paraId="3170DA5B"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c>
          <w:tcPr>
            <w:tcW w:w="850" w:type="dxa"/>
          </w:tcPr>
          <w:p w14:paraId="51759FEA"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13,9</w:t>
            </w:r>
          </w:p>
        </w:tc>
        <w:tc>
          <w:tcPr>
            <w:tcW w:w="888" w:type="dxa"/>
          </w:tcPr>
          <w:p w14:paraId="2884B019"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15,6</w:t>
            </w:r>
          </w:p>
        </w:tc>
        <w:tc>
          <w:tcPr>
            <w:tcW w:w="888" w:type="dxa"/>
          </w:tcPr>
          <w:p w14:paraId="05646BA1"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9,8</w:t>
            </w:r>
          </w:p>
        </w:tc>
        <w:tc>
          <w:tcPr>
            <w:tcW w:w="917" w:type="dxa"/>
          </w:tcPr>
          <w:p w14:paraId="7881A9F8" w14:textId="77777777" w:rsidR="00ED6B6D" w:rsidRPr="003954D9" w:rsidRDefault="00ED6B6D" w:rsidP="00ED6B6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8,2</w:t>
            </w:r>
          </w:p>
        </w:tc>
        <w:tc>
          <w:tcPr>
            <w:tcW w:w="931" w:type="dxa"/>
          </w:tcPr>
          <w:p w14:paraId="21628EEC"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r>
      <w:tr w:rsidR="00ED6B6D" w:rsidRPr="003954D9" w14:paraId="1FF663A1" w14:textId="77777777" w:rsidTr="00ED6B6D">
        <w:trPr>
          <w:trHeight w:val="227"/>
        </w:trPr>
        <w:tc>
          <w:tcPr>
            <w:tcW w:w="940" w:type="dxa"/>
          </w:tcPr>
          <w:p w14:paraId="0E5BD9D6" w14:textId="77777777" w:rsidR="00ED6B6D" w:rsidRPr="003954D9" w:rsidRDefault="00ED6B6D" w:rsidP="00ED6B6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Antal</w:t>
            </w:r>
          </w:p>
        </w:tc>
        <w:tc>
          <w:tcPr>
            <w:tcW w:w="779" w:type="dxa"/>
          </w:tcPr>
          <w:p w14:paraId="74C0AAD9" w14:textId="77777777" w:rsidR="00ED6B6D" w:rsidRPr="00526BF8" w:rsidRDefault="00ED6B6D" w:rsidP="00ED6B6D">
            <w:pPr>
              <w:autoSpaceDE w:val="0"/>
              <w:autoSpaceDN w:val="0"/>
              <w:adjustRightInd w:val="0"/>
              <w:jc w:val="right"/>
              <w:rPr>
                <w:rFonts w:ascii="Calibri" w:eastAsiaTheme="minorHAnsi" w:hAnsi="Calibri" w:cs="Calibri"/>
                <w:b/>
                <w:color w:val="000000"/>
                <w:sz w:val="16"/>
                <w:szCs w:val="16"/>
                <w:lang w:eastAsia="en-US"/>
              </w:rPr>
            </w:pPr>
            <w:r w:rsidRPr="00526BF8">
              <w:rPr>
                <w:rFonts w:ascii="Calibri" w:eastAsiaTheme="minorHAnsi" w:hAnsi="Calibri" w:cs="Calibri"/>
                <w:b/>
                <w:color w:val="FF0000"/>
                <w:sz w:val="16"/>
                <w:szCs w:val="16"/>
                <w:lang w:eastAsia="en-US"/>
              </w:rPr>
              <w:t>862</w:t>
            </w:r>
          </w:p>
        </w:tc>
        <w:tc>
          <w:tcPr>
            <w:tcW w:w="863" w:type="dxa"/>
          </w:tcPr>
          <w:p w14:paraId="1E674B4F"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322</w:t>
            </w:r>
          </w:p>
        </w:tc>
        <w:tc>
          <w:tcPr>
            <w:tcW w:w="850" w:type="dxa"/>
          </w:tcPr>
          <w:p w14:paraId="7BC0CE91"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239</w:t>
            </w:r>
          </w:p>
        </w:tc>
        <w:tc>
          <w:tcPr>
            <w:tcW w:w="703" w:type="dxa"/>
          </w:tcPr>
          <w:p w14:paraId="2EC18BB6"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125</w:t>
            </w:r>
          </w:p>
        </w:tc>
        <w:tc>
          <w:tcPr>
            <w:tcW w:w="857" w:type="dxa"/>
          </w:tcPr>
          <w:p w14:paraId="5219827C"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289</w:t>
            </w:r>
          </w:p>
        </w:tc>
        <w:tc>
          <w:tcPr>
            <w:tcW w:w="850" w:type="dxa"/>
          </w:tcPr>
          <w:p w14:paraId="37AF9FD2"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193</w:t>
            </w:r>
          </w:p>
        </w:tc>
        <w:tc>
          <w:tcPr>
            <w:tcW w:w="888" w:type="dxa"/>
          </w:tcPr>
          <w:p w14:paraId="67930DC8"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434</w:t>
            </w:r>
          </w:p>
        </w:tc>
        <w:tc>
          <w:tcPr>
            <w:tcW w:w="888" w:type="dxa"/>
          </w:tcPr>
          <w:p w14:paraId="0F84B156" w14:textId="77777777" w:rsidR="00ED6B6D" w:rsidRPr="00526BF8" w:rsidRDefault="00ED6B6D" w:rsidP="00ED6B6D">
            <w:pPr>
              <w:autoSpaceDE w:val="0"/>
              <w:autoSpaceDN w:val="0"/>
              <w:adjustRightInd w:val="0"/>
              <w:jc w:val="right"/>
              <w:rPr>
                <w:rFonts w:ascii="Calibri" w:eastAsiaTheme="minorHAnsi" w:hAnsi="Calibri" w:cs="Calibri"/>
                <w:bCs/>
                <w:color w:val="0066CC"/>
                <w:sz w:val="16"/>
                <w:szCs w:val="16"/>
                <w:lang w:eastAsia="en-US"/>
              </w:rPr>
            </w:pPr>
            <w:r w:rsidRPr="00526BF8">
              <w:rPr>
                <w:rFonts w:ascii="Calibri" w:eastAsiaTheme="minorHAnsi" w:hAnsi="Calibri" w:cs="Calibri"/>
                <w:bCs/>
                <w:sz w:val="16"/>
                <w:szCs w:val="16"/>
                <w:lang w:eastAsia="en-US"/>
              </w:rPr>
              <w:t>255</w:t>
            </w:r>
          </w:p>
        </w:tc>
        <w:tc>
          <w:tcPr>
            <w:tcW w:w="917" w:type="dxa"/>
          </w:tcPr>
          <w:p w14:paraId="7093F77F" w14:textId="77777777" w:rsidR="00ED6B6D" w:rsidRPr="00526BF8" w:rsidRDefault="00ED6B6D" w:rsidP="00ED6B6D">
            <w:pPr>
              <w:autoSpaceDE w:val="0"/>
              <w:autoSpaceDN w:val="0"/>
              <w:adjustRightInd w:val="0"/>
              <w:jc w:val="right"/>
              <w:rPr>
                <w:rFonts w:ascii="Calibri" w:eastAsiaTheme="minorHAnsi" w:hAnsi="Calibri" w:cs="Calibri"/>
                <w:b/>
                <w:color w:val="000000"/>
                <w:sz w:val="16"/>
                <w:szCs w:val="16"/>
                <w:lang w:eastAsia="en-US"/>
              </w:rPr>
            </w:pPr>
            <w:r w:rsidRPr="00526BF8">
              <w:rPr>
                <w:rFonts w:ascii="Calibri" w:eastAsiaTheme="minorHAnsi" w:hAnsi="Calibri" w:cs="Calibri"/>
                <w:b/>
                <w:color w:val="0070C0"/>
                <w:sz w:val="16"/>
                <w:szCs w:val="16"/>
                <w:lang w:eastAsia="en-US"/>
              </w:rPr>
              <w:t>26</w:t>
            </w:r>
          </w:p>
        </w:tc>
        <w:tc>
          <w:tcPr>
            <w:tcW w:w="931" w:type="dxa"/>
          </w:tcPr>
          <w:p w14:paraId="778AB95F" w14:textId="77777777" w:rsidR="00ED6B6D" w:rsidRPr="003954D9" w:rsidRDefault="00ED6B6D" w:rsidP="00ED6B6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636</w:t>
            </w:r>
          </w:p>
        </w:tc>
      </w:tr>
    </w:tbl>
    <w:p w14:paraId="2E3C7C52" w14:textId="77777777" w:rsidR="006E3B2D" w:rsidRPr="003954D9" w:rsidRDefault="006E3B2D" w:rsidP="006E3B2D">
      <w:pPr>
        <w:autoSpaceDE w:val="0"/>
        <w:autoSpaceDN w:val="0"/>
        <w:adjustRightInd w:val="0"/>
        <w:ind w:left="70"/>
        <w:rPr>
          <w:rFonts w:ascii="Calibri" w:eastAsiaTheme="minorHAnsi" w:hAnsi="Calibri" w:cs="Calibri"/>
          <w:bCs/>
          <w:color w:val="000000"/>
          <w:sz w:val="16"/>
          <w:szCs w:val="16"/>
          <w:lang w:eastAsia="en-US"/>
        </w:rPr>
      </w:pPr>
      <w:r w:rsidRPr="00526BF8">
        <w:rPr>
          <w:b/>
          <w:color w:val="FF0000"/>
          <w:sz w:val="16"/>
          <w:szCs w:val="16"/>
        </w:rPr>
        <w:t>Röd färg högsta</w:t>
      </w:r>
      <w:r w:rsidRPr="00526BF8">
        <w:rPr>
          <w:color w:val="FF0000"/>
          <w:sz w:val="16"/>
          <w:szCs w:val="16"/>
        </w:rPr>
        <w:t xml:space="preserve"> </w:t>
      </w:r>
      <w:r w:rsidRPr="003954D9">
        <w:rPr>
          <w:sz w:val="16"/>
          <w:szCs w:val="16"/>
        </w:rPr>
        <w:t xml:space="preserve">och </w:t>
      </w:r>
      <w:r w:rsidRPr="00526BF8">
        <w:rPr>
          <w:b/>
          <w:color w:val="0070C0"/>
          <w:sz w:val="16"/>
          <w:szCs w:val="16"/>
        </w:rPr>
        <w:t>blå färg lägsta</w:t>
      </w:r>
      <w:r w:rsidRPr="00526BF8">
        <w:rPr>
          <w:color w:val="0070C0"/>
          <w:sz w:val="16"/>
          <w:szCs w:val="16"/>
        </w:rPr>
        <w:t xml:space="preserve"> </w:t>
      </w:r>
      <w:r w:rsidRPr="003954D9">
        <w:rPr>
          <w:sz w:val="16"/>
          <w:szCs w:val="16"/>
        </w:rPr>
        <w:t>värde i gruppen</w:t>
      </w:r>
    </w:p>
    <w:p w14:paraId="2A97C8E4" w14:textId="1C9FB172" w:rsidR="00264DD1" w:rsidRPr="003954D9" w:rsidRDefault="00264DD1" w:rsidP="00264DD1">
      <w:pPr>
        <w:pStyle w:val="Rubrik1"/>
      </w:pPr>
      <w:bookmarkStart w:id="162" w:name="_Toc333217243"/>
      <w:bookmarkStart w:id="163" w:name="_Toc333217338"/>
      <w:bookmarkStart w:id="164" w:name="_Toc333795983"/>
      <w:bookmarkStart w:id="165" w:name="_Toc333796235"/>
      <w:bookmarkStart w:id="166" w:name="_Toc333800767"/>
      <w:bookmarkStart w:id="167" w:name="_Toc333800885"/>
      <w:bookmarkStart w:id="168" w:name="_Toc463184425"/>
      <w:bookmarkStart w:id="169" w:name="_Toc464828432"/>
      <w:bookmarkStart w:id="170" w:name="_Toc467818482"/>
      <w:bookmarkStart w:id="171" w:name="_Toc468614368"/>
      <w:bookmarkStart w:id="172" w:name="_Toc333217233"/>
      <w:bookmarkStart w:id="173" w:name="_Toc333217328"/>
      <w:bookmarkStart w:id="174" w:name="_Toc333796237"/>
      <w:bookmarkStart w:id="175" w:name="_Toc333800768"/>
      <w:bookmarkStart w:id="176" w:name="_Toc333800886"/>
      <w:bookmarkStart w:id="177" w:name="_Toc463184428"/>
      <w:r w:rsidRPr="003954D9">
        <w:t>7. Hur väl täcker bidrag hyresökningarna?</w:t>
      </w:r>
      <w:bookmarkEnd w:id="162"/>
      <w:bookmarkEnd w:id="163"/>
      <w:bookmarkEnd w:id="164"/>
      <w:bookmarkEnd w:id="165"/>
      <w:bookmarkEnd w:id="166"/>
      <w:bookmarkEnd w:id="167"/>
      <w:bookmarkEnd w:id="168"/>
      <w:bookmarkEnd w:id="169"/>
      <w:bookmarkEnd w:id="170"/>
      <w:bookmarkEnd w:id="171"/>
    </w:p>
    <w:p w14:paraId="1C0299DD" w14:textId="0C824F92" w:rsidR="00264DD1" w:rsidRPr="003954D9" w:rsidRDefault="00F30F1C" w:rsidP="001C6CB9">
      <w:pPr>
        <w:pStyle w:val="Rubrik3"/>
      </w:pPr>
      <w:r w:rsidRPr="003954D9">
        <w:t>I undersökningen</w:t>
      </w:r>
    </w:p>
    <w:p w14:paraId="045CD169" w14:textId="4D40E96F" w:rsidR="00F30F1C" w:rsidRPr="003954D9" w:rsidRDefault="00CE29A8" w:rsidP="00F30F1C">
      <w:r w:rsidRPr="003954D9">
        <w:t xml:space="preserve">Hyreshöjningar i samband med standardhöjande åtgärder </w:t>
      </w:r>
      <w:r w:rsidR="00144984">
        <w:t>betalas</w:t>
      </w:r>
      <w:r w:rsidRPr="003954D9">
        <w:t xml:space="preserve"> till viss del av samhället. </w:t>
      </w:r>
      <w:r w:rsidR="00F30F1C" w:rsidRPr="003954D9">
        <w:t>Att göra en exakt bedömning av effekterna av olika bostadsstöd är tyvärr inte möjligt eftersom vi inte har tillgång till alla de bakgrundsdata som krävs. Olika inkomstslag påverkar dessutom eventuella bidrag på olika sätt. I den disponibla inkomst som används i denna undersökning är nuvarande bostadstillägg</w:t>
      </w:r>
      <w:r w:rsidR="00345B8C" w:rsidRPr="003954D9">
        <w:t xml:space="preserve">, </w:t>
      </w:r>
      <w:r w:rsidR="00F30F1C" w:rsidRPr="003954D9">
        <w:t xml:space="preserve">bostadsbidrag </w:t>
      </w:r>
      <w:r w:rsidR="00345B8C" w:rsidRPr="003954D9">
        <w:t xml:space="preserve">och försörjningsstöd </w:t>
      </w:r>
      <w:r w:rsidR="00F30F1C" w:rsidRPr="003954D9">
        <w:t xml:space="preserve">inräknade vid dagens hyresnivå, men inte vid hyreshöjningar på olika nivåer. Frågan är dock om de olika stöden påverkar resultaten i någon större utsträckning. </w:t>
      </w:r>
    </w:p>
    <w:p w14:paraId="7E334843" w14:textId="761196AB" w:rsidR="00F30F1C" w:rsidRPr="003954D9" w:rsidRDefault="00F30F1C" w:rsidP="001C6CB9">
      <w:pPr>
        <w:pStyle w:val="Rubrik3"/>
      </w:pPr>
      <w:r w:rsidRPr="003954D9">
        <w:t>Bostadsbidrag</w:t>
      </w:r>
    </w:p>
    <w:p w14:paraId="58731879" w14:textId="77777777" w:rsidR="00201FD3" w:rsidRPr="003954D9" w:rsidRDefault="00201FD3" w:rsidP="00201FD3">
      <w:r w:rsidRPr="003954D9">
        <w:t xml:space="preserve">I vart tredje hushåll finns barn och här utgör samboende med barn den största gruppen följd av </w:t>
      </w:r>
    </w:p>
    <w:p w14:paraId="527ECEC5" w14:textId="77777777" w:rsidR="00201FD3" w:rsidRPr="003954D9" w:rsidRDefault="00201FD3" w:rsidP="00201FD3">
      <w:r w:rsidRPr="003954D9">
        <w:t xml:space="preserve">gruppen övriga hushåll med barn (med fler än två vuxna) – vart tredje barnhushåll har fler än två vuxna i hushållet. Gruppen ensamstående med barn utgör 8 procent av hushållen. </w:t>
      </w:r>
    </w:p>
    <w:p w14:paraId="58F38B94" w14:textId="61E6B668" w:rsidR="00264DD1" w:rsidRPr="007321A8" w:rsidRDefault="00201FD3" w:rsidP="00264DD1">
      <w:r w:rsidRPr="003954D9">
        <w:t xml:space="preserve">Sett till antal personer bor flertalet i hushåll med barn (58 procent). </w:t>
      </w:r>
      <w:r w:rsidR="00985016">
        <w:t xml:space="preserve"> </w:t>
      </w:r>
      <w:r w:rsidR="00264DD1" w:rsidRPr="003954D9">
        <w:t>Bostadsbidrag kan utgå till barnfamiljer och till ensamstående under 29 år. Ett hushåll kan få bostadsbidrag för barnfamilj om det har barn under 18 år som bor hos sig</w:t>
      </w:r>
      <w:r w:rsidR="00474231">
        <w:t xml:space="preserve">, </w:t>
      </w:r>
      <w:r w:rsidR="00264DD1" w:rsidRPr="003954D9">
        <w:t xml:space="preserve">betalar mer än 1 400 kronor i månaden för sin bostad samt har som mest 426 000 kronor i </w:t>
      </w:r>
      <w:r w:rsidR="00264DD1" w:rsidRPr="007321A8">
        <w:t>sammanlagd årsinkomst (35 500 kronor per månad).</w:t>
      </w:r>
    </w:p>
    <w:p w14:paraId="123E900C" w14:textId="0627A5A7" w:rsidR="00264DD1" w:rsidRPr="007321A8" w:rsidRDefault="00474231" w:rsidP="00985016">
      <w:pPr>
        <w:spacing w:before="120"/>
      </w:pPr>
      <w:r>
        <w:t>Storleken på b</w:t>
      </w:r>
      <w:r w:rsidR="00264DD1" w:rsidRPr="007321A8">
        <w:t xml:space="preserve">ostadsbidragen till barnfamiljer påverkas mest av </w:t>
      </w:r>
      <w:r w:rsidR="000C37AF" w:rsidRPr="007321A8">
        <w:t xml:space="preserve">storleken på </w:t>
      </w:r>
      <w:r w:rsidR="00264DD1" w:rsidRPr="007321A8">
        <w:t>inkomst</w:t>
      </w:r>
      <w:r w:rsidR="000C37AF" w:rsidRPr="007321A8">
        <w:t>en</w:t>
      </w:r>
      <w:r w:rsidR="00264DD1" w:rsidRPr="007321A8">
        <w:t xml:space="preserve"> och antal</w:t>
      </w:r>
      <w:r>
        <w:t xml:space="preserve">et </w:t>
      </w:r>
      <w:r w:rsidR="00264DD1" w:rsidRPr="007321A8">
        <w:t xml:space="preserve">barn. Fullt bostadsbidrag får man om inkomsten per person är 9 750 kronor i månaden eller lägre. </w:t>
      </w:r>
    </w:p>
    <w:p w14:paraId="0D99C9CD" w14:textId="3A0AA85F" w:rsidR="00264DD1" w:rsidRPr="007321A8" w:rsidRDefault="00264DD1" w:rsidP="00985016">
      <w:pPr>
        <w:spacing w:before="120"/>
      </w:pPr>
      <w:r w:rsidRPr="007321A8">
        <w:t>För makar med barn gäller individuella inkomstgränser. Bidraget minskas med 20 procent av den del av vardera makens bidragsgrundande årsinkomst som överstiger 58 500 kronor. För ensamstående med barn minskas bidraget med 20 procent av den del av årsinkomsten som överstiger 117 000 kronor.</w:t>
      </w:r>
      <w:r w:rsidR="00985016">
        <w:t xml:space="preserve"> </w:t>
      </w:r>
      <w:r w:rsidRPr="007321A8">
        <w:t xml:space="preserve">Bidraget till bostadskostnaden beräknas till 50 procent av bostadskostnader mellan en lägsta och högsta gräns </w:t>
      </w:r>
      <w:r w:rsidR="00474231">
        <w:t xml:space="preserve">som är </w:t>
      </w:r>
      <w:r w:rsidRPr="007321A8">
        <w:t xml:space="preserve">beroende av antal barn (97 kap. 18 § SFB). </w:t>
      </w:r>
    </w:p>
    <w:p w14:paraId="5FDF6E2D" w14:textId="40879862" w:rsidR="00264DD1" w:rsidRPr="003954D9" w:rsidRDefault="001E03F6" w:rsidP="00526BF8">
      <w:pPr>
        <w:pStyle w:val="Rubrik5"/>
      </w:pPr>
      <w:r>
        <w:t>Bidrag till bostadskostnad</w:t>
      </w:r>
    </w:p>
    <w:tbl>
      <w:tblPr>
        <w:tblStyle w:val="Tabellrutnt"/>
        <w:tblW w:w="0" w:type="auto"/>
        <w:tblInd w:w="137" w:type="dxa"/>
        <w:tblLook w:val="04A0" w:firstRow="1" w:lastRow="0" w:firstColumn="1" w:lastColumn="0" w:noHBand="0" w:noVBand="1"/>
      </w:tblPr>
      <w:tblGrid>
        <w:gridCol w:w="1276"/>
        <w:gridCol w:w="2996"/>
      </w:tblGrid>
      <w:tr w:rsidR="00264DD1" w:rsidRPr="003954D9" w14:paraId="4809B0D8" w14:textId="77777777" w:rsidTr="00523800">
        <w:tc>
          <w:tcPr>
            <w:tcW w:w="1276" w:type="dxa"/>
          </w:tcPr>
          <w:p w14:paraId="199290BD" w14:textId="77777777" w:rsidR="00264DD1" w:rsidRPr="007321A8" w:rsidRDefault="00264DD1" w:rsidP="00F34AB3">
            <w:pPr>
              <w:autoSpaceDE w:val="0"/>
              <w:autoSpaceDN w:val="0"/>
              <w:adjustRightInd w:val="0"/>
              <w:rPr>
                <w:rFonts w:cs="Times New Roman"/>
                <w:color w:val="000000"/>
                <w:sz w:val="20"/>
                <w:szCs w:val="20"/>
              </w:rPr>
            </w:pPr>
            <w:r w:rsidRPr="007321A8">
              <w:rPr>
                <w:rFonts w:cs="Times New Roman"/>
                <w:color w:val="000000"/>
                <w:sz w:val="20"/>
                <w:szCs w:val="20"/>
              </w:rPr>
              <w:t>Antal barn</w:t>
            </w:r>
          </w:p>
        </w:tc>
        <w:tc>
          <w:tcPr>
            <w:tcW w:w="2996" w:type="dxa"/>
          </w:tcPr>
          <w:p w14:paraId="26C754B7" w14:textId="77777777" w:rsidR="00264DD1" w:rsidRPr="007321A8" w:rsidRDefault="00264DD1" w:rsidP="00F34AB3">
            <w:pPr>
              <w:autoSpaceDE w:val="0"/>
              <w:autoSpaceDN w:val="0"/>
              <w:adjustRightInd w:val="0"/>
              <w:rPr>
                <w:rFonts w:cs="Times New Roman"/>
                <w:color w:val="000000"/>
                <w:sz w:val="20"/>
                <w:szCs w:val="20"/>
              </w:rPr>
            </w:pPr>
            <w:r w:rsidRPr="007321A8">
              <w:rPr>
                <w:rFonts w:cs="Times New Roman"/>
                <w:color w:val="000000"/>
                <w:sz w:val="20"/>
                <w:szCs w:val="20"/>
              </w:rPr>
              <w:t xml:space="preserve">50 % av bostadskostnad </w:t>
            </w:r>
          </w:p>
        </w:tc>
      </w:tr>
      <w:tr w:rsidR="00264DD1" w:rsidRPr="003954D9" w14:paraId="1CA9BA43" w14:textId="77777777" w:rsidTr="00523800">
        <w:tc>
          <w:tcPr>
            <w:tcW w:w="1276" w:type="dxa"/>
          </w:tcPr>
          <w:p w14:paraId="36D2296F" w14:textId="77777777" w:rsidR="00264DD1" w:rsidRPr="007321A8" w:rsidRDefault="00264DD1" w:rsidP="00F34AB3">
            <w:pPr>
              <w:autoSpaceDE w:val="0"/>
              <w:autoSpaceDN w:val="0"/>
              <w:adjustRightInd w:val="0"/>
              <w:rPr>
                <w:rFonts w:cs="Times New Roman"/>
                <w:color w:val="000000"/>
                <w:sz w:val="20"/>
                <w:szCs w:val="20"/>
              </w:rPr>
            </w:pPr>
            <w:r w:rsidRPr="007321A8">
              <w:rPr>
                <w:rFonts w:cs="Times New Roman"/>
                <w:color w:val="000000"/>
                <w:sz w:val="20"/>
                <w:szCs w:val="20"/>
              </w:rPr>
              <w:t>1 barn</w:t>
            </w:r>
          </w:p>
        </w:tc>
        <w:tc>
          <w:tcPr>
            <w:tcW w:w="2996" w:type="dxa"/>
          </w:tcPr>
          <w:p w14:paraId="378C4E6F" w14:textId="77777777" w:rsidR="00264DD1" w:rsidRPr="007321A8" w:rsidRDefault="00264DD1" w:rsidP="00F34AB3">
            <w:pPr>
              <w:autoSpaceDE w:val="0"/>
              <w:autoSpaceDN w:val="0"/>
              <w:adjustRightInd w:val="0"/>
              <w:rPr>
                <w:rFonts w:cs="Times New Roman"/>
                <w:color w:val="000000"/>
                <w:sz w:val="20"/>
                <w:szCs w:val="20"/>
              </w:rPr>
            </w:pPr>
            <w:r w:rsidRPr="007321A8">
              <w:rPr>
                <w:rFonts w:cs="Times New Roman"/>
                <w:color w:val="000000"/>
                <w:sz w:val="20"/>
                <w:szCs w:val="20"/>
              </w:rPr>
              <w:t>mellan 1 400 och 5 300</w:t>
            </w:r>
          </w:p>
        </w:tc>
      </w:tr>
      <w:tr w:rsidR="00264DD1" w:rsidRPr="003954D9" w14:paraId="263535BD" w14:textId="77777777" w:rsidTr="00523800">
        <w:tc>
          <w:tcPr>
            <w:tcW w:w="1276" w:type="dxa"/>
          </w:tcPr>
          <w:p w14:paraId="365B702F" w14:textId="77777777" w:rsidR="00264DD1" w:rsidRPr="007321A8" w:rsidRDefault="00264DD1" w:rsidP="00F34AB3">
            <w:pPr>
              <w:autoSpaceDE w:val="0"/>
              <w:autoSpaceDN w:val="0"/>
              <w:adjustRightInd w:val="0"/>
              <w:rPr>
                <w:rFonts w:cs="Times New Roman"/>
                <w:color w:val="000000"/>
                <w:sz w:val="20"/>
                <w:szCs w:val="20"/>
              </w:rPr>
            </w:pPr>
            <w:r w:rsidRPr="007321A8">
              <w:rPr>
                <w:rFonts w:cs="Times New Roman"/>
                <w:color w:val="000000"/>
                <w:sz w:val="20"/>
                <w:szCs w:val="20"/>
              </w:rPr>
              <w:t>2 barn</w:t>
            </w:r>
          </w:p>
        </w:tc>
        <w:tc>
          <w:tcPr>
            <w:tcW w:w="2996" w:type="dxa"/>
          </w:tcPr>
          <w:p w14:paraId="6CEB9EBA" w14:textId="77777777" w:rsidR="00264DD1" w:rsidRPr="007321A8" w:rsidRDefault="00264DD1" w:rsidP="00F34AB3">
            <w:pPr>
              <w:autoSpaceDE w:val="0"/>
              <w:autoSpaceDN w:val="0"/>
              <w:adjustRightInd w:val="0"/>
              <w:rPr>
                <w:rFonts w:cs="Times New Roman"/>
                <w:color w:val="000000"/>
                <w:sz w:val="20"/>
                <w:szCs w:val="20"/>
              </w:rPr>
            </w:pPr>
            <w:r w:rsidRPr="007321A8">
              <w:rPr>
                <w:rFonts w:cs="Times New Roman"/>
                <w:color w:val="000000"/>
                <w:sz w:val="20"/>
                <w:szCs w:val="20"/>
              </w:rPr>
              <w:t>mellan 1 400 och 5 900</w:t>
            </w:r>
          </w:p>
        </w:tc>
      </w:tr>
      <w:tr w:rsidR="00264DD1" w:rsidRPr="003954D9" w14:paraId="2A67A6F8" w14:textId="77777777" w:rsidTr="00523800">
        <w:tc>
          <w:tcPr>
            <w:tcW w:w="1276" w:type="dxa"/>
          </w:tcPr>
          <w:p w14:paraId="625B6A5A" w14:textId="77777777" w:rsidR="00264DD1" w:rsidRPr="007321A8" w:rsidRDefault="00264DD1" w:rsidP="00F34AB3">
            <w:pPr>
              <w:autoSpaceDE w:val="0"/>
              <w:autoSpaceDN w:val="0"/>
              <w:adjustRightInd w:val="0"/>
              <w:rPr>
                <w:rFonts w:cs="Times New Roman"/>
                <w:color w:val="000000"/>
                <w:sz w:val="20"/>
                <w:szCs w:val="20"/>
              </w:rPr>
            </w:pPr>
            <w:r w:rsidRPr="007321A8">
              <w:rPr>
                <w:rFonts w:cs="Times New Roman"/>
                <w:color w:val="000000"/>
                <w:sz w:val="20"/>
                <w:szCs w:val="20"/>
              </w:rPr>
              <w:t>3 barn</w:t>
            </w:r>
          </w:p>
        </w:tc>
        <w:tc>
          <w:tcPr>
            <w:tcW w:w="2996" w:type="dxa"/>
          </w:tcPr>
          <w:p w14:paraId="680BDE9A" w14:textId="77777777" w:rsidR="00264DD1" w:rsidRPr="007321A8" w:rsidRDefault="00264DD1" w:rsidP="00F34AB3">
            <w:pPr>
              <w:autoSpaceDE w:val="0"/>
              <w:autoSpaceDN w:val="0"/>
              <w:adjustRightInd w:val="0"/>
              <w:rPr>
                <w:rFonts w:cs="Times New Roman"/>
                <w:color w:val="000000"/>
                <w:sz w:val="20"/>
                <w:szCs w:val="20"/>
              </w:rPr>
            </w:pPr>
            <w:r w:rsidRPr="007321A8">
              <w:rPr>
                <w:rFonts w:cs="Times New Roman"/>
                <w:color w:val="000000"/>
                <w:sz w:val="20"/>
                <w:szCs w:val="20"/>
              </w:rPr>
              <w:t>mellan 1 400 och 6 600</w:t>
            </w:r>
          </w:p>
        </w:tc>
      </w:tr>
    </w:tbl>
    <w:p w14:paraId="657D3695" w14:textId="06FC3D04" w:rsidR="00264DD1" w:rsidRDefault="00264DD1" w:rsidP="001E03F6">
      <w:pPr>
        <w:pStyle w:val="Fotnotstext"/>
        <w:rPr>
          <w:sz w:val="16"/>
          <w:szCs w:val="16"/>
        </w:rPr>
      </w:pPr>
      <w:r w:rsidRPr="003954D9">
        <w:rPr>
          <w:sz w:val="16"/>
          <w:szCs w:val="16"/>
        </w:rPr>
        <w:t xml:space="preserve">    (Källa: Försäkringskassan: Vägledning 2004:10 Version 10)</w:t>
      </w:r>
    </w:p>
    <w:p w14:paraId="45EA20E6" w14:textId="77777777" w:rsidR="00474231" w:rsidRPr="003954D9" w:rsidRDefault="00474231" w:rsidP="001E03F6">
      <w:pPr>
        <w:pStyle w:val="Fotnotstext"/>
        <w:rPr>
          <w:sz w:val="16"/>
          <w:szCs w:val="16"/>
        </w:rPr>
      </w:pPr>
    </w:p>
    <w:p w14:paraId="1CA35A70" w14:textId="1F8EE3D3" w:rsidR="00264DD1" w:rsidRDefault="00264DD1" w:rsidP="00474231">
      <w:r w:rsidRPr="003954D9">
        <w:lastRenderedPageBreak/>
        <w:t>I denna undersökning är månadshyrorna för barnfamiljer (medelvärden) följande i stadsdelarna</w:t>
      </w:r>
      <w:r w:rsidR="00474231">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188"/>
        <w:gridCol w:w="1336"/>
        <w:gridCol w:w="1259"/>
        <w:gridCol w:w="1417"/>
        <w:gridCol w:w="1134"/>
      </w:tblGrid>
      <w:tr w:rsidR="00264DD1" w:rsidRPr="003954D9" w14:paraId="36427BE4" w14:textId="77777777" w:rsidTr="00523800">
        <w:trPr>
          <w:trHeight w:val="227"/>
        </w:trPr>
        <w:tc>
          <w:tcPr>
            <w:tcW w:w="0" w:type="auto"/>
          </w:tcPr>
          <w:p w14:paraId="41D13342"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Stadsdel</w:t>
            </w:r>
          </w:p>
        </w:tc>
        <w:tc>
          <w:tcPr>
            <w:tcW w:w="1188" w:type="dxa"/>
          </w:tcPr>
          <w:p w14:paraId="11A84A23" w14:textId="2A4D4A2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Ensamst. m.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1336" w:type="dxa"/>
          </w:tcPr>
          <w:p w14:paraId="0030EE6B" w14:textId="624A453A"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1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1259" w:type="dxa"/>
          </w:tcPr>
          <w:p w14:paraId="70374035" w14:textId="646DA95E"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2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1417" w:type="dxa"/>
          </w:tcPr>
          <w:p w14:paraId="12A71A15" w14:textId="06737AD5"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3 -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1134" w:type="dxa"/>
          </w:tcPr>
          <w:p w14:paraId="2FA05DFD"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Övr. hushåll m. barn</w:t>
            </w:r>
          </w:p>
        </w:tc>
      </w:tr>
      <w:tr w:rsidR="00264DD1" w:rsidRPr="003954D9" w14:paraId="5A9AD13D" w14:textId="77777777" w:rsidTr="00523800">
        <w:trPr>
          <w:trHeight w:val="227"/>
        </w:trPr>
        <w:tc>
          <w:tcPr>
            <w:tcW w:w="0" w:type="auto"/>
          </w:tcPr>
          <w:p w14:paraId="2F97B086"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Angered</w:t>
            </w:r>
          </w:p>
        </w:tc>
        <w:tc>
          <w:tcPr>
            <w:tcW w:w="1188" w:type="dxa"/>
          </w:tcPr>
          <w:p w14:paraId="695BBE39"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6 005</w:t>
            </w:r>
          </w:p>
        </w:tc>
        <w:tc>
          <w:tcPr>
            <w:tcW w:w="1336" w:type="dxa"/>
          </w:tcPr>
          <w:p w14:paraId="7F9D7DB9"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5 588</w:t>
            </w:r>
          </w:p>
        </w:tc>
        <w:tc>
          <w:tcPr>
            <w:tcW w:w="1259" w:type="dxa"/>
          </w:tcPr>
          <w:p w14:paraId="57ED2D6C"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5 844</w:t>
            </w:r>
          </w:p>
        </w:tc>
        <w:tc>
          <w:tcPr>
            <w:tcW w:w="1417" w:type="dxa"/>
          </w:tcPr>
          <w:p w14:paraId="40F474F5"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6 387</w:t>
            </w:r>
          </w:p>
        </w:tc>
        <w:tc>
          <w:tcPr>
            <w:tcW w:w="1134" w:type="dxa"/>
          </w:tcPr>
          <w:p w14:paraId="7D37A3FB"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5 753</w:t>
            </w:r>
          </w:p>
        </w:tc>
      </w:tr>
      <w:tr w:rsidR="00264DD1" w:rsidRPr="003954D9" w14:paraId="3B2B3544" w14:textId="77777777" w:rsidTr="00523800">
        <w:trPr>
          <w:trHeight w:val="227"/>
        </w:trPr>
        <w:tc>
          <w:tcPr>
            <w:tcW w:w="0" w:type="auto"/>
          </w:tcPr>
          <w:p w14:paraId="0059F126"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Askim-Frölunda-Högsbo</w:t>
            </w:r>
          </w:p>
        </w:tc>
        <w:tc>
          <w:tcPr>
            <w:tcW w:w="1188" w:type="dxa"/>
          </w:tcPr>
          <w:p w14:paraId="1584E612"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6 408</w:t>
            </w:r>
          </w:p>
        </w:tc>
        <w:tc>
          <w:tcPr>
            <w:tcW w:w="1336" w:type="dxa"/>
          </w:tcPr>
          <w:p w14:paraId="267AFAE9"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6 759</w:t>
            </w:r>
          </w:p>
        </w:tc>
        <w:tc>
          <w:tcPr>
            <w:tcW w:w="1259" w:type="dxa"/>
          </w:tcPr>
          <w:p w14:paraId="56F89198"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6 957</w:t>
            </w:r>
          </w:p>
        </w:tc>
        <w:tc>
          <w:tcPr>
            <w:tcW w:w="1417" w:type="dxa"/>
          </w:tcPr>
          <w:p w14:paraId="18F6552E"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6 852</w:t>
            </w:r>
          </w:p>
        </w:tc>
        <w:tc>
          <w:tcPr>
            <w:tcW w:w="1134" w:type="dxa"/>
          </w:tcPr>
          <w:p w14:paraId="3D2E7AD6"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6 445</w:t>
            </w:r>
          </w:p>
        </w:tc>
      </w:tr>
      <w:tr w:rsidR="00264DD1" w:rsidRPr="003954D9" w14:paraId="28313B2A" w14:textId="77777777" w:rsidTr="00523800">
        <w:trPr>
          <w:trHeight w:val="227"/>
        </w:trPr>
        <w:tc>
          <w:tcPr>
            <w:tcW w:w="0" w:type="auto"/>
          </w:tcPr>
          <w:p w14:paraId="03A73D29"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Centrum</w:t>
            </w:r>
          </w:p>
        </w:tc>
        <w:tc>
          <w:tcPr>
            <w:tcW w:w="1188" w:type="dxa"/>
          </w:tcPr>
          <w:p w14:paraId="41E1FE00"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6 556</w:t>
            </w:r>
          </w:p>
        </w:tc>
        <w:tc>
          <w:tcPr>
            <w:tcW w:w="1336" w:type="dxa"/>
          </w:tcPr>
          <w:p w14:paraId="15DA1102"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6 896</w:t>
            </w:r>
          </w:p>
        </w:tc>
        <w:tc>
          <w:tcPr>
            <w:tcW w:w="1259" w:type="dxa"/>
          </w:tcPr>
          <w:p w14:paraId="69CB2662"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8 221</w:t>
            </w:r>
          </w:p>
        </w:tc>
        <w:tc>
          <w:tcPr>
            <w:tcW w:w="1417" w:type="dxa"/>
          </w:tcPr>
          <w:p w14:paraId="318C6155"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7 804</w:t>
            </w:r>
          </w:p>
        </w:tc>
        <w:tc>
          <w:tcPr>
            <w:tcW w:w="1134" w:type="dxa"/>
          </w:tcPr>
          <w:p w14:paraId="717ECAA6"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6 767</w:t>
            </w:r>
          </w:p>
        </w:tc>
      </w:tr>
      <w:tr w:rsidR="00264DD1" w:rsidRPr="003954D9" w14:paraId="2B982DA2" w14:textId="77777777" w:rsidTr="00523800">
        <w:trPr>
          <w:trHeight w:val="227"/>
        </w:trPr>
        <w:tc>
          <w:tcPr>
            <w:tcW w:w="0" w:type="auto"/>
          </w:tcPr>
          <w:p w14:paraId="03B793A7"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Lundby</w:t>
            </w:r>
          </w:p>
        </w:tc>
        <w:tc>
          <w:tcPr>
            <w:tcW w:w="1188" w:type="dxa"/>
          </w:tcPr>
          <w:p w14:paraId="34A81588"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6 485</w:t>
            </w:r>
          </w:p>
        </w:tc>
        <w:tc>
          <w:tcPr>
            <w:tcW w:w="1336" w:type="dxa"/>
          </w:tcPr>
          <w:p w14:paraId="2F4ECE29"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5 900</w:t>
            </w:r>
          </w:p>
        </w:tc>
        <w:tc>
          <w:tcPr>
            <w:tcW w:w="1259" w:type="dxa"/>
          </w:tcPr>
          <w:p w14:paraId="7D47C6DE"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6 479</w:t>
            </w:r>
          </w:p>
        </w:tc>
        <w:tc>
          <w:tcPr>
            <w:tcW w:w="1417" w:type="dxa"/>
          </w:tcPr>
          <w:p w14:paraId="45A539E5"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7 315</w:t>
            </w:r>
          </w:p>
        </w:tc>
        <w:tc>
          <w:tcPr>
            <w:tcW w:w="1134" w:type="dxa"/>
          </w:tcPr>
          <w:p w14:paraId="6EAADAC8"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5 986</w:t>
            </w:r>
          </w:p>
        </w:tc>
      </w:tr>
      <w:tr w:rsidR="00264DD1" w:rsidRPr="003954D9" w14:paraId="65E993C1" w14:textId="77777777" w:rsidTr="00523800">
        <w:trPr>
          <w:trHeight w:val="227"/>
        </w:trPr>
        <w:tc>
          <w:tcPr>
            <w:tcW w:w="0" w:type="auto"/>
          </w:tcPr>
          <w:p w14:paraId="081B66D0"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Majorna- Linne</w:t>
            </w:r>
          </w:p>
        </w:tc>
        <w:tc>
          <w:tcPr>
            <w:tcW w:w="1188" w:type="dxa"/>
          </w:tcPr>
          <w:p w14:paraId="1E43ED91"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6 724</w:t>
            </w:r>
          </w:p>
        </w:tc>
        <w:tc>
          <w:tcPr>
            <w:tcW w:w="1336" w:type="dxa"/>
          </w:tcPr>
          <w:p w14:paraId="2EFD8967"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6 970</w:t>
            </w:r>
          </w:p>
        </w:tc>
        <w:tc>
          <w:tcPr>
            <w:tcW w:w="1259" w:type="dxa"/>
          </w:tcPr>
          <w:p w14:paraId="4F8CF0F6"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8 032</w:t>
            </w:r>
          </w:p>
        </w:tc>
        <w:tc>
          <w:tcPr>
            <w:tcW w:w="1417" w:type="dxa"/>
          </w:tcPr>
          <w:p w14:paraId="6D04DE36"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9 103</w:t>
            </w:r>
          </w:p>
        </w:tc>
        <w:tc>
          <w:tcPr>
            <w:tcW w:w="1134" w:type="dxa"/>
          </w:tcPr>
          <w:p w14:paraId="6ECDBD71"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6 663</w:t>
            </w:r>
          </w:p>
        </w:tc>
      </w:tr>
      <w:tr w:rsidR="00264DD1" w:rsidRPr="003954D9" w14:paraId="38FDF282" w14:textId="77777777" w:rsidTr="00523800">
        <w:trPr>
          <w:trHeight w:val="227"/>
        </w:trPr>
        <w:tc>
          <w:tcPr>
            <w:tcW w:w="0" w:type="auto"/>
          </w:tcPr>
          <w:p w14:paraId="4CD64F1F"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Norra Hisingen</w:t>
            </w:r>
          </w:p>
        </w:tc>
        <w:tc>
          <w:tcPr>
            <w:tcW w:w="1188" w:type="dxa"/>
          </w:tcPr>
          <w:p w14:paraId="54A62357"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5 782</w:t>
            </w:r>
          </w:p>
        </w:tc>
        <w:tc>
          <w:tcPr>
            <w:tcW w:w="1336" w:type="dxa"/>
          </w:tcPr>
          <w:p w14:paraId="04A69A99"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5 679</w:t>
            </w:r>
          </w:p>
        </w:tc>
        <w:tc>
          <w:tcPr>
            <w:tcW w:w="1259" w:type="dxa"/>
          </w:tcPr>
          <w:p w14:paraId="068598D5"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6 019</w:t>
            </w:r>
          </w:p>
        </w:tc>
        <w:tc>
          <w:tcPr>
            <w:tcW w:w="1417" w:type="dxa"/>
          </w:tcPr>
          <w:p w14:paraId="4E44CE2A"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6 184</w:t>
            </w:r>
          </w:p>
        </w:tc>
        <w:tc>
          <w:tcPr>
            <w:tcW w:w="1134" w:type="dxa"/>
          </w:tcPr>
          <w:p w14:paraId="40A5F03C"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5 495</w:t>
            </w:r>
          </w:p>
        </w:tc>
      </w:tr>
      <w:tr w:rsidR="00264DD1" w:rsidRPr="003954D9" w14:paraId="19C2EA89" w14:textId="77777777" w:rsidTr="00523800">
        <w:trPr>
          <w:trHeight w:val="227"/>
        </w:trPr>
        <w:tc>
          <w:tcPr>
            <w:tcW w:w="0" w:type="auto"/>
          </w:tcPr>
          <w:p w14:paraId="014D2E5C"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Västra Hisingen</w:t>
            </w:r>
          </w:p>
        </w:tc>
        <w:tc>
          <w:tcPr>
            <w:tcW w:w="1188" w:type="dxa"/>
          </w:tcPr>
          <w:p w14:paraId="08F83DB1"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5 384</w:t>
            </w:r>
          </w:p>
        </w:tc>
        <w:tc>
          <w:tcPr>
            <w:tcW w:w="1336" w:type="dxa"/>
          </w:tcPr>
          <w:p w14:paraId="3663609B"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5 248</w:t>
            </w:r>
          </w:p>
        </w:tc>
        <w:tc>
          <w:tcPr>
            <w:tcW w:w="1259" w:type="dxa"/>
          </w:tcPr>
          <w:p w14:paraId="1D7DED38"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5 389</w:t>
            </w:r>
          </w:p>
        </w:tc>
        <w:tc>
          <w:tcPr>
            <w:tcW w:w="1417" w:type="dxa"/>
          </w:tcPr>
          <w:p w14:paraId="0302437B"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5 579</w:t>
            </w:r>
          </w:p>
        </w:tc>
        <w:tc>
          <w:tcPr>
            <w:tcW w:w="1134" w:type="dxa"/>
          </w:tcPr>
          <w:p w14:paraId="08E379C3"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5 336</w:t>
            </w:r>
          </w:p>
        </w:tc>
      </w:tr>
      <w:tr w:rsidR="00264DD1" w:rsidRPr="003954D9" w14:paraId="3CB8F1BF" w14:textId="77777777" w:rsidTr="00523800">
        <w:trPr>
          <w:trHeight w:val="227"/>
        </w:trPr>
        <w:tc>
          <w:tcPr>
            <w:tcW w:w="0" w:type="auto"/>
          </w:tcPr>
          <w:p w14:paraId="65AC592F"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Örgryte-Härlanda</w:t>
            </w:r>
          </w:p>
        </w:tc>
        <w:tc>
          <w:tcPr>
            <w:tcW w:w="1188" w:type="dxa"/>
          </w:tcPr>
          <w:p w14:paraId="1FE63F59"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6 355</w:t>
            </w:r>
          </w:p>
        </w:tc>
        <w:tc>
          <w:tcPr>
            <w:tcW w:w="1336" w:type="dxa"/>
          </w:tcPr>
          <w:p w14:paraId="5F18FE44"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6 700</w:t>
            </w:r>
          </w:p>
        </w:tc>
        <w:tc>
          <w:tcPr>
            <w:tcW w:w="1259" w:type="dxa"/>
          </w:tcPr>
          <w:p w14:paraId="5CDF54BD"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7 710</w:t>
            </w:r>
          </w:p>
        </w:tc>
        <w:tc>
          <w:tcPr>
            <w:tcW w:w="1417" w:type="dxa"/>
          </w:tcPr>
          <w:p w14:paraId="7EC2AEEC"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7 867</w:t>
            </w:r>
          </w:p>
        </w:tc>
        <w:tc>
          <w:tcPr>
            <w:tcW w:w="1134" w:type="dxa"/>
          </w:tcPr>
          <w:p w14:paraId="0DBD92E4"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6 308</w:t>
            </w:r>
          </w:p>
        </w:tc>
      </w:tr>
      <w:tr w:rsidR="00264DD1" w:rsidRPr="003954D9" w14:paraId="7B826A1D" w14:textId="77777777" w:rsidTr="00523800">
        <w:trPr>
          <w:trHeight w:val="227"/>
        </w:trPr>
        <w:tc>
          <w:tcPr>
            <w:tcW w:w="0" w:type="auto"/>
          </w:tcPr>
          <w:p w14:paraId="1E1EF9B7"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Västra Göteborg</w:t>
            </w:r>
          </w:p>
        </w:tc>
        <w:tc>
          <w:tcPr>
            <w:tcW w:w="1188" w:type="dxa"/>
          </w:tcPr>
          <w:p w14:paraId="255EA657"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7 260</w:t>
            </w:r>
          </w:p>
        </w:tc>
        <w:tc>
          <w:tcPr>
            <w:tcW w:w="1336" w:type="dxa"/>
          </w:tcPr>
          <w:p w14:paraId="3B202EAC"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7 296</w:t>
            </w:r>
          </w:p>
        </w:tc>
        <w:tc>
          <w:tcPr>
            <w:tcW w:w="1259" w:type="dxa"/>
          </w:tcPr>
          <w:p w14:paraId="5CAB58DF"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7 948</w:t>
            </w:r>
          </w:p>
        </w:tc>
        <w:tc>
          <w:tcPr>
            <w:tcW w:w="1417" w:type="dxa"/>
          </w:tcPr>
          <w:p w14:paraId="347D3B6E"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7 454</w:t>
            </w:r>
          </w:p>
        </w:tc>
        <w:tc>
          <w:tcPr>
            <w:tcW w:w="1134" w:type="dxa"/>
          </w:tcPr>
          <w:p w14:paraId="435DAB53"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7 310</w:t>
            </w:r>
          </w:p>
        </w:tc>
      </w:tr>
      <w:tr w:rsidR="00264DD1" w:rsidRPr="003954D9" w14:paraId="155A90FF" w14:textId="77777777" w:rsidTr="00523800">
        <w:trPr>
          <w:trHeight w:val="227"/>
        </w:trPr>
        <w:tc>
          <w:tcPr>
            <w:tcW w:w="0" w:type="auto"/>
          </w:tcPr>
          <w:p w14:paraId="552DC801"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Östra Göteborg</w:t>
            </w:r>
          </w:p>
        </w:tc>
        <w:tc>
          <w:tcPr>
            <w:tcW w:w="1188" w:type="dxa"/>
          </w:tcPr>
          <w:p w14:paraId="585EB6BD"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5 557</w:t>
            </w:r>
          </w:p>
        </w:tc>
        <w:tc>
          <w:tcPr>
            <w:tcW w:w="1336" w:type="dxa"/>
          </w:tcPr>
          <w:p w14:paraId="44954B79"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5 256</w:t>
            </w:r>
          </w:p>
        </w:tc>
        <w:tc>
          <w:tcPr>
            <w:tcW w:w="1259" w:type="dxa"/>
          </w:tcPr>
          <w:p w14:paraId="2E7D407E"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5 524</w:t>
            </w:r>
          </w:p>
        </w:tc>
        <w:tc>
          <w:tcPr>
            <w:tcW w:w="1417" w:type="dxa"/>
          </w:tcPr>
          <w:p w14:paraId="161FEBF5"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5 932</w:t>
            </w:r>
          </w:p>
        </w:tc>
        <w:tc>
          <w:tcPr>
            <w:tcW w:w="1134" w:type="dxa"/>
          </w:tcPr>
          <w:p w14:paraId="61ABC2BC"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5 411</w:t>
            </w:r>
          </w:p>
        </w:tc>
      </w:tr>
      <w:tr w:rsidR="00264DD1" w:rsidRPr="003954D9" w14:paraId="2D2E78FA" w14:textId="77777777" w:rsidTr="00523800">
        <w:trPr>
          <w:trHeight w:val="227"/>
        </w:trPr>
        <w:tc>
          <w:tcPr>
            <w:tcW w:w="0" w:type="auto"/>
          </w:tcPr>
          <w:p w14:paraId="4E79534A"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Hyrestak</w:t>
            </w:r>
          </w:p>
        </w:tc>
        <w:tc>
          <w:tcPr>
            <w:tcW w:w="1188" w:type="dxa"/>
          </w:tcPr>
          <w:p w14:paraId="1F7D10C1" w14:textId="77777777" w:rsidR="00264DD1" w:rsidRPr="003954D9" w:rsidRDefault="00264DD1" w:rsidP="00F34AB3">
            <w:pPr>
              <w:autoSpaceDE w:val="0"/>
              <w:autoSpaceDN w:val="0"/>
              <w:adjustRightInd w:val="0"/>
              <w:jc w:val="right"/>
              <w:rPr>
                <w:rFonts w:ascii="Calibri" w:hAnsi="Calibri" w:cs="Calibri"/>
                <w:color w:val="000000"/>
                <w:sz w:val="16"/>
                <w:szCs w:val="16"/>
              </w:rPr>
            </w:pPr>
          </w:p>
        </w:tc>
        <w:tc>
          <w:tcPr>
            <w:tcW w:w="1336" w:type="dxa"/>
          </w:tcPr>
          <w:p w14:paraId="1BF891E9"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5 300</w:t>
            </w:r>
          </w:p>
        </w:tc>
        <w:tc>
          <w:tcPr>
            <w:tcW w:w="1259" w:type="dxa"/>
          </w:tcPr>
          <w:p w14:paraId="2A024A4C"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5 900</w:t>
            </w:r>
          </w:p>
        </w:tc>
        <w:tc>
          <w:tcPr>
            <w:tcW w:w="1417" w:type="dxa"/>
          </w:tcPr>
          <w:p w14:paraId="34E9175B"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6 600</w:t>
            </w:r>
          </w:p>
        </w:tc>
        <w:tc>
          <w:tcPr>
            <w:tcW w:w="1134" w:type="dxa"/>
          </w:tcPr>
          <w:p w14:paraId="6D31DE6A" w14:textId="77777777" w:rsidR="00264DD1" w:rsidRPr="003954D9" w:rsidRDefault="00264DD1" w:rsidP="00F34AB3">
            <w:pPr>
              <w:autoSpaceDE w:val="0"/>
              <w:autoSpaceDN w:val="0"/>
              <w:adjustRightInd w:val="0"/>
              <w:jc w:val="right"/>
              <w:rPr>
                <w:rFonts w:ascii="Calibri" w:hAnsi="Calibri" w:cs="Calibri"/>
                <w:color w:val="000000"/>
                <w:sz w:val="16"/>
                <w:szCs w:val="16"/>
              </w:rPr>
            </w:pPr>
          </w:p>
        </w:tc>
      </w:tr>
    </w:tbl>
    <w:p w14:paraId="6AE3DB05" w14:textId="77777777" w:rsidR="00264DD1" w:rsidRPr="003954D9" w:rsidRDefault="00264DD1" w:rsidP="00264DD1">
      <w:pPr>
        <w:rPr>
          <w:rFonts w:ascii="Calibri" w:hAnsi="Calibri"/>
          <w:sz w:val="22"/>
          <w:szCs w:val="22"/>
        </w:rPr>
      </w:pPr>
    </w:p>
    <w:p w14:paraId="4256449B" w14:textId="77777777" w:rsidR="00264DD1" w:rsidRPr="003954D9" w:rsidRDefault="00264DD1" w:rsidP="00264DD1">
      <w:r w:rsidRPr="003954D9">
        <w:t xml:space="preserve">De medelhyror som understiger hyrestaket pga. antal barn är markerade med fet stil. </w:t>
      </w:r>
      <w:r w:rsidRPr="003954D9">
        <w:tab/>
      </w:r>
    </w:p>
    <w:p w14:paraId="0292B678" w14:textId="1E250925" w:rsidR="00264DD1" w:rsidRPr="003954D9" w:rsidRDefault="00264DD1" w:rsidP="00264DD1">
      <w:r w:rsidRPr="003954D9">
        <w:t xml:space="preserve">Som framgår </w:t>
      </w:r>
      <w:r w:rsidR="00474231">
        <w:t xml:space="preserve">är </w:t>
      </w:r>
      <w:r w:rsidRPr="003954D9">
        <w:t xml:space="preserve">det få om ens några av dessa hushåll som kommer att få ökade bostadsbidrag om deras hyror höjs. </w:t>
      </w:r>
    </w:p>
    <w:p w14:paraId="22482285" w14:textId="54BAFDF5" w:rsidR="00345B8C" w:rsidRPr="003954D9" w:rsidRDefault="00264DD1" w:rsidP="00985016">
      <w:pPr>
        <w:spacing w:before="120"/>
      </w:pPr>
      <w:r w:rsidRPr="003954D9">
        <w:rPr>
          <w:i/>
        </w:rPr>
        <w:t>Bostadsbidrag till ensamstående under 29 år</w:t>
      </w:r>
      <w:r w:rsidRPr="003954D9">
        <w:t xml:space="preserve"> utan barn är så små att de </w:t>
      </w:r>
      <w:r w:rsidR="00474231">
        <w:t>knappast</w:t>
      </w:r>
      <w:r w:rsidRPr="003954D9">
        <w:t xml:space="preserve"> påverka</w:t>
      </w:r>
      <w:r w:rsidR="00474231">
        <w:t>r</w:t>
      </w:r>
      <w:r w:rsidRPr="003954D9">
        <w:t xml:space="preserve"> utfalle</w:t>
      </w:r>
      <w:r w:rsidR="00474231">
        <w:t>n</w:t>
      </w:r>
      <w:r w:rsidRPr="003954D9">
        <w:t xml:space="preserve"> nämnvärt. </w:t>
      </w:r>
      <w:bookmarkEnd w:id="172"/>
      <w:bookmarkEnd w:id="173"/>
      <w:r w:rsidRPr="003954D9">
        <w:t>Ungdomar utan barn kan få bidrag till bostadskostnader som är högre än 1 800 kronor. Den högsta bidragsgrundande bostadskostnaden är 3 600 kronor. Från och med den 1 januari lämnas bidrag inom detta intervall med 90 eller 65 procent. (97 kap. 26–28 §§ SFB)</w:t>
      </w:r>
      <w:r w:rsidR="00345B8C" w:rsidRPr="003954D9">
        <w:t>.</w:t>
      </w:r>
      <w:r w:rsidRPr="003954D9">
        <w:t xml:space="preserve"> </w:t>
      </w:r>
    </w:p>
    <w:p w14:paraId="4460FB7E" w14:textId="00D6FAD8" w:rsidR="00264DD1" w:rsidRPr="003954D9" w:rsidRDefault="00264DD1" w:rsidP="00264DD1">
      <w:r w:rsidRPr="003954D9">
        <w:t>Bidraget är inkomstprövat och minskas om den bidragsgrundande inkomsten överstiger ett visst belopp. Beloppet är 41 000 kronor för ensamstående och 58 000 kronor för makar eller sambor. Bidraget minskas med en tredjedel av den överskjutande inkomsten.</w:t>
      </w:r>
      <w:r w:rsidRPr="003954D9">
        <w:rPr>
          <w:rStyle w:val="Fotnotsreferens"/>
        </w:rPr>
        <w:footnoteReference w:id="9"/>
      </w:r>
    </w:p>
    <w:p w14:paraId="6FE87DC0" w14:textId="1D106A41" w:rsidR="00264DD1" w:rsidRPr="003954D9" w:rsidRDefault="00264DD1" w:rsidP="001C6CB9">
      <w:pPr>
        <w:pStyle w:val="Rubrik3"/>
      </w:pPr>
      <w:bookmarkStart w:id="178" w:name="_Toc464828435"/>
      <w:r w:rsidRPr="003954D9">
        <w:t xml:space="preserve">Bostadstillägg </w:t>
      </w:r>
      <w:r w:rsidR="001C6CB9" w:rsidRPr="003954D9">
        <w:t xml:space="preserve">särskilt bostadstillägg </w:t>
      </w:r>
      <w:r w:rsidRPr="003954D9">
        <w:t>och äldreförsörjningsstöd</w:t>
      </w:r>
      <w:bookmarkEnd w:id="178"/>
    </w:p>
    <w:p w14:paraId="452D2EF4" w14:textId="237ECBE2" w:rsidR="00264DD1" w:rsidRPr="003954D9" w:rsidRDefault="00264DD1" w:rsidP="00264DD1">
      <w:r w:rsidRPr="003954D9">
        <w:t xml:space="preserve">Totalt omfattar gruppen 65 </w:t>
      </w:r>
      <w:r w:rsidR="00474231">
        <w:t xml:space="preserve">+ </w:t>
      </w:r>
      <w:r w:rsidRPr="003954D9">
        <w:t>år 17 procent av hushållen i undersökningen och 9 procent av personerna</w:t>
      </w:r>
      <w:r w:rsidRPr="003954D9">
        <w:rPr>
          <w:rFonts w:eastAsia="Times New Roman"/>
          <w:lang w:eastAsia="en-US"/>
        </w:rPr>
        <w:t xml:space="preserve">. En ensamstående kan som högst få 5 090 kronor i </w:t>
      </w:r>
      <w:r w:rsidRPr="003954D9">
        <w:rPr>
          <w:rFonts w:eastAsia="Times New Roman"/>
          <w:i/>
          <w:lang w:eastAsia="en-US"/>
        </w:rPr>
        <w:t>bostadstillägg.</w:t>
      </w:r>
      <w:r w:rsidRPr="003954D9">
        <w:rPr>
          <w:rFonts w:eastAsia="Times New Roman"/>
          <w:lang w:eastAsia="en-US"/>
        </w:rPr>
        <w:t xml:space="preserve"> Den boendekostnad som överstiger 5 090 kronor per månad täcks inte av bostadstillägget. Det genomsnittliga beloppet är ca 2 400 kronor per månad. Gift, sambo eller </w:t>
      </w:r>
      <w:r w:rsidR="001C6CB9" w:rsidRPr="003954D9">
        <w:rPr>
          <w:rFonts w:eastAsia="Times New Roman"/>
          <w:lang w:eastAsia="en-US"/>
        </w:rPr>
        <w:t xml:space="preserve">person </w:t>
      </w:r>
      <w:r w:rsidRPr="003954D9">
        <w:rPr>
          <w:rFonts w:eastAsia="Times New Roman"/>
          <w:lang w:eastAsia="en-US"/>
        </w:rPr>
        <w:t>med reg</w:t>
      </w:r>
      <w:r w:rsidR="001C6CB9" w:rsidRPr="003954D9">
        <w:rPr>
          <w:rFonts w:eastAsia="Times New Roman"/>
          <w:lang w:eastAsia="en-US"/>
        </w:rPr>
        <w:t>istrerad partner som lever ihop</w:t>
      </w:r>
      <w:r w:rsidRPr="003954D9">
        <w:rPr>
          <w:rFonts w:eastAsia="Times New Roman"/>
          <w:lang w:eastAsia="en-US"/>
        </w:rPr>
        <w:t xml:space="preserve"> kan som mest få 2 545 kronor per månad i bostadstillägg</w:t>
      </w:r>
      <w:r w:rsidR="00474231">
        <w:rPr>
          <w:rFonts w:eastAsia="Times New Roman"/>
          <w:lang w:eastAsia="en-US"/>
        </w:rPr>
        <w:t>.</w:t>
      </w:r>
      <w:r w:rsidRPr="003954D9">
        <w:rPr>
          <w:rFonts w:eastAsia="Times New Roman"/>
          <w:lang w:eastAsia="en-US"/>
        </w:rPr>
        <w:t xml:space="preserve"> Den boendekostnad som överstiger 5 090 kronor per månad respektive 2 400 kronor täcks inte av bostadstillägget. I normalfallet kan ensamstående ha rätt till bostadstillägg om månadsinkomsten är cirka 13 000 kronor efter skatt eller lägre. För gifta gäller andra belopp.</w:t>
      </w:r>
    </w:p>
    <w:p w14:paraId="716F1862" w14:textId="7AE5D064" w:rsidR="00264DD1" w:rsidRPr="003954D9" w:rsidRDefault="00264DD1" w:rsidP="00985016">
      <w:pPr>
        <w:spacing w:before="120"/>
      </w:pPr>
      <w:r w:rsidRPr="003954D9">
        <w:t xml:space="preserve">Vid låga eller inga inkomster finns särskilt bostadstillägg och äldreförsörjningsstöd. </w:t>
      </w:r>
      <w:r w:rsidR="00474231">
        <w:t>För att få det ska e</w:t>
      </w:r>
      <w:r w:rsidRPr="003954D9">
        <w:t xml:space="preserve">n ensamstående ha </w:t>
      </w:r>
      <w:r w:rsidR="00474231">
        <w:t xml:space="preserve">högst </w:t>
      </w:r>
      <w:r w:rsidRPr="003954D9">
        <w:t>5 438 kronor per månad (2016) kvar att leva på när hyran är betald. För gifta, samboende eller personer med registrerad partner är beloppet 4 445 kronor per månad. Dessa belopp är gränser för så kallad skälig levnadsnivå och räknas om varje år.</w:t>
      </w:r>
    </w:p>
    <w:p w14:paraId="4E076E52" w14:textId="6E59611C" w:rsidR="00264DD1" w:rsidRPr="003954D9" w:rsidRDefault="00264DD1" w:rsidP="00985016">
      <w:pPr>
        <w:spacing w:before="120"/>
      </w:pPr>
      <w:r w:rsidRPr="003954D9">
        <w:t>Taket för särskilt bostadstillägg är 6 200 kronor för ensamstående, och 3 100 kronor för sambo eller registrerad partner. En höjning från en nuvarande hyra på 5 500 till 6 875 (25 procent) innebär att det särskilda bostadstillägget höjs, men bara upp till 6 200. Hamnar pensionären under skälig levnadsnivå beroende på de 675 kronorna utöver 6 200 ges ingen kompensation genom bostadstillägget, men däremot genom äldreförsörjningsstödet.</w:t>
      </w:r>
      <w:r w:rsidRPr="003954D9">
        <w:rPr>
          <w:rStyle w:val="Fotnotsreferens"/>
        </w:rPr>
        <w:footnoteReference w:id="10"/>
      </w:r>
      <w:r w:rsidRPr="003954D9">
        <w:t xml:space="preserve"> </w:t>
      </w:r>
    </w:p>
    <w:p w14:paraId="03EDDFD9" w14:textId="681B94B4" w:rsidR="00264DD1" w:rsidRPr="003954D9" w:rsidRDefault="00264DD1" w:rsidP="00985016">
      <w:pPr>
        <w:pStyle w:val="Liststycke"/>
        <w:numPr>
          <w:ilvl w:val="0"/>
          <w:numId w:val="15"/>
        </w:numPr>
        <w:spacing w:before="120"/>
        <w:ind w:left="714" w:hanging="357"/>
      </w:pPr>
      <w:r w:rsidRPr="003954D9">
        <w:lastRenderedPageBreak/>
        <w:t xml:space="preserve">I undersökningen var år 2014 medelvärdet för disponibel inkomst för personer </w:t>
      </w:r>
      <w:r w:rsidR="00365C66" w:rsidRPr="003954D9">
        <w:t>65-år</w:t>
      </w:r>
      <w:r w:rsidRPr="003954D9">
        <w:t xml:space="preserve"> 14 010 kronor. Det motsvarade en månadsinkomst på cirka 18 300 före skatt enligt skattetabellen för Göteborgs kommun 2014. </w:t>
      </w:r>
    </w:p>
    <w:p w14:paraId="57B1480B" w14:textId="77777777" w:rsidR="00264DD1" w:rsidRPr="003954D9" w:rsidRDefault="00264DD1" w:rsidP="00264DD1">
      <w:pPr>
        <w:pStyle w:val="Liststycke"/>
        <w:numPr>
          <w:ilvl w:val="0"/>
          <w:numId w:val="15"/>
        </w:numPr>
      </w:pPr>
      <w:r w:rsidRPr="003954D9">
        <w:t xml:space="preserve">För pensionärer med en månadsinkomst före skatt som överstiger 16 500 utgår inget bostadstillägg, enligt de beräkningar vi gjort på Pensionsmyndighetens hemsida. Efter skatt återstod vid denna inkomst 12 830 kronor. </w:t>
      </w:r>
    </w:p>
    <w:p w14:paraId="4725C163" w14:textId="77777777" w:rsidR="00264DD1" w:rsidRPr="003954D9" w:rsidRDefault="00264DD1" w:rsidP="00264DD1">
      <w:pPr>
        <w:pStyle w:val="Liststycke"/>
        <w:numPr>
          <w:ilvl w:val="0"/>
          <w:numId w:val="15"/>
        </w:numPr>
      </w:pPr>
      <w:r w:rsidRPr="003954D9">
        <w:t xml:space="preserve">Med en 50-procentig hyreshöjning blir hyran 7 838 konor i månaden, alltså en höjning med 2 613 kronor i månaden, långt över den maximala hyra som bidrag kan utgå till.  </w:t>
      </w:r>
    </w:p>
    <w:p w14:paraId="0E78C251" w14:textId="62425216" w:rsidR="00264DD1" w:rsidRPr="003954D9" w:rsidRDefault="00264DD1" w:rsidP="00264DD1">
      <w:pPr>
        <w:pStyle w:val="Liststycke"/>
        <w:numPr>
          <w:ilvl w:val="0"/>
          <w:numId w:val="15"/>
        </w:numPr>
      </w:pPr>
      <w:r w:rsidRPr="003954D9">
        <w:t xml:space="preserve">Om en pensionär har en inkomst före skatt på 12 500 (årsinkomst 150 000) och en hyra på 5 400 får </w:t>
      </w:r>
      <w:r w:rsidR="00777212">
        <w:t>pensionären</w:t>
      </w:r>
      <w:r w:rsidRPr="003954D9">
        <w:t xml:space="preserve"> 2 400 i bostadstillägg. Om hyran höjs till 7 838 kronor förblir bostadstillägget oförändrat. </w:t>
      </w:r>
    </w:p>
    <w:p w14:paraId="671187EC" w14:textId="0502E178" w:rsidR="00264DD1" w:rsidRPr="003954D9" w:rsidRDefault="00264DD1" w:rsidP="00985016">
      <w:pPr>
        <w:spacing w:before="120"/>
      </w:pPr>
      <w:r w:rsidRPr="003954D9">
        <w:t xml:space="preserve">Även om </w:t>
      </w:r>
      <w:r w:rsidR="00777212">
        <w:t xml:space="preserve">vi inte med säkerhet kan säga om </w:t>
      </w:r>
      <w:r w:rsidRPr="003954D9">
        <w:t xml:space="preserve">en pensionär </w:t>
      </w:r>
      <w:r w:rsidR="00777212">
        <w:t xml:space="preserve">riskerar </w:t>
      </w:r>
      <w:r w:rsidRPr="003954D9">
        <w:t xml:space="preserve">hamna </w:t>
      </w:r>
      <w:r w:rsidR="00777212">
        <w:t>i</w:t>
      </w:r>
      <w:r w:rsidRPr="003954D9">
        <w:t xml:space="preserve"> riskzonen, kan </w:t>
      </w:r>
      <w:r w:rsidR="00777212">
        <w:t xml:space="preserve">tabellen nedan </w:t>
      </w:r>
      <w:r w:rsidRPr="003954D9">
        <w:t>ge viss vägledning</w:t>
      </w:r>
      <w:r w:rsidR="00777212">
        <w:t xml:space="preserve">. Där </w:t>
      </w:r>
      <w:r w:rsidRPr="003954D9">
        <w:t>redovisa</w:t>
      </w:r>
      <w:r w:rsidR="00777212">
        <w:t>s</w:t>
      </w:r>
      <w:r w:rsidRPr="003954D9">
        <w:t xml:space="preserve"> hyrorna i de olika stadsdelarna efter hyreshöjningar. Hyror över 6 200 kronor i månaden är markerade med fetstil. Hyror över 5 000 är markerade med kursiverad stil. Se tabell 7:1!</w:t>
      </w:r>
    </w:p>
    <w:p w14:paraId="26984F3D" w14:textId="77777777" w:rsidR="00264DD1" w:rsidRPr="003954D9" w:rsidRDefault="00264DD1" w:rsidP="00264DD1">
      <w:pPr>
        <w:pStyle w:val="Rubrik5"/>
      </w:pPr>
      <w:r w:rsidRPr="003954D9">
        <w:t>Tabell 7:1: Hyror för ensamboende utan barn 65 – år, hyreshöjningar och stadsdelar - medelvärden</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
        <w:gridCol w:w="708"/>
        <w:gridCol w:w="851"/>
        <w:gridCol w:w="850"/>
        <w:gridCol w:w="725"/>
        <w:gridCol w:w="902"/>
        <w:gridCol w:w="886"/>
        <w:gridCol w:w="837"/>
        <w:gridCol w:w="871"/>
        <w:gridCol w:w="968"/>
        <w:gridCol w:w="871"/>
      </w:tblGrid>
      <w:tr w:rsidR="00264DD1" w:rsidRPr="003954D9" w14:paraId="6C5D8C97" w14:textId="77777777" w:rsidTr="00F34AB3">
        <w:trPr>
          <w:trHeight w:val="227"/>
        </w:trPr>
        <w:tc>
          <w:tcPr>
            <w:tcW w:w="1023" w:type="dxa"/>
          </w:tcPr>
          <w:p w14:paraId="3C249D38" w14:textId="77777777" w:rsidR="00264DD1" w:rsidRPr="003954D9" w:rsidRDefault="00264DD1" w:rsidP="00F34AB3">
            <w:pPr>
              <w:autoSpaceDE w:val="0"/>
              <w:autoSpaceDN w:val="0"/>
              <w:adjustRightInd w:val="0"/>
              <w:jc w:val="right"/>
              <w:rPr>
                <w:rFonts w:ascii="Calibri" w:hAnsi="Calibri" w:cs="Calibri"/>
                <w:b/>
                <w:color w:val="000000"/>
                <w:sz w:val="16"/>
                <w:szCs w:val="16"/>
              </w:rPr>
            </w:pPr>
          </w:p>
        </w:tc>
        <w:tc>
          <w:tcPr>
            <w:tcW w:w="708" w:type="dxa"/>
          </w:tcPr>
          <w:p w14:paraId="63B040D0"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Angered</w:t>
            </w:r>
          </w:p>
        </w:tc>
        <w:tc>
          <w:tcPr>
            <w:tcW w:w="851" w:type="dxa"/>
          </w:tcPr>
          <w:p w14:paraId="7BB352BC"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Askim-Frölunda-Högsbo</w:t>
            </w:r>
          </w:p>
        </w:tc>
        <w:tc>
          <w:tcPr>
            <w:tcW w:w="850" w:type="dxa"/>
          </w:tcPr>
          <w:p w14:paraId="2979FB12"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Centrum</w:t>
            </w:r>
          </w:p>
        </w:tc>
        <w:tc>
          <w:tcPr>
            <w:tcW w:w="725" w:type="dxa"/>
          </w:tcPr>
          <w:p w14:paraId="47A1B648"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Lundby</w:t>
            </w:r>
          </w:p>
        </w:tc>
        <w:tc>
          <w:tcPr>
            <w:tcW w:w="902" w:type="dxa"/>
          </w:tcPr>
          <w:p w14:paraId="21DAD2B5"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Majorna-Linne</w:t>
            </w:r>
          </w:p>
        </w:tc>
        <w:tc>
          <w:tcPr>
            <w:tcW w:w="886" w:type="dxa"/>
          </w:tcPr>
          <w:p w14:paraId="62D22878"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Norra Hisingen</w:t>
            </w:r>
          </w:p>
        </w:tc>
        <w:tc>
          <w:tcPr>
            <w:tcW w:w="837" w:type="dxa"/>
          </w:tcPr>
          <w:p w14:paraId="33675EB5"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Västra Hisingen</w:t>
            </w:r>
          </w:p>
        </w:tc>
        <w:tc>
          <w:tcPr>
            <w:tcW w:w="871" w:type="dxa"/>
          </w:tcPr>
          <w:p w14:paraId="1FA91ACD"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Örgryte-Härlanda</w:t>
            </w:r>
          </w:p>
        </w:tc>
        <w:tc>
          <w:tcPr>
            <w:tcW w:w="968" w:type="dxa"/>
          </w:tcPr>
          <w:p w14:paraId="3575E42B"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Västra Göteborg</w:t>
            </w:r>
          </w:p>
        </w:tc>
        <w:tc>
          <w:tcPr>
            <w:tcW w:w="871" w:type="dxa"/>
          </w:tcPr>
          <w:p w14:paraId="06BF1A38"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Östra Göteborg</w:t>
            </w:r>
          </w:p>
        </w:tc>
      </w:tr>
      <w:tr w:rsidR="00264DD1" w:rsidRPr="003954D9" w14:paraId="7011CDA6" w14:textId="77777777" w:rsidTr="00F34AB3">
        <w:trPr>
          <w:trHeight w:val="227"/>
        </w:trPr>
        <w:tc>
          <w:tcPr>
            <w:tcW w:w="1023" w:type="dxa"/>
          </w:tcPr>
          <w:p w14:paraId="5BE76A2D"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Idag</w:t>
            </w:r>
          </w:p>
        </w:tc>
        <w:tc>
          <w:tcPr>
            <w:tcW w:w="708" w:type="dxa"/>
          </w:tcPr>
          <w:p w14:paraId="57E11AC9"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4 785</w:t>
            </w:r>
          </w:p>
        </w:tc>
        <w:tc>
          <w:tcPr>
            <w:tcW w:w="851" w:type="dxa"/>
          </w:tcPr>
          <w:p w14:paraId="71CD7412"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5 710</w:t>
            </w:r>
          </w:p>
        </w:tc>
        <w:tc>
          <w:tcPr>
            <w:tcW w:w="850" w:type="dxa"/>
          </w:tcPr>
          <w:p w14:paraId="71EADBAF"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5 609</w:t>
            </w:r>
          </w:p>
        </w:tc>
        <w:tc>
          <w:tcPr>
            <w:tcW w:w="725" w:type="dxa"/>
          </w:tcPr>
          <w:p w14:paraId="59FAC03C"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4 218</w:t>
            </w:r>
          </w:p>
        </w:tc>
        <w:tc>
          <w:tcPr>
            <w:tcW w:w="902" w:type="dxa"/>
          </w:tcPr>
          <w:p w14:paraId="03AD9AC9"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5 732</w:t>
            </w:r>
          </w:p>
        </w:tc>
        <w:tc>
          <w:tcPr>
            <w:tcW w:w="886" w:type="dxa"/>
          </w:tcPr>
          <w:p w14:paraId="3617D475"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5 012</w:t>
            </w:r>
          </w:p>
        </w:tc>
        <w:tc>
          <w:tcPr>
            <w:tcW w:w="837" w:type="dxa"/>
          </w:tcPr>
          <w:p w14:paraId="4B3E5243"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4 848</w:t>
            </w:r>
          </w:p>
        </w:tc>
        <w:tc>
          <w:tcPr>
            <w:tcW w:w="871" w:type="dxa"/>
          </w:tcPr>
          <w:p w14:paraId="30E6B24D"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5 571</w:t>
            </w:r>
          </w:p>
        </w:tc>
        <w:tc>
          <w:tcPr>
            <w:tcW w:w="968" w:type="dxa"/>
          </w:tcPr>
          <w:p w14:paraId="1D530546"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5 675</w:t>
            </w:r>
          </w:p>
        </w:tc>
        <w:tc>
          <w:tcPr>
            <w:tcW w:w="871" w:type="dxa"/>
          </w:tcPr>
          <w:p w14:paraId="14FE04FB"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4 765</w:t>
            </w:r>
          </w:p>
        </w:tc>
      </w:tr>
      <w:tr w:rsidR="00264DD1" w:rsidRPr="003954D9" w14:paraId="78AED8EB" w14:textId="77777777" w:rsidTr="00F34AB3">
        <w:trPr>
          <w:trHeight w:val="227"/>
        </w:trPr>
        <w:tc>
          <w:tcPr>
            <w:tcW w:w="1023" w:type="dxa"/>
          </w:tcPr>
          <w:p w14:paraId="760B498B"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Höjning 5procent</w:t>
            </w:r>
          </w:p>
        </w:tc>
        <w:tc>
          <w:tcPr>
            <w:tcW w:w="708" w:type="dxa"/>
          </w:tcPr>
          <w:p w14:paraId="2A115D99"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5 024</w:t>
            </w:r>
          </w:p>
        </w:tc>
        <w:tc>
          <w:tcPr>
            <w:tcW w:w="851" w:type="dxa"/>
          </w:tcPr>
          <w:p w14:paraId="7740730C"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5 996</w:t>
            </w:r>
          </w:p>
        </w:tc>
        <w:tc>
          <w:tcPr>
            <w:tcW w:w="850" w:type="dxa"/>
          </w:tcPr>
          <w:p w14:paraId="7E8A8399"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5 890</w:t>
            </w:r>
          </w:p>
        </w:tc>
        <w:tc>
          <w:tcPr>
            <w:tcW w:w="725" w:type="dxa"/>
          </w:tcPr>
          <w:p w14:paraId="22E788AF" w14:textId="77777777" w:rsidR="00264DD1" w:rsidRPr="003954D9" w:rsidRDefault="00264DD1" w:rsidP="00F34AB3">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4 429</w:t>
            </w:r>
          </w:p>
        </w:tc>
        <w:tc>
          <w:tcPr>
            <w:tcW w:w="902" w:type="dxa"/>
          </w:tcPr>
          <w:p w14:paraId="27735E0B"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6 019</w:t>
            </w:r>
          </w:p>
        </w:tc>
        <w:tc>
          <w:tcPr>
            <w:tcW w:w="886" w:type="dxa"/>
          </w:tcPr>
          <w:p w14:paraId="0FEB95E1"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5 263</w:t>
            </w:r>
          </w:p>
        </w:tc>
        <w:tc>
          <w:tcPr>
            <w:tcW w:w="837" w:type="dxa"/>
          </w:tcPr>
          <w:p w14:paraId="5BE18FF6"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5 091</w:t>
            </w:r>
          </w:p>
        </w:tc>
        <w:tc>
          <w:tcPr>
            <w:tcW w:w="871" w:type="dxa"/>
          </w:tcPr>
          <w:p w14:paraId="775CA52F"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5 849</w:t>
            </w:r>
          </w:p>
        </w:tc>
        <w:tc>
          <w:tcPr>
            <w:tcW w:w="968" w:type="dxa"/>
          </w:tcPr>
          <w:p w14:paraId="3839ED97"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5 959</w:t>
            </w:r>
          </w:p>
        </w:tc>
        <w:tc>
          <w:tcPr>
            <w:tcW w:w="871" w:type="dxa"/>
          </w:tcPr>
          <w:p w14:paraId="215C9AE4"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5 003</w:t>
            </w:r>
          </w:p>
        </w:tc>
      </w:tr>
      <w:tr w:rsidR="00264DD1" w:rsidRPr="003954D9" w14:paraId="3DB40AF0" w14:textId="77777777" w:rsidTr="00F34AB3">
        <w:trPr>
          <w:trHeight w:val="227"/>
        </w:trPr>
        <w:tc>
          <w:tcPr>
            <w:tcW w:w="1023" w:type="dxa"/>
          </w:tcPr>
          <w:p w14:paraId="66C4A322"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Höjning 25procent</w:t>
            </w:r>
          </w:p>
        </w:tc>
        <w:tc>
          <w:tcPr>
            <w:tcW w:w="708" w:type="dxa"/>
          </w:tcPr>
          <w:p w14:paraId="20B3419F"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5 981</w:t>
            </w:r>
          </w:p>
        </w:tc>
        <w:tc>
          <w:tcPr>
            <w:tcW w:w="851" w:type="dxa"/>
          </w:tcPr>
          <w:p w14:paraId="17E92451"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7 138</w:t>
            </w:r>
          </w:p>
        </w:tc>
        <w:tc>
          <w:tcPr>
            <w:tcW w:w="850" w:type="dxa"/>
          </w:tcPr>
          <w:p w14:paraId="6622E9B3"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7 012</w:t>
            </w:r>
          </w:p>
        </w:tc>
        <w:tc>
          <w:tcPr>
            <w:tcW w:w="725" w:type="dxa"/>
          </w:tcPr>
          <w:p w14:paraId="646C73A8"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5 273</w:t>
            </w:r>
          </w:p>
        </w:tc>
        <w:tc>
          <w:tcPr>
            <w:tcW w:w="902" w:type="dxa"/>
          </w:tcPr>
          <w:p w14:paraId="2F9DE8FF"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7 165</w:t>
            </w:r>
          </w:p>
        </w:tc>
        <w:tc>
          <w:tcPr>
            <w:tcW w:w="886" w:type="dxa"/>
          </w:tcPr>
          <w:p w14:paraId="580046DE"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6 265</w:t>
            </w:r>
          </w:p>
        </w:tc>
        <w:tc>
          <w:tcPr>
            <w:tcW w:w="837" w:type="dxa"/>
          </w:tcPr>
          <w:p w14:paraId="1DAB9063" w14:textId="77777777" w:rsidR="00264DD1" w:rsidRPr="003954D9" w:rsidRDefault="00264DD1" w:rsidP="00F34AB3">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6 060</w:t>
            </w:r>
          </w:p>
        </w:tc>
        <w:tc>
          <w:tcPr>
            <w:tcW w:w="871" w:type="dxa"/>
          </w:tcPr>
          <w:p w14:paraId="59CEE25B"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6 963</w:t>
            </w:r>
          </w:p>
        </w:tc>
        <w:tc>
          <w:tcPr>
            <w:tcW w:w="968" w:type="dxa"/>
          </w:tcPr>
          <w:p w14:paraId="70CEA655"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7 093</w:t>
            </w:r>
          </w:p>
        </w:tc>
        <w:tc>
          <w:tcPr>
            <w:tcW w:w="871" w:type="dxa"/>
          </w:tcPr>
          <w:p w14:paraId="42CFEC96"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5 956</w:t>
            </w:r>
          </w:p>
        </w:tc>
      </w:tr>
      <w:tr w:rsidR="00264DD1" w:rsidRPr="003954D9" w14:paraId="12B10B16" w14:textId="77777777" w:rsidTr="00F34AB3">
        <w:trPr>
          <w:trHeight w:val="227"/>
        </w:trPr>
        <w:tc>
          <w:tcPr>
            <w:tcW w:w="1023" w:type="dxa"/>
          </w:tcPr>
          <w:p w14:paraId="3F1467DD" w14:textId="77777777" w:rsidR="00264DD1" w:rsidRPr="003954D9" w:rsidRDefault="00264DD1" w:rsidP="00F34AB3">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Höjning 50procent</w:t>
            </w:r>
          </w:p>
        </w:tc>
        <w:tc>
          <w:tcPr>
            <w:tcW w:w="708" w:type="dxa"/>
          </w:tcPr>
          <w:p w14:paraId="0CE1587D"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7 177</w:t>
            </w:r>
          </w:p>
        </w:tc>
        <w:tc>
          <w:tcPr>
            <w:tcW w:w="851" w:type="dxa"/>
          </w:tcPr>
          <w:p w14:paraId="3C0C66A9"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8 565</w:t>
            </w:r>
          </w:p>
        </w:tc>
        <w:tc>
          <w:tcPr>
            <w:tcW w:w="850" w:type="dxa"/>
          </w:tcPr>
          <w:p w14:paraId="42CB4486"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8 414</w:t>
            </w:r>
          </w:p>
        </w:tc>
        <w:tc>
          <w:tcPr>
            <w:tcW w:w="725" w:type="dxa"/>
          </w:tcPr>
          <w:p w14:paraId="0B10AE70"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6 328</w:t>
            </w:r>
          </w:p>
        </w:tc>
        <w:tc>
          <w:tcPr>
            <w:tcW w:w="902" w:type="dxa"/>
          </w:tcPr>
          <w:p w14:paraId="1A00A56E"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8 598</w:t>
            </w:r>
          </w:p>
        </w:tc>
        <w:tc>
          <w:tcPr>
            <w:tcW w:w="886" w:type="dxa"/>
          </w:tcPr>
          <w:p w14:paraId="25D71CEB"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7 518</w:t>
            </w:r>
          </w:p>
        </w:tc>
        <w:tc>
          <w:tcPr>
            <w:tcW w:w="837" w:type="dxa"/>
          </w:tcPr>
          <w:p w14:paraId="487D2070"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7 273</w:t>
            </w:r>
          </w:p>
        </w:tc>
        <w:tc>
          <w:tcPr>
            <w:tcW w:w="871" w:type="dxa"/>
          </w:tcPr>
          <w:p w14:paraId="035243F4"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8 356</w:t>
            </w:r>
          </w:p>
        </w:tc>
        <w:tc>
          <w:tcPr>
            <w:tcW w:w="968" w:type="dxa"/>
          </w:tcPr>
          <w:p w14:paraId="0605A443"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8 512</w:t>
            </w:r>
          </w:p>
        </w:tc>
        <w:tc>
          <w:tcPr>
            <w:tcW w:w="871" w:type="dxa"/>
          </w:tcPr>
          <w:p w14:paraId="217B4FCC" w14:textId="77777777" w:rsidR="00264DD1" w:rsidRPr="003954D9" w:rsidRDefault="00264DD1" w:rsidP="00F34AB3">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7 148</w:t>
            </w:r>
          </w:p>
        </w:tc>
      </w:tr>
    </w:tbl>
    <w:p w14:paraId="2D03083F" w14:textId="77777777" w:rsidR="00264DD1" w:rsidRPr="003954D9" w:rsidRDefault="00264DD1" w:rsidP="00264DD1"/>
    <w:p w14:paraId="68603263" w14:textId="77777777" w:rsidR="00264DD1" w:rsidRPr="003954D9" w:rsidRDefault="00264DD1" w:rsidP="00264DD1">
      <w:r w:rsidRPr="003954D9">
        <w:t>Enligt vår bedömning är inverkan av de olika typerna av bidrag begränsad i synnerhet vid en hyreshöjning på 50 procent. Dessutom kommer det att finnas hushåll som inte ansöker om bostadstillägg även om de är berättigade till stöd i någon form.</w:t>
      </w:r>
    </w:p>
    <w:p w14:paraId="451A59DF" w14:textId="74457FB4" w:rsidR="00CE29A8" w:rsidRPr="003954D9" w:rsidRDefault="00CE29A8" w:rsidP="00CE29A8">
      <w:pPr>
        <w:pStyle w:val="Rubrik2"/>
      </w:pPr>
      <w:r w:rsidRPr="003954D9">
        <w:t>Försörjningsstöd</w:t>
      </w:r>
    </w:p>
    <w:p w14:paraId="7FDA4236" w14:textId="77777777" w:rsidR="00514AFE" w:rsidRDefault="00CE29A8" w:rsidP="00777212">
      <w:pPr>
        <w:spacing w:before="120"/>
      </w:pPr>
      <w:r w:rsidRPr="003954D9">
        <w:t xml:space="preserve">Några uppgifter om ökat försörjningsstöd går inte att räkna fram inom ramen för undersökningen. Vad som finns är uppgifter från Uppsala, där standardhöjande åtgärder ledder till att försörjningsstödet i två områden ökade med 555 000 kr för 189 hushåll första halvåret 2014. Det förekom också att hushåll med försörjningsstöd flyttade till lägenheter med högre hyror </w:t>
      </w:r>
      <w:r w:rsidR="00777212">
        <w:t xml:space="preserve">än de hade före åtgärderna </w:t>
      </w:r>
      <w:r w:rsidRPr="003954D9">
        <w:t>och därmed också högre försörjningsstöd.</w:t>
      </w:r>
      <w:r w:rsidRPr="003954D9">
        <w:rPr>
          <w:rStyle w:val="Fotnotsreferens"/>
        </w:rPr>
        <w:footnoteReference w:id="11"/>
      </w:r>
      <w:r w:rsidRPr="003954D9">
        <w:t xml:space="preserve"> </w:t>
      </w:r>
    </w:p>
    <w:p w14:paraId="08789BF1" w14:textId="3D0BFEFA" w:rsidR="00777212" w:rsidRPr="003954D9" w:rsidRDefault="00777212" w:rsidP="00777212">
      <w:pPr>
        <w:spacing w:before="120"/>
        <w:rPr>
          <w:vertAlign w:val="superscript"/>
        </w:rPr>
      </w:pPr>
      <w:r w:rsidRPr="005434A5">
        <w:t>Enligt Boverket</w:t>
      </w:r>
      <w:r w:rsidR="00514AFE" w:rsidRPr="005434A5">
        <w:t>s undersökning</w:t>
      </w:r>
      <w:r w:rsidRPr="005434A5">
        <w:t xml:space="preserve"> </w:t>
      </w:r>
      <w:r w:rsidR="00514AFE" w:rsidRPr="005434A5">
        <w:t xml:space="preserve">leder standardhöjande åtgärder till ökade kostnader för samhället i form av bostadsbidrag och försörjningsstöd för dem som bor kvar, men även för dem som ökar samhällets kostnader för stöden eftersom de tvingas flytta till lägenheter med högre hyra. Ökade transfereringar i form av bostadsbidrag, bostadstillägg och försörjningsstöd anses dämpa benägenheten att flytta. Men som vi sett i denna undersökning tycks inverkan av transfereringarna vara synnerligen begränsad. Boverksrapporten poängterar att </w:t>
      </w:r>
      <w:r w:rsidRPr="005434A5">
        <w:t xml:space="preserve">hushåll med låg arbetsinkomst utan möjlighet till ekonomiskt bistånd </w:t>
      </w:r>
      <w:r w:rsidR="00514AFE" w:rsidRPr="005434A5">
        <w:t xml:space="preserve">är </w:t>
      </w:r>
      <w:r w:rsidRPr="005434A5">
        <w:t>särskilt känsliga för en förändring i boendekostnad och mer benägna att flytta.</w:t>
      </w:r>
      <w:r w:rsidRPr="005434A5">
        <w:rPr>
          <w:vertAlign w:val="superscript"/>
        </w:rPr>
        <w:footnoteReference w:id="12"/>
      </w:r>
      <w:r w:rsidRPr="003954D9">
        <w:rPr>
          <w:vertAlign w:val="superscript"/>
        </w:rPr>
        <w:t xml:space="preserve"> </w:t>
      </w:r>
    </w:p>
    <w:p w14:paraId="3C676EB2" w14:textId="77777777" w:rsidR="00514AFE" w:rsidRPr="003954D9" w:rsidRDefault="00514AFE" w:rsidP="00777212">
      <w:pPr>
        <w:spacing w:before="120"/>
        <w:rPr>
          <w:vertAlign w:val="superscript"/>
        </w:rPr>
      </w:pPr>
    </w:p>
    <w:p w14:paraId="026B4525" w14:textId="1B3BF103" w:rsidR="002B6AAB" w:rsidRPr="003954D9" w:rsidRDefault="00B17785" w:rsidP="00337BA8">
      <w:pPr>
        <w:pStyle w:val="Rubrik1"/>
      </w:pPr>
      <w:bookmarkStart w:id="179" w:name="_Toc464828436"/>
      <w:bookmarkStart w:id="180" w:name="_Toc467818483"/>
      <w:bookmarkStart w:id="181" w:name="_Toc468614369"/>
      <w:r w:rsidRPr="003954D9">
        <w:lastRenderedPageBreak/>
        <w:t>8</w:t>
      </w:r>
      <w:r w:rsidR="00337BA8" w:rsidRPr="003954D9">
        <w:t xml:space="preserve">. </w:t>
      </w:r>
      <w:r w:rsidR="002B6AAB" w:rsidRPr="003954D9">
        <w:t>Höjda hyror och flyttar</w:t>
      </w:r>
      <w:bookmarkEnd w:id="174"/>
      <w:bookmarkEnd w:id="175"/>
      <w:bookmarkEnd w:id="176"/>
      <w:bookmarkEnd w:id="177"/>
      <w:r w:rsidR="004B2FC7" w:rsidRPr="003954D9">
        <w:t xml:space="preserve"> i andra rapporter</w:t>
      </w:r>
      <w:bookmarkEnd w:id="179"/>
      <w:bookmarkEnd w:id="180"/>
      <w:bookmarkEnd w:id="181"/>
    </w:p>
    <w:p w14:paraId="68485E4D" w14:textId="77777777" w:rsidR="002B6AAB" w:rsidRPr="003954D9" w:rsidRDefault="002B6AAB" w:rsidP="00337BA8">
      <w:pPr>
        <w:pStyle w:val="Rubrik2"/>
      </w:pPr>
      <w:bookmarkStart w:id="182" w:name="_Toc333796238"/>
      <w:bookmarkStart w:id="183" w:name="_Toc333800769"/>
      <w:bookmarkStart w:id="184" w:name="_Toc333800887"/>
      <w:bookmarkStart w:id="185" w:name="_Toc463184429"/>
      <w:bookmarkStart w:id="186" w:name="_Toc464828437"/>
      <w:r w:rsidRPr="003954D9">
        <w:t>Hyreshöjningar</w:t>
      </w:r>
      <w:bookmarkEnd w:id="182"/>
      <w:bookmarkEnd w:id="183"/>
      <w:bookmarkEnd w:id="184"/>
      <w:bookmarkEnd w:id="185"/>
      <w:bookmarkEnd w:id="186"/>
      <w:r w:rsidRPr="003954D9">
        <w:t xml:space="preserve"> </w:t>
      </w:r>
    </w:p>
    <w:p w14:paraId="74094426" w14:textId="18C3E8BF" w:rsidR="00514AFE" w:rsidRPr="003C67E4" w:rsidRDefault="00B136D0" w:rsidP="003C67E4">
      <w:r w:rsidRPr="003954D9">
        <w:t xml:space="preserve">Hyreshöjningarna i samband med standardhöjande åtgärder kan bli mycket kännbara. En sammanställning av hyrorna efter standardhöjande åtgärder </w:t>
      </w:r>
      <w:r w:rsidR="00514AFE">
        <w:t xml:space="preserve">i hela landet </w:t>
      </w:r>
      <w:r w:rsidR="00365C66" w:rsidRPr="003954D9">
        <w:t>2013–2015</w:t>
      </w:r>
      <w:r w:rsidRPr="003954D9">
        <w:t xml:space="preserve"> visar att hyreshöjningarna </w:t>
      </w:r>
      <w:r w:rsidR="00514AFE" w:rsidRPr="003954D9">
        <w:t xml:space="preserve">i Göteborgsområdet </w:t>
      </w:r>
      <w:r w:rsidRPr="003954D9">
        <w:t xml:space="preserve">varierade mellan 11 och 75 procent. </w:t>
      </w:r>
      <w:r w:rsidR="003C67E4" w:rsidRPr="003C67E4">
        <w:t>Huvuddelen av hyreshöjningarna ligger på 45–55 procent</w:t>
      </w:r>
      <w:r w:rsidR="003C67E4">
        <w:t>.</w:t>
      </w:r>
      <w:r w:rsidR="003C67E4" w:rsidRPr="003C67E4">
        <w:t xml:space="preserve"> F</w:t>
      </w:r>
      <w:r w:rsidR="00387126" w:rsidRPr="003954D9">
        <w:t xml:space="preserve">ör en trea motsvarade höjningen 2 660 kr i månaden och den nya hyran </w:t>
      </w:r>
      <w:r w:rsidR="009E65FB">
        <w:t xml:space="preserve">var </w:t>
      </w:r>
      <w:r w:rsidR="00387126" w:rsidRPr="003954D9">
        <w:t xml:space="preserve">7 805 kr. </w:t>
      </w:r>
    </w:p>
    <w:p w14:paraId="222EDB3D" w14:textId="16306830" w:rsidR="00387126" w:rsidRPr="003954D9" w:rsidRDefault="00387126" w:rsidP="00387126">
      <w:pPr>
        <w:rPr>
          <w:i/>
        </w:rPr>
      </w:pPr>
      <w:r w:rsidRPr="003954D9">
        <w:t>I hela landet höjdes hyrorna i genomsnitt per projekt med 37 procent eller 324 kr/kvm/år, vilket motsvarar en höjning på 1</w:t>
      </w:r>
      <w:r w:rsidR="009E65FB">
        <w:t xml:space="preserve"> </w:t>
      </w:r>
      <w:r w:rsidRPr="003954D9">
        <w:t>890 kronor i månaden för en trea på 70 kvm. Den nya totalhyran låg på cirka 7 0</w:t>
      </w:r>
      <w:r w:rsidR="009E65FB">
        <w:t>30</w:t>
      </w:r>
      <w:r w:rsidRPr="003954D9">
        <w:t xml:space="preserve"> kr i månaden (för fyra av projekten i Göteborg angavs en spridning på hyreshöjningarna mellan 40–52 procent, vilket betyder att siffrorna inte är helt exakta</w:t>
      </w:r>
      <w:r w:rsidRPr="003954D9">
        <w:rPr>
          <w:i/>
        </w:rPr>
        <w:t>)</w:t>
      </w:r>
      <w:r w:rsidRPr="003954D9">
        <w:t>.</w:t>
      </w:r>
      <w:r w:rsidRPr="003954D9">
        <w:rPr>
          <w:rStyle w:val="Fotnotsreferens"/>
        </w:rPr>
        <w:footnoteReference w:id="13"/>
      </w:r>
      <w:r w:rsidRPr="003954D9">
        <w:t xml:space="preserve"> </w:t>
      </w:r>
    </w:p>
    <w:p w14:paraId="0D37E167" w14:textId="193EE685" w:rsidR="00BA3702" w:rsidRPr="003954D9" w:rsidRDefault="002B6AAB" w:rsidP="00985016">
      <w:pPr>
        <w:spacing w:before="120"/>
      </w:pPr>
      <w:r w:rsidRPr="003954D9">
        <w:t>Det finns en stor variation i hur stora hyreshöjningar</w:t>
      </w:r>
      <w:r w:rsidR="00BA3702" w:rsidRPr="003954D9">
        <w:t>na</w:t>
      </w:r>
      <w:r w:rsidRPr="003954D9">
        <w:t xml:space="preserve"> kan bli. Hyresgästföreningens tidning </w:t>
      </w:r>
      <w:r w:rsidRPr="0019296F">
        <w:rPr>
          <w:i/>
        </w:rPr>
        <w:t>Hem &amp; Hyra</w:t>
      </w:r>
      <w:r w:rsidRPr="003954D9">
        <w:t xml:space="preserve"> har å</w:t>
      </w:r>
      <w:r w:rsidR="0019296F">
        <w:t>terkommande rapporterat om hyreshöjningar</w:t>
      </w:r>
      <w:r w:rsidRPr="003954D9">
        <w:t xml:space="preserve"> efter standardhöjande åtgärder. År 2013 undersökte man hyreshöjningarna i 51 miljonprogramsområden i kommunägda bostadsföretag i lika många kommuner av varierande storlek. Fem storstadsfastigheter ingick i undersökningen. Den genomsnittliga höjningen för 3 rok var 882 kr </w:t>
      </w:r>
      <w:r w:rsidR="0019296F">
        <w:t xml:space="preserve">i månaden </w:t>
      </w:r>
      <w:r w:rsidRPr="003954D9">
        <w:t>och medianhöjningen 736 kr.</w:t>
      </w:r>
      <w:r w:rsidRPr="003954D9">
        <w:rPr>
          <w:vertAlign w:val="superscript"/>
        </w:rPr>
        <w:footnoteReference w:id="14"/>
      </w:r>
      <w:r w:rsidRPr="003954D9">
        <w:t xml:space="preserve"> Eftersom hyreshöjningarna i allmänhet var begränsade kunde nästan alla hyresgäster bo kvar</w:t>
      </w:r>
      <w:r w:rsidR="009E65FB" w:rsidRPr="009E65FB">
        <w:t xml:space="preserve"> </w:t>
      </w:r>
      <w:r w:rsidR="009E65FB" w:rsidRPr="003954D9">
        <w:t>i hälften av områdena</w:t>
      </w:r>
      <w:r w:rsidRPr="003954D9">
        <w:t xml:space="preserve">. Bara ett fåtal hyresvärdar erbjöd olika nivåer på de standardhöjande åtgärderna. </w:t>
      </w:r>
      <w:r w:rsidR="00BA3702" w:rsidRPr="003954D9">
        <w:t>Det rör</w:t>
      </w:r>
      <w:r w:rsidR="0019296F">
        <w:t xml:space="preserve">de </w:t>
      </w:r>
      <w:r w:rsidR="00BA3702" w:rsidRPr="003954D9">
        <w:t>sig här inte om några större hyreshöjni</w:t>
      </w:r>
      <w:r w:rsidR="0019296F">
        <w:t xml:space="preserve">ngar, men det kan bero på att bara </w:t>
      </w:r>
      <w:r w:rsidR="00BA3702" w:rsidRPr="003954D9">
        <w:t xml:space="preserve">allmännyttiga bostadsföretag </w:t>
      </w:r>
      <w:r w:rsidR="0019296F">
        <w:t xml:space="preserve">ingick i undersökningen </w:t>
      </w:r>
      <w:r w:rsidR="00BA3702" w:rsidRPr="003954D9">
        <w:t>och att många av orterna inte hade någon större bostadsbrist och en del till och med ett överskott på bostäder.</w:t>
      </w:r>
    </w:p>
    <w:p w14:paraId="3D66026B" w14:textId="370E9BB3" w:rsidR="002B6AAB" w:rsidRPr="003954D9" w:rsidRDefault="002B6AAB" w:rsidP="00985016">
      <w:pPr>
        <w:spacing w:before="120"/>
      </w:pPr>
      <w:r w:rsidRPr="003954D9">
        <w:t>I de områden där hyrorna höjdes med mer än 1</w:t>
      </w:r>
      <w:r w:rsidR="009E65FB">
        <w:t xml:space="preserve"> </w:t>
      </w:r>
      <w:r w:rsidRPr="003954D9">
        <w:t>000 kr flyttade 18 procent av hyresgästerna.</w:t>
      </w:r>
      <w:r w:rsidRPr="003954D9">
        <w:rPr>
          <w:vertAlign w:val="superscript"/>
        </w:rPr>
        <w:footnoteReference w:id="15"/>
      </w:r>
      <w:r w:rsidRPr="003954D9">
        <w:rPr>
          <w:vertAlign w:val="superscript"/>
        </w:rPr>
        <w:t xml:space="preserve"> </w:t>
      </w:r>
      <w:r w:rsidRPr="003954D9">
        <w:t>År 2014 redovisade Hem &amp; Hyra utfallet efter en ombyggnad i Uppsala, där hyrorna kunde öka med 60 procent.</w:t>
      </w:r>
      <w:r w:rsidRPr="003954D9">
        <w:rPr>
          <w:rStyle w:val="Fotnotsreferens"/>
        </w:rPr>
        <w:footnoteReference w:id="16"/>
      </w:r>
      <w:r w:rsidRPr="003954D9">
        <w:rPr>
          <w:vertAlign w:val="superscript"/>
        </w:rPr>
        <w:t xml:space="preserve"> </w:t>
      </w:r>
      <w:r w:rsidR="00B55216">
        <w:rPr>
          <w:vertAlign w:val="superscript"/>
        </w:rPr>
        <w:t xml:space="preserve"> </w:t>
      </w:r>
      <w:r w:rsidRPr="003954D9">
        <w:t>En sammanställning avseende Stockholms innerstad redovisade hyreshöjningar på </w:t>
      </w:r>
      <w:r w:rsidR="00365C66" w:rsidRPr="003954D9">
        <w:t>80–100</w:t>
      </w:r>
      <w:r w:rsidRPr="003954D9">
        <w:t xml:space="preserve"> procent varvid 81 procent av hyresgästerna flyttade.</w:t>
      </w:r>
      <w:r w:rsidRPr="003954D9">
        <w:rPr>
          <w:rStyle w:val="Fotnotsreferens"/>
        </w:rPr>
        <w:footnoteReference w:id="17"/>
      </w:r>
    </w:p>
    <w:p w14:paraId="3BC192E2" w14:textId="034CDF34" w:rsidR="00996319" w:rsidRPr="003954D9" w:rsidRDefault="00996319" w:rsidP="00985016">
      <w:pPr>
        <w:spacing w:before="120"/>
        <w:rPr>
          <w:vertAlign w:val="superscript"/>
        </w:rPr>
      </w:pPr>
      <w:r w:rsidRPr="003954D9">
        <w:t>Som jämförelse kan nämnas att den genomsnittliga hyran år 2015 i landet som helhet för 3 rok var 6 233 kr</w:t>
      </w:r>
      <w:r w:rsidR="00560F6D" w:rsidRPr="003954D9">
        <w:t>onor</w:t>
      </w:r>
      <w:r w:rsidRPr="003954D9">
        <w:t xml:space="preserve"> i allmännyttan och 6 556 kr</w:t>
      </w:r>
      <w:r w:rsidR="00560F6D" w:rsidRPr="003954D9">
        <w:t>onor</w:t>
      </w:r>
      <w:r w:rsidRPr="003954D9">
        <w:t xml:space="preserve"> i de privatägda hyreshusen. I Göteborg var den genomsnittliga hyran samma år för 2 rok 5 431, för 3 rok 6 495 och för 4 rok 8 043 kr</w:t>
      </w:r>
      <w:r w:rsidR="00560F6D" w:rsidRPr="003954D9">
        <w:t>onor</w:t>
      </w:r>
      <w:r w:rsidRPr="003954D9">
        <w:t xml:space="preserve"> per månad.</w:t>
      </w:r>
      <w:r w:rsidRPr="003954D9">
        <w:rPr>
          <w:vertAlign w:val="superscript"/>
        </w:rPr>
        <w:footnoteReference w:id="18"/>
      </w:r>
      <w:r w:rsidRPr="003954D9">
        <w:t xml:space="preserve"> I vårt urval var de genomsnittliga hyrorna för 2 rok 4 </w:t>
      </w:r>
      <w:r w:rsidR="00560F6D" w:rsidRPr="003954D9">
        <w:t>976</w:t>
      </w:r>
      <w:r w:rsidRPr="003954D9">
        <w:t xml:space="preserve">, för 3 rok 5 903 och för 4 rok 6 997 kr per månad år 2014. Räknar vi upp dessa hyror med den genomsnittliga hyreshöjningen </w:t>
      </w:r>
      <w:r w:rsidR="00560F6D" w:rsidRPr="003954D9">
        <w:t xml:space="preserve">på 1,2 procent </w:t>
      </w:r>
      <w:r w:rsidR="00365C66" w:rsidRPr="003954D9">
        <w:t>2014–2015</w:t>
      </w:r>
      <w:r w:rsidRPr="003954D9">
        <w:t xml:space="preserve"> blir de för 2 rok </w:t>
      </w:r>
      <w:r w:rsidR="001C6CB9" w:rsidRPr="003954D9">
        <w:t xml:space="preserve">5 035 kr, för 3 rok 5 974 kr </w:t>
      </w:r>
      <w:r w:rsidR="00560F6D" w:rsidRPr="003954D9">
        <w:t xml:space="preserve">och för 4 rok 7 081 kronor per månad. </w:t>
      </w:r>
      <w:r w:rsidR="00B55216">
        <w:t xml:space="preserve">Hyrorna i undersökningen </w:t>
      </w:r>
      <w:r w:rsidR="00560F6D" w:rsidRPr="003954D9">
        <w:t>ligger således klart under genomsnittet i Göteborg.</w:t>
      </w:r>
    </w:p>
    <w:p w14:paraId="54A03814" w14:textId="77777777" w:rsidR="002B6AAB" w:rsidRPr="003954D9" w:rsidRDefault="002B6AAB" w:rsidP="00337BA8">
      <w:pPr>
        <w:pStyle w:val="Rubrik2"/>
      </w:pPr>
      <w:bookmarkStart w:id="187" w:name="_Toc333796240"/>
      <w:bookmarkStart w:id="188" w:name="_Toc333800771"/>
      <w:bookmarkStart w:id="189" w:name="_Toc333800889"/>
      <w:bookmarkStart w:id="190" w:name="_Toc463184431"/>
      <w:bookmarkStart w:id="191" w:name="_Toc464828439"/>
      <w:r w:rsidRPr="003954D9">
        <w:lastRenderedPageBreak/>
        <w:t>Flyttar</w:t>
      </w:r>
      <w:bookmarkEnd w:id="187"/>
      <w:bookmarkEnd w:id="188"/>
      <w:bookmarkEnd w:id="189"/>
      <w:bookmarkEnd w:id="190"/>
      <w:bookmarkEnd w:id="191"/>
    </w:p>
    <w:p w14:paraId="219427F7" w14:textId="7784E7E3" w:rsidR="002B6AAB" w:rsidRPr="003954D9" w:rsidRDefault="002B6AAB" w:rsidP="002B6AAB">
      <w:r w:rsidRPr="003954D9">
        <w:t>Boverket gjorde 2014 en studie av flyttmönster till följd av standardhöjande åtgärder. Den omfattade 1</w:t>
      </w:r>
      <w:r w:rsidR="007E7FBE">
        <w:t xml:space="preserve"> </w:t>
      </w:r>
      <w:r w:rsidRPr="003954D9">
        <w:t xml:space="preserve">200 hyresfastigheter i Stockholm, 800 i Göteborg och 200 i Malmö som byggdes om mellan åren </w:t>
      </w:r>
      <w:r w:rsidR="00365C66" w:rsidRPr="003954D9">
        <w:t>2008–2011</w:t>
      </w:r>
      <w:r w:rsidRPr="003954D9">
        <w:t xml:space="preserve">. </w:t>
      </w:r>
      <w:r w:rsidR="000E7CAE" w:rsidRPr="003954D9">
        <w:t>I genomsnitt flyttade 25 procent av hyresgästerna i samband med underhåll och standardhöjande åtgärder</w:t>
      </w:r>
      <w:r w:rsidR="007E7FBE">
        <w:t>,</w:t>
      </w:r>
      <w:r w:rsidR="000E7CAE" w:rsidRPr="003954D9">
        <w:t xml:space="preserve"> vilket kan jämföras med att 14 procent av hyresgästerna flyttade i fastigheter som inte åtgärdades</w:t>
      </w:r>
      <w:r w:rsidR="007E7FBE">
        <w:t xml:space="preserve">. </w:t>
      </w:r>
      <w:r w:rsidRPr="003954D9">
        <w:t xml:space="preserve">För Göteborg var andelen något lägre. Ju mer omfattande åtgärderna var, desto vanligare var flyttarna. Flyttarna ligger kvar på en högre nivå även efter genomförandet. </w:t>
      </w:r>
      <w:r w:rsidR="007E7FBE" w:rsidRPr="003954D9">
        <w:t xml:space="preserve">Den totala andelen som flyttar kan </w:t>
      </w:r>
      <w:r w:rsidR="007E7FBE">
        <w:t>också</w:t>
      </w:r>
      <w:r w:rsidR="007E7FBE" w:rsidRPr="003954D9">
        <w:t xml:space="preserve"> ligga högre om man inkluderar flyttar under åtgärdernas genomförande.</w:t>
      </w:r>
      <w:r w:rsidR="007E7FBE">
        <w:rPr>
          <w:rStyle w:val="Fotnotsreferens"/>
        </w:rPr>
        <w:footnoteReference w:id="19"/>
      </w:r>
      <w:r w:rsidR="007E7FBE" w:rsidRPr="003954D9">
        <w:t xml:space="preserve"> </w:t>
      </w:r>
      <w:r w:rsidRPr="003954D9">
        <w:t> </w:t>
      </w:r>
    </w:p>
    <w:p w14:paraId="4BCDFA42" w14:textId="77777777" w:rsidR="002B6AAB" w:rsidRPr="003954D9" w:rsidRDefault="002B6AAB" w:rsidP="00337BA8">
      <w:pPr>
        <w:pStyle w:val="Rubrik2"/>
      </w:pPr>
      <w:bookmarkStart w:id="192" w:name="_Toc333772925"/>
      <w:bookmarkStart w:id="193" w:name="_Toc333796241"/>
      <w:bookmarkStart w:id="194" w:name="_Toc333800772"/>
      <w:bookmarkStart w:id="195" w:name="_Toc333800890"/>
      <w:bookmarkStart w:id="196" w:name="_Toc463184432"/>
      <w:bookmarkStart w:id="197" w:name="_Toc464828440"/>
      <w:r w:rsidRPr="003954D9">
        <w:t>Hyreshöjningar och bostadsbrist</w:t>
      </w:r>
      <w:bookmarkEnd w:id="192"/>
      <w:bookmarkEnd w:id="193"/>
      <w:bookmarkEnd w:id="194"/>
      <w:bookmarkEnd w:id="195"/>
      <w:bookmarkEnd w:id="196"/>
      <w:bookmarkEnd w:id="197"/>
    </w:p>
    <w:p w14:paraId="3806936A" w14:textId="2D442BD1" w:rsidR="002B6AAB" w:rsidRPr="003954D9" w:rsidRDefault="002B6AAB" w:rsidP="002B6AAB">
      <w:r w:rsidRPr="003954D9">
        <w:t xml:space="preserve">De stora hyreshöjningarna vid standardhöjande åtgärder speglar bostadsbristen. På orter med stor bostadsbrist är det lätt för hyresvärdarna att få uthyrt med en väsentligt högre hyra. På orter med stort bostadsöverskott avstår däremot hyresvärdarna från att begära stora hyreshöjningar i samband med underhåll </w:t>
      </w:r>
      <w:r w:rsidR="00560F6D" w:rsidRPr="003954D9">
        <w:t>och</w:t>
      </w:r>
      <w:r w:rsidRPr="003954D9">
        <w:t xml:space="preserve"> avstår från fördyrande upprustningar. De har ofta en ansträngd ekonomi, vilket begränsar utrymmet för standardhöjande åtgärder</w:t>
      </w:r>
      <w:r w:rsidR="007E7FBE">
        <w:t>, vilket</w:t>
      </w:r>
      <w:r w:rsidRPr="003954D9">
        <w:t xml:space="preserve"> kan medföra att underhållet blir eftersatt. Höjda hyror riskerar dessutom att öka andelen outhyrda lägenheter.</w:t>
      </w:r>
      <w:r w:rsidRPr="003954D9">
        <w:rPr>
          <w:rStyle w:val="Fotnotsreferens"/>
        </w:rPr>
        <w:footnoteReference w:id="20"/>
      </w:r>
      <w:r w:rsidRPr="003954D9">
        <w:t xml:space="preserve"> </w:t>
      </w:r>
    </w:p>
    <w:p w14:paraId="6F521063" w14:textId="2B51BBB5" w:rsidR="002B6AAB" w:rsidRPr="003954D9" w:rsidRDefault="002B6AAB" w:rsidP="00985016">
      <w:pPr>
        <w:spacing w:before="120"/>
      </w:pPr>
      <w:r w:rsidRPr="003954D9">
        <w:t>Boverkets senaste bostadsmarknadsenkät (2016) visar att det råder brist på bostäder i 240 av landets 290 kommuner</w:t>
      </w:r>
      <w:r w:rsidR="00CE29A8" w:rsidRPr="003954D9">
        <w:t xml:space="preserve">. </w:t>
      </w:r>
      <w:r w:rsidRPr="003954D9">
        <w:t>Man kan alltså säga att det i 240 av landets kommuner finns incitament för hyresvärdarna att genomföra hyreshöjande åtgärder. Framför allt i storstäderna kan man se att nivån på de standardhöjande åtgärderna överstiger den nivå befintliga hyresgäster är villiga, eller har förmåga, att betala för, och att många därför väljer att flytta.</w:t>
      </w:r>
      <w:r w:rsidRPr="003954D9">
        <w:rPr>
          <w:rStyle w:val="Fotnotsreferens"/>
        </w:rPr>
        <w:footnoteReference w:id="21"/>
      </w:r>
      <w:r w:rsidRPr="003954D9">
        <w:t xml:space="preserve"> Den utlösande faktorn må vara brister i husens kvalitet, men inte sällan är det viljan att öka bolagets intäkter och/eller att höja områdets attraktivitet som främst påverkar ombyggnationsplanerna. Genom att höja attraktiviteten vill man nå nya kundgrupper.</w:t>
      </w:r>
      <w:r w:rsidRPr="003954D9">
        <w:rPr>
          <w:rStyle w:val="Fotnotsreferens"/>
        </w:rPr>
        <w:footnoteReference w:id="22"/>
      </w:r>
      <w:r w:rsidRPr="003954D9">
        <w:t xml:space="preserve"> </w:t>
      </w:r>
    </w:p>
    <w:p w14:paraId="3A4B9FB9" w14:textId="1AD42642" w:rsidR="002B6AAB" w:rsidRPr="003954D9" w:rsidRDefault="00B17785" w:rsidP="00337BA8">
      <w:pPr>
        <w:pStyle w:val="Rubrik1"/>
      </w:pPr>
      <w:bookmarkStart w:id="198" w:name="_Toc333796242"/>
      <w:bookmarkStart w:id="199" w:name="_Toc333800773"/>
      <w:bookmarkStart w:id="200" w:name="_Toc333800891"/>
      <w:bookmarkStart w:id="201" w:name="_Toc463184433"/>
      <w:bookmarkStart w:id="202" w:name="_Toc464828441"/>
      <w:bookmarkStart w:id="203" w:name="_Toc467818484"/>
      <w:bookmarkStart w:id="204" w:name="_Toc468614370"/>
      <w:r w:rsidRPr="003954D9">
        <w:t>9</w:t>
      </w:r>
      <w:r w:rsidR="00337BA8" w:rsidRPr="003954D9">
        <w:t xml:space="preserve">. </w:t>
      </w:r>
      <w:r w:rsidR="002B6AAB" w:rsidRPr="003954D9">
        <w:t xml:space="preserve">Följderna av ombyggnaderna för </w:t>
      </w:r>
      <w:r w:rsidR="00CE29A8" w:rsidRPr="003954D9">
        <w:t>hushåll</w:t>
      </w:r>
      <w:r w:rsidR="002B6AAB" w:rsidRPr="003954D9">
        <w:t xml:space="preserve"> och samhälle</w:t>
      </w:r>
      <w:bookmarkEnd w:id="198"/>
      <w:bookmarkEnd w:id="199"/>
      <w:bookmarkEnd w:id="200"/>
      <w:bookmarkEnd w:id="201"/>
      <w:bookmarkEnd w:id="202"/>
      <w:r w:rsidR="00B55216">
        <w:t>t</w:t>
      </w:r>
      <w:r w:rsidR="008D62A7" w:rsidRPr="003954D9">
        <w:t xml:space="preserve"> i andra undersökningar</w:t>
      </w:r>
      <w:bookmarkEnd w:id="203"/>
      <w:bookmarkEnd w:id="204"/>
    </w:p>
    <w:p w14:paraId="023B5C7E" w14:textId="6BB0E31F" w:rsidR="002B6AAB" w:rsidRPr="003954D9" w:rsidRDefault="008D62A7" w:rsidP="00337BA8">
      <w:pPr>
        <w:pStyle w:val="Rubrik2"/>
      </w:pPr>
      <w:r w:rsidRPr="003954D9">
        <w:t>Hushåll</w:t>
      </w:r>
    </w:p>
    <w:p w14:paraId="67993D14" w14:textId="77777777" w:rsidR="00F50763" w:rsidRDefault="00C32B4A" w:rsidP="00A96F10">
      <w:r>
        <w:t xml:space="preserve">Boverkets rapport </w:t>
      </w:r>
      <w:r w:rsidRPr="00C32B4A">
        <w:rPr>
          <w:i/>
        </w:rPr>
        <w:t>Flyttmönster till följd av omfattande renoveringar</w:t>
      </w:r>
      <w:r w:rsidRPr="003954D9">
        <w:t xml:space="preserve"> </w:t>
      </w:r>
      <w:r>
        <w:t>(2014)</w:t>
      </w:r>
      <w:r w:rsidR="00FC090C">
        <w:t xml:space="preserve"> </w:t>
      </w:r>
      <w:r w:rsidR="00FC090C" w:rsidRPr="00FC090C">
        <w:t>visar att omfattande renoveringar leder till fler flytt</w:t>
      </w:r>
      <w:r w:rsidR="00FC090C">
        <w:t>ar</w:t>
      </w:r>
      <w:r w:rsidR="00FC090C" w:rsidRPr="00FC090C">
        <w:t xml:space="preserve">. </w:t>
      </w:r>
      <w:r w:rsidR="00FC090C">
        <w:t>Många väljer att flytta innan upprustningen och de standardhöjande åtgärderna är</w:t>
      </w:r>
      <w:r w:rsidR="00FC090C" w:rsidRPr="00FC090C">
        <w:t xml:space="preserve"> avslutad</w:t>
      </w:r>
      <w:r w:rsidR="00FC090C">
        <w:t>e</w:t>
      </w:r>
      <w:r w:rsidR="00FC090C" w:rsidRPr="00FC090C">
        <w:t xml:space="preserve"> och </w:t>
      </w:r>
      <w:r w:rsidR="00FC090C">
        <w:t xml:space="preserve">flyttarna fortsätter även efter det att åtgärderna är genomförda. </w:t>
      </w:r>
      <w:r w:rsidR="00FC090C" w:rsidRPr="00FC090C">
        <w:t>De som flytta</w:t>
      </w:r>
      <w:r w:rsidR="00FC090C">
        <w:t xml:space="preserve">t från en åtgärdad </w:t>
      </w:r>
      <w:r w:rsidR="00FC090C" w:rsidRPr="00FC090C">
        <w:t xml:space="preserve">fastighet </w:t>
      </w:r>
      <w:r w:rsidR="00FC090C">
        <w:t xml:space="preserve">kommer med större sannolikhet än andra att </w:t>
      </w:r>
      <w:r w:rsidR="00FC090C" w:rsidRPr="00FC090C">
        <w:t xml:space="preserve">flytta igen. </w:t>
      </w:r>
      <w:r w:rsidR="00FC090C">
        <w:t xml:space="preserve">Orsaken </w:t>
      </w:r>
      <w:r w:rsidR="000A2D3F">
        <w:t xml:space="preserve">kan vara </w:t>
      </w:r>
      <w:r w:rsidR="00FC090C">
        <w:t xml:space="preserve">att hushåll med låga inkomster </w:t>
      </w:r>
      <w:r w:rsidR="00A96F10">
        <w:t>ofta tvingas ge avkall</w:t>
      </w:r>
      <w:r w:rsidR="00FC090C">
        <w:t xml:space="preserve"> </w:t>
      </w:r>
      <w:r w:rsidR="00A96F10">
        <w:t xml:space="preserve">på någon av faktorerna </w:t>
      </w:r>
      <w:r w:rsidR="00FC090C">
        <w:t>tillräcklig bostadsyta, trygghet i området och hyrans storlek</w:t>
      </w:r>
      <w:r w:rsidR="00A96F10">
        <w:t xml:space="preserve"> och därför är på jakt efter bättre lösningar.</w:t>
      </w:r>
      <w:r w:rsidR="000A2D3F">
        <w:rPr>
          <w:rStyle w:val="Fotnotsreferens"/>
        </w:rPr>
        <w:footnoteReference w:id="23"/>
      </w:r>
      <w:r w:rsidR="00A96F10">
        <w:t xml:space="preserve"> </w:t>
      </w:r>
    </w:p>
    <w:p w14:paraId="23D0EF62" w14:textId="7BAD2E75" w:rsidR="000A2D3F" w:rsidRDefault="00F50763" w:rsidP="00A96F10">
      <w:r>
        <w:t>Boverket visar också att b</w:t>
      </w:r>
      <w:r w:rsidR="00FC090C" w:rsidRPr="00FC090C">
        <w:t xml:space="preserve">arnfamiljer </w:t>
      </w:r>
      <w:r w:rsidR="00A96F10">
        <w:t xml:space="preserve">flyttar oftare samma år som åtgärderna genomförs, </w:t>
      </w:r>
      <w:r w:rsidR="00FC090C" w:rsidRPr="00FC090C">
        <w:t xml:space="preserve">men </w:t>
      </w:r>
      <w:r w:rsidR="00A96F10">
        <w:t xml:space="preserve">mer sällan innan, </w:t>
      </w:r>
      <w:r w:rsidR="00FC090C" w:rsidRPr="00FC090C">
        <w:t xml:space="preserve">vilket </w:t>
      </w:r>
      <w:r w:rsidR="00A96F10">
        <w:t xml:space="preserve">tyder på </w:t>
      </w:r>
      <w:r w:rsidR="00FC090C" w:rsidRPr="00FC090C">
        <w:t xml:space="preserve">att de </w:t>
      </w:r>
      <w:r w:rsidR="00A96F10">
        <w:t xml:space="preserve">har svårare att hitta </w:t>
      </w:r>
      <w:r w:rsidR="000A2D3F">
        <w:t xml:space="preserve">en ny lägenhet </w:t>
      </w:r>
      <w:r w:rsidR="00FC090C" w:rsidRPr="00FC090C">
        <w:t>och att den sociala kostnaden</w:t>
      </w:r>
      <w:r w:rsidR="00A96F10">
        <w:t xml:space="preserve"> för </w:t>
      </w:r>
      <w:r w:rsidR="00FC090C" w:rsidRPr="00FC090C">
        <w:t>flytten</w:t>
      </w:r>
      <w:r w:rsidR="00A96F10">
        <w:t xml:space="preserve"> är större. </w:t>
      </w:r>
    </w:p>
    <w:p w14:paraId="78FD33ED" w14:textId="3FE73B70" w:rsidR="000A2D3F" w:rsidRDefault="000A2D3F" w:rsidP="00A96F10">
      <w:r>
        <w:lastRenderedPageBreak/>
        <w:t xml:space="preserve">Hushållen i de tre storstäderna flyttar i mindre utsträckning i samband med att huset de bor i </w:t>
      </w:r>
      <w:r w:rsidR="00FE72C4">
        <w:t>underhålls</w:t>
      </w:r>
      <w:r>
        <w:t xml:space="preserve"> och standardhöjande åtgärder genomförs. Det beror sannolikt på att det är svårare att hitta en ny bostad i storstäderna som en följd av den mer omfattande bostadsbristen. </w:t>
      </w:r>
    </w:p>
    <w:p w14:paraId="2B3FEF8D" w14:textId="1FD5184F" w:rsidR="000A2D3F" w:rsidRDefault="00C32B4A" w:rsidP="00985016">
      <w:pPr>
        <w:spacing w:before="120"/>
      </w:pPr>
      <w:r>
        <w:t xml:space="preserve">Hushåll som bor hos privata hyresvärdar flyttar </w:t>
      </w:r>
      <w:r w:rsidR="000A2D3F">
        <w:t xml:space="preserve">något </w:t>
      </w:r>
      <w:r>
        <w:t xml:space="preserve">oftare i samband med </w:t>
      </w:r>
      <w:r w:rsidR="000A2D3F">
        <w:t xml:space="preserve">upprustning och </w:t>
      </w:r>
      <w:r>
        <w:t xml:space="preserve">standardhöjande åtgärder än hushåll med </w:t>
      </w:r>
      <w:r w:rsidR="002B6AAB" w:rsidRPr="003954D9">
        <w:t>allmännyttiga hyresvärdar</w:t>
      </w:r>
      <w:r>
        <w:t xml:space="preserve">. </w:t>
      </w:r>
      <w:r w:rsidR="000A2D3F">
        <w:t xml:space="preserve">Boverket har inget svar på varför det är så, men det kan ha att göra med att villkoren för hyresgästerna skiljer sig åt. </w:t>
      </w:r>
    </w:p>
    <w:p w14:paraId="5F8D8AE5" w14:textId="32C46EE6" w:rsidR="002B6AAB" w:rsidRPr="003954D9" w:rsidRDefault="002B6AAB" w:rsidP="00985016">
      <w:pPr>
        <w:spacing w:before="120"/>
      </w:pPr>
      <w:r w:rsidRPr="003954D9">
        <w:t>De hyresgäster som flyttade tendera</w:t>
      </w:r>
      <w:r w:rsidR="00F50763">
        <w:t>r</w:t>
      </w:r>
      <w:r w:rsidRPr="003954D9">
        <w:t xml:space="preserve"> att flytta till områden på längre avstånd från centrum och service, med sämre utveckling, lägre inkomster och lägre behörighetsgrad till gymnasiet. Bostadsbidrag och ekonomiskt bistånd ökade bland ekonomiskt utsatta hyresgäster.</w:t>
      </w:r>
      <w:r w:rsidRPr="003954D9">
        <w:rPr>
          <w:rStyle w:val="Fotnotsreferens"/>
        </w:rPr>
        <w:footnoteReference w:id="24"/>
      </w:r>
      <w:r w:rsidRPr="003954D9">
        <w:t xml:space="preserve"> Flera andra studier visar liknande resultat internationellt och i Sverige.</w:t>
      </w:r>
      <w:r w:rsidRPr="003954D9">
        <w:rPr>
          <w:rStyle w:val="Fotnotsreferens"/>
        </w:rPr>
        <w:footnoteReference w:id="25"/>
      </w:r>
      <w:r w:rsidRPr="003954D9">
        <w:t xml:space="preserve">  </w:t>
      </w:r>
    </w:p>
    <w:p w14:paraId="54165246" w14:textId="77777777" w:rsidR="002B6AAB" w:rsidRPr="003954D9" w:rsidRDefault="002B6AAB" w:rsidP="002B6AAB">
      <w:r w:rsidRPr="003954D9">
        <w:t>Utflyttande hyresgäster från fastigheter som byggs om påverkas inte endast genom ökade boendekostnader. Sociala nätverk riskerar att gå förlorade. När rötterna till bostad och närområde rycks upp genom en ofrivillig flyttning lämnar det också själsliga avtryck. Hur stora de är beror på människors olika förmåga att hantera drastiska förändringar, visar en studie från Göteborg. Särskilt äldre människor drabbas hårt.</w:t>
      </w:r>
      <w:r w:rsidRPr="003954D9">
        <w:rPr>
          <w:rStyle w:val="Fotnotsreferens"/>
        </w:rPr>
        <w:footnoteReference w:id="26"/>
      </w:r>
      <w:r w:rsidRPr="003954D9">
        <w:t xml:space="preserve"> </w:t>
      </w:r>
    </w:p>
    <w:p w14:paraId="775F3486" w14:textId="77777777" w:rsidR="002B6AAB" w:rsidRPr="003954D9" w:rsidRDefault="002B6AAB" w:rsidP="00985016">
      <w:pPr>
        <w:spacing w:before="120"/>
      </w:pPr>
      <w:r w:rsidRPr="003954D9">
        <w:t>En annan grupp som är särskilt känslig för flyttar och förändringar är barnen.</w:t>
      </w:r>
      <w:r w:rsidRPr="003954D9">
        <w:rPr>
          <w:rStyle w:val="Fotnotsreferens"/>
        </w:rPr>
        <w:footnoteReference w:id="27"/>
      </w:r>
      <w:r w:rsidRPr="003954D9">
        <w:t xml:space="preserve"> </w:t>
      </w:r>
    </w:p>
    <w:p w14:paraId="1A6EE481" w14:textId="77777777" w:rsidR="002B6AAB" w:rsidRPr="003954D9" w:rsidRDefault="002B6AAB" w:rsidP="00337BA8">
      <w:pPr>
        <w:pStyle w:val="Rubrik2"/>
      </w:pPr>
      <w:bookmarkStart w:id="205" w:name="_Toc333796244"/>
      <w:bookmarkStart w:id="206" w:name="_Toc333800775"/>
      <w:bookmarkStart w:id="207" w:name="_Toc333800893"/>
      <w:bookmarkStart w:id="208" w:name="_Toc463184435"/>
      <w:bookmarkStart w:id="209" w:name="_Toc464828443"/>
      <w:r w:rsidRPr="003954D9">
        <w:t>Samhället</w:t>
      </w:r>
      <w:bookmarkEnd w:id="205"/>
      <w:bookmarkEnd w:id="206"/>
      <w:bookmarkEnd w:id="207"/>
      <w:bookmarkEnd w:id="208"/>
      <w:bookmarkEnd w:id="209"/>
    </w:p>
    <w:p w14:paraId="2B40EB07" w14:textId="79653749" w:rsidR="002B6AAB" w:rsidRPr="003954D9" w:rsidRDefault="002B6AAB" w:rsidP="002B6AAB">
      <w:r w:rsidRPr="003954D9">
        <w:t>För samhällets del är en effekt av ombyggnader med stora hyreshöjningar att segregationen ökar. Segregation innebär rumsligt åtskiljande av befolkningsgrupper</w:t>
      </w:r>
      <w:r w:rsidR="008D62A7" w:rsidRPr="003954D9">
        <w:t xml:space="preserve"> efter socioekonomisk status och etnicitet</w:t>
      </w:r>
      <w:r w:rsidRPr="003954D9">
        <w:t xml:space="preserve">. Här handlar det i huvudsak om segregation på grundval av socioekonomisk status, men eftersom det idag finns en tydlig etnisk komponent i den socioekonomiskt betingade segregationen är det tydligt att den också medför ett åtskiljande av etniska grupper. </w:t>
      </w:r>
    </w:p>
    <w:p w14:paraId="70DE44C4" w14:textId="33CAC10A" w:rsidR="003C41C6" w:rsidRPr="003954D9" w:rsidRDefault="002B6AAB" w:rsidP="00985016">
      <w:pPr>
        <w:spacing w:before="120"/>
      </w:pPr>
      <w:r w:rsidRPr="003954D9">
        <w:t xml:space="preserve">I debatten om segregation fokuserar man ofta på </w:t>
      </w:r>
      <w:proofErr w:type="spellStart"/>
      <w:r w:rsidRPr="003954D9">
        <w:rPr>
          <w:i/>
        </w:rPr>
        <w:t>gentrifieringen</w:t>
      </w:r>
      <w:proofErr w:type="spellEnd"/>
      <w:r w:rsidRPr="003954D9">
        <w:t xml:space="preserve">, som innebär att tidigare blandade stadsdelar eller lågstatusstadsdelar genom utflyttning och inflyttning får en befolkning med högre inkomster än den ursprungliga befolkningens. I Sverige har vi sett en utflyttning av låginkomsttagare från stadskärnorna och en inflyttning av höginkomsttagare. Som en följd av upprustningen av bostäderna i stadskärnorna </w:t>
      </w:r>
      <w:r w:rsidR="003C41C6" w:rsidRPr="003954D9">
        <w:t>och av andra processer kom stadskärnorna under loppet av några decennier att återta sin attraktivitet för höginkomsttagare. En del a</w:t>
      </w:r>
      <w:r w:rsidR="008D62A7" w:rsidRPr="003954D9">
        <w:t xml:space="preserve">v attraktiviteten består i att </w:t>
      </w:r>
      <w:r w:rsidR="003C41C6" w:rsidRPr="003954D9">
        <w:t xml:space="preserve">stadskärnorna ger </w:t>
      </w:r>
      <w:r w:rsidRPr="003954D9">
        <w:t>access till viktiga funktioner</w:t>
      </w:r>
      <w:r w:rsidR="003C41C6" w:rsidRPr="003954D9">
        <w:t xml:space="preserve">. Det </w:t>
      </w:r>
      <w:r w:rsidR="00B55216">
        <w:t xml:space="preserve">har skett </w:t>
      </w:r>
      <w:r w:rsidR="003C41C6" w:rsidRPr="003954D9">
        <w:t xml:space="preserve">till priset av att stora grupper låg- och medelinkomsttagare utestängts från boende i </w:t>
      </w:r>
      <w:r w:rsidR="00B55216">
        <w:t xml:space="preserve">stora delar av </w:t>
      </w:r>
      <w:r w:rsidR="003C41C6" w:rsidRPr="003954D9">
        <w:t xml:space="preserve">stadskärnorna. </w:t>
      </w:r>
      <w:r w:rsidRPr="003954D9">
        <w:t xml:space="preserve">En motsatt process är att personer lämnar lågstatusområdena när de ökar sina inkomster eller när koncentrationen av andra etniska grupper än den egna blir för hög. </w:t>
      </w:r>
      <w:r w:rsidR="00791D00">
        <w:t xml:space="preserve">Den omvända processen är att </w:t>
      </w:r>
      <w:r w:rsidR="00B55216" w:rsidRPr="003954D9">
        <w:t>låginkomsttagare tvingas flytta till områden på längre avstånd från centrum och service, med sämre utveckling, lägre inkomster och lägre behörighetsgrad till gymnasiet</w:t>
      </w:r>
      <w:r w:rsidR="00791D00">
        <w:t xml:space="preserve"> när hyrorna höjs i de områden de tidigare bott i</w:t>
      </w:r>
      <w:r w:rsidR="00B55216" w:rsidRPr="003954D9">
        <w:t>.</w:t>
      </w:r>
      <w:r w:rsidR="00791D00">
        <w:t xml:space="preserve"> </w:t>
      </w:r>
      <w:r w:rsidRPr="003954D9">
        <w:t xml:space="preserve">Ombyggnader med stora hyreshöjningar spär på processen, som ibland kallas </w:t>
      </w:r>
      <w:r w:rsidRPr="003954D9">
        <w:rPr>
          <w:i/>
        </w:rPr>
        <w:lastRenderedPageBreak/>
        <w:t>residualisering</w:t>
      </w:r>
      <w:r w:rsidRPr="003954D9">
        <w:t>;</w:t>
      </w:r>
      <w:r w:rsidRPr="003954D9">
        <w:rPr>
          <w:rStyle w:val="Fotnotsreferens"/>
        </w:rPr>
        <w:footnoteReference w:id="28"/>
      </w:r>
      <w:r w:rsidRPr="003954D9">
        <w:t xml:space="preserve"> </w:t>
      </w:r>
      <w:r w:rsidR="00791D00">
        <w:t xml:space="preserve">Gradvis ökar andelen hushåll </w:t>
      </w:r>
      <w:r w:rsidRPr="003954D9">
        <w:t xml:space="preserve">med låga inkomster och en etnisk tillhörighet som avviker från majoritetssamhällets. Ombyggnaderna blir </w:t>
      </w:r>
      <w:r w:rsidR="008D62A7" w:rsidRPr="003954D9">
        <w:t xml:space="preserve">alltså </w:t>
      </w:r>
      <w:r w:rsidRPr="003954D9">
        <w:t>segregationsdrivande både genom gentrifiering och residualisering.</w:t>
      </w:r>
      <w:r w:rsidR="00B55216">
        <w:rPr>
          <w:rStyle w:val="Fotnotsreferens"/>
        </w:rPr>
        <w:footnoteReference w:id="29"/>
      </w:r>
      <w:r w:rsidR="00B55216">
        <w:t xml:space="preserve"> </w:t>
      </w:r>
      <w:r w:rsidR="003C41C6" w:rsidRPr="003954D9">
        <w:t xml:space="preserve"> </w:t>
      </w:r>
    </w:p>
    <w:p w14:paraId="2B446900" w14:textId="2A7D5731" w:rsidR="003C41C6" w:rsidRPr="003954D9" w:rsidRDefault="00791D00" w:rsidP="00985016">
      <w:pPr>
        <w:spacing w:before="120"/>
      </w:pPr>
      <w:r>
        <w:t>N</w:t>
      </w:r>
      <w:r w:rsidR="003C41C6" w:rsidRPr="003954D9">
        <w:t xml:space="preserve">är </w:t>
      </w:r>
      <w:r>
        <w:t xml:space="preserve">nu </w:t>
      </w:r>
      <w:r w:rsidR="003C41C6" w:rsidRPr="003954D9">
        <w:t xml:space="preserve">stadsdelar i periferin ska rustas upp finns risken att den här processen får ny fart och kommer att omfatta allt större delar av staden. I en nyligen publicerad doktorsavhandling visas hur energisparåtgärder bidrar till att Göteborg uppnår sina klimatmål, men </w:t>
      </w:r>
      <w:r>
        <w:t xml:space="preserve">att det </w:t>
      </w:r>
      <w:r w:rsidR="003C41C6" w:rsidRPr="003954D9">
        <w:t>samtidigt motverkar de sociala målen. Ökad miljömässig hållbarhet resulterar i minskad social hållbarhet.</w:t>
      </w:r>
      <w:r w:rsidR="003014D0" w:rsidRPr="003954D9">
        <w:rPr>
          <w:rStyle w:val="Fotnotsreferens"/>
        </w:rPr>
        <w:footnoteReference w:id="30"/>
      </w:r>
    </w:p>
    <w:p w14:paraId="7A76F6EA" w14:textId="2586B63D" w:rsidR="002B6AAB" w:rsidRPr="003954D9" w:rsidRDefault="002B6AAB" w:rsidP="00985016">
      <w:pPr>
        <w:spacing w:before="120"/>
      </w:pPr>
      <w:r w:rsidRPr="003954D9">
        <w:t>Segregationen får följder inte bara för de enskilda hushållen</w:t>
      </w:r>
      <w:r w:rsidR="00791D00">
        <w:t>,</w:t>
      </w:r>
      <w:r w:rsidRPr="003954D9">
        <w:t xml:space="preserve"> utan även för samhället som helhet. Den ökade bostadssegregationen medför till exempel en ökad segregation av skolorna, vilket i sin tur påverkar skolresultaten.</w:t>
      </w:r>
      <w:r w:rsidRPr="003954D9">
        <w:rPr>
          <w:rStyle w:val="Fotnotsreferens"/>
        </w:rPr>
        <w:footnoteReference w:id="31"/>
      </w:r>
      <w:r w:rsidRPr="003954D9">
        <w:t xml:space="preserve"> När den nuvarande regeringen tillkännagav sitt långsiktiga program mot segregationen </w:t>
      </w:r>
      <w:r w:rsidR="00365C66" w:rsidRPr="003954D9">
        <w:t>2017–2025</w:t>
      </w:r>
      <w:r w:rsidRPr="003954D9">
        <w:t xml:space="preserve"> lyfte den förutom skolan fram brottslighet, arbetslöshet, trångboddhet, tillgång till samhällsservice och delaktighet i samhället som problem som följer av den ökade segregationen.</w:t>
      </w:r>
      <w:r w:rsidRPr="003954D9">
        <w:rPr>
          <w:rStyle w:val="Fotnotsreferens"/>
        </w:rPr>
        <w:footnoteReference w:id="32"/>
      </w:r>
      <w:r w:rsidRPr="003954D9">
        <w:t xml:space="preserve"> </w:t>
      </w:r>
    </w:p>
    <w:p w14:paraId="64E21004" w14:textId="77777777" w:rsidR="006A3D27" w:rsidRPr="003954D9" w:rsidRDefault="002B6AAB" w:rsidP="00985016">
      <w:pPr>
        <w:spacing w:before="120"/>
      </w:pPr>
      <w:r w:rsidRPr="003954D9">
        <w:t xml:space="preserve">Effekterna av den pågående upprustningen av Miljonprogrammet är alltså en angelägenhet för hela samhället. Det understryks än mer av det faktum att det 2009 bara för SABO-företagen bedömdes att 300 000 lägenheter i Miljonprogrammet behövde rustas upp. Upprustningstakten låg då på 11 000 per år, men är idag sannolikt högre. Då fanns totalt 850 000 lägenheter i miljonprogrammets flerbostadshus, varav nästan hälften i allmännyttan och resten var privatägda eller ägdes av bostadsrättsföreningar. </w:t>
      </w:r>
      <w:r w:rsidR="006A3D27" w:rsidRPr="003954D9">
        <w:t>Enligt Boverket har totalt årligen omkring 20 000 hyreslägenheter renoverats per år sedan 1988 med en tydlig ökning under senare år.</w:t>
      </w:r>
      <w:r w:rsidR="006A3D27" w:rsidRPr="003954D9">
        <w:rPr>
          <w:rStyle w:val="Fotnotsreferens"/>
        </w:rPr>
        <w:footnoteReference w:id="33"/>
      </w:r>
      <w:r w:rsidR="006A3D27" w:rsidRPr="003954D9">
        <w:t xml:space="preserve"> </w:t>
      </w:r>
    </w:p>
    <w:p w14:paraId="050CE905" w14:textId="1AC119F6" w:rsidR="002B6AAB" w:rsidRPr="003954D9" w:rsidRDefault="006A3D27" w:rsidP="00985016">
      <w:pPr>
        <w:spacing w:before="120"/>
      </w:pPr>
      <w:r w:rsidRPr="003954D9">
        <w:t>En annan viktig förändring under senare år har skett i ägandet av fastigheter i Miljonprogrammet; i de 23 största kommunerna är idag 60 procent av Miljonprogrammets hus privatägda.</w:t>
      </w:r>
      <w:r w:rsidRPr="003954D9">
        <w:rPr>
          <w:rStyle w:val="Fotnotsreferens"/>
        </w:rPr>
        <w:footnoteReference w:id="34"/>
      </w:r>
      <w:r w:rsidRPr="003954D9">
        <w:t xml:space="preserve"> </w:t>
      </w:r>
      <w:r w:rsidR="002B6AAB" w:rsidRPr="003954D9">
        <w:t>Flera av de nya ägarna har som affärsidé att rusta upp miljonprogramshus, meddelar en artikel i Svenska Dagbladet. ”Det kan diskuteras hur betalningsviljan och förmågan är för nybyggen i miljonprogramsområdena, liksom hur långt man kan och bör gå med renoveringarna. Att sätta upp sociala räkenskaper är inte den enklaste matematiken”, kommenterar artikelförfattaren.</w:t>
      </w:r>
      <w:r w:rsidR="002B6AAB" w:rsidRPr="003954D9">
        <w:rPr>
          <w:vertAlign w:val="superscript"/>
        </w:rPr>
        <w:footnoteReference w:id="35"/>
      </w:r>
      <w:r w:rsidR="002B6AAB" w:rsidRPr="003954D9">
        <w:t xml:space="preserve"> Sannolikheten för flytt efter ombyggnad är, som tidigare konstaterats, högre hos privata ägare.</w:t>
      </w:r>
      <w:r w:rsidR="002B6AAB" w:rsidRPr="003954D9">
        <w:rPr>
          <w:rStyle w:val="Fotnotsreferens"/>
        </w:rPr>
        <w:footnoteReference w:id="36"/>
      </w:r>
      <w:r w:rsidR="002B6AAB" w:rsidRPr="003954D9">
        <w:t xml:space="preserve"> Till detta kan läggas </w:t>
      </w:r>
      <w:r w:rsidR="008D62A7" w:rsidRPr="003954D9">
        <w:t xml:space="preserve">att </w:t>
      </w:r>
      <w:r w:rsidR="002B6AAB" w:rsidRPr="003954D9">
        <w:t>kostnader</w:t>
      </w:r>
      <w:r w:rsidR="008D62A7" w:rsidRPr="003954D9">
        <w:t>na</w:t>
      </w:r>
      <w:r w:rsidR="002B6AAB" w:rsidRPr="003954D9">
        <w:t xml:space="preserve"> för samhället i form av bostadsbidrag, bostadstillägg och försörjningsstöd </w:t>
      </w:r>
      <w:r w:rsidR="008D62A7" w:rsidRPr="003954D9">
        <w:t xml:space="preserve">ökar </w:t>
      </w:r>
      <w:r w:rsidR="002B6AAB" w:rsidRPr="003954D9">
        <w:t xml:space="preserve">som en följd av hyreshöjningarna. </w:t>
      </w:r>
      <w:r w:rsidR="009E0F64">
        <w:t xml:space="preserve">I en artikel i SvD Näringsliv varnar företrädare för SABO och SKL </w:t>
      </w:r>
      <w:r w:rsidR="008C0CFE">
        <w:t xml:space="preserve">för </w:t>
      </w:r>
      <w:r w:rsidR="009E0F64">
        <w:t xml:space="preserve">att försäljningarna av fastigheter i miljonprogramsområden kan leda till </w:t>
      </w:r>
      <w:r w:rsidR="008C0CFE">
        <w:t>ökade kostnader för bostadsbidrag och försörjningsstöd.</w:t>
      </w:r>
      <w:r w:rsidR="008C0CFE">
        <w:rPr>
          <w:rStyle w:val="Fotnotsreferens"/>
        </w:rPr>
        <w:footnoteReference w:id="37"/>
      </w:r>
      <w:r w:rsidR="008C0CFE">
        <w:t xml:space="preserve"> </w:t>
      </w:r>
      <w:r w:rsidR="002B6AAB" w:rsidRPr="003954D9">
        <w:t xml:space="preserve">Tyvärr finns ingen samlad bild av hur mycket dessa kostnader ökar.  </w:t>
      </w:r>
    </w:p>
    <w:p w14:paraId="2091EFFB" w14:textId="5FC1BA52" w:rsidR="00B51E9C" w:rsidRPr="003954D9" w:rsidRDefault="00B17785" w:rsidP="00337BA8">
      <w:pPr>
        <w:pStyle w:val="Rubrik1"/>
      </w:pPr>
      <w:bookmarkStart w:id="210" w:name="_Toc333795988"/>
      <w:bookmarkStart w:id="211" w:name="_Toc333796248"/>
      <w:bookmarkStart w:id="212" w:name="_Toc333800776"/>
      <w:bookmarkStart w:id="213" w:name="_Toc333800894"/>
      <w:bookmarkStart w:id="214" w:name="_Toc463184436"/>
      <w:bookmarkStart w:id="215" w:name="_Toc464828444"/>
      <w:bookmarkStart w:id="216" w:name="_Toc467818485"/>
      <w:bookmarkStart w:id="217" w:name="_Toc468614371"/>
      <w:r w:rsidRPr="003954D9">
        <w:lastRenderedPageBreak/>
        <w:t>10</w:t>
      </w:r>
      <w:r w:rsidR="00337BA8" w:rsidRPr="003954D9">
        <w:t xml:space="preserve">. </w:t>
      </w:r>
      <w:r w:rsidR="00B51E9C" w:rsidRPr="003954D9">
        <w:t>Vad säger lagen och hur tolkas den?</w:t>
      </w:r>
      <w:bookmarkEnd w:id="210"/>
      <w:bookmarkEnd w:id="211"/>
      <w:bookmarkEnd w:id="212"/>
      <w:bookmarkEnd w:id="213"/>
      <w:bookmarkEnd w:id="214"/>
      <w:bookmarkEnd w:id="215"/>
      <w:bookmarkEnd w:id="216"/>
      <w:bookmarkEnd w:id="217"/>
      <w:r w:rsidR="00B51E9C" w:rsidRPr="003954D9">
        <w:t xml:space="preserve"> </w:t>
      </w:r>
    </w:p>
    <w:p w14:paraId="19B0296E" w14:textId="77777777" w:rsidR="00B51E9C" w:rsidRPr="003954D9" w:rsidRDefault="00B51E9C" w:rsidP="00337BA8">
      <w:pPr>
        <w:pStyle w:val="Rubrik2"/>
      </w:pPr>
      <w:bookmarkStart w:id="218" w:name="_Toc333795989"/>
      <w:bookmarkStart w:id="219" w:name="_Toc333796249"/>
      <w:bookmarkStart w:id="220" w:name="_Toc333800777"/>
      <w:bookmarkStart w:id="221" w:name="_Toc333800895"/>
      <w:bookmarkStart w:id="222" w:name="_Toc463184437"/>
      <w:bookmarkStart w:id="223" w:name="_Toc464828445"/>
      <w:r w:rsidRPr="003954D9">
        <w:t>Besittningsskyddet och ombyggnader</w:t>
      </w:r>
      <w:bookmarkEnd w:id="218"/>
      <w:bookmarkEnd w:id="219"/>
      <w:bookmarkEnd w:id="220"/>
      <w:bookmarkEnd w:id="221"/>
      <w:bookmarkEnd w:id="222"/>
      <w:bookmarkEnd w:id="223"/>
    </w:p>
    <w:p w14:paraId="1355B6E2" w14:textId="6F9C0CE2" w:rsidR="003A74E7" w:rsidRPr="003954D9" w:rsidRDefault="00B51E9C" w:rsidP="00B51E9C">
      <w:r w:rsidRPr="003954D9">
        <w:t>I Sverige har hyresgäster ett starkt besittningsskydd. En hyresvärd kan tvinga en hyresgäst att flytta bara om det finns sakliga skäl</w:t>
      </w:r>
      <w:r w:rsidR="00CD1C48">
        <w:t xml:space="preserve"> </w:t>
      </w:r>
      <w:r w:rsidR="00384A32">
        <w:t xml:space="preserve">– </w:t>
      </w:r>
      <w:r w:rsidR="00CD1C48">
        <w:t>att</w:t>
      </w:r>
      <w:r w:rsidRPr="003954D9">
        <w:t xml:space="preserve"> hyresgästen inte har betalat hyran eller betalat för sent, stört grannarna, misskött lägenheten eller liknande allvarliga brister. </w:t>
      </w:r>
    </w:p>
    <w:p w14:paraId="5B97F1EA" w14:textId="1E0473F3" w:rsidR="00412299" w:rsidRDefault="003A74E7" w:rsidP="00246523">
      <w:pPr>
        <w:spacing w:before="120"/>
      </w:pPr>
      <w:r w:rsidRPr="003954D9">
        <w:t xml:space="preserve">När hyran prövas i en lägenhet bedömer man </w:t>
      </w:r>
      <w:r w:rsidR="00801A4A" w:rsidRPr="003954D9">
        <w:t xml:space="preserve">om hyran </w:t>
      </w:r>
      <w:r w:rsidRPr="003954D9">
        <w:t xml:space="preserve">är skälig eller ej i förhållande till </w:t>
      </w:r>
      <w:r w:rsidR="00412299">
        <w:t>hyran i likvärdiga lägenheter, dvs. lägenheter med samma storlek, standard, läge mm.</w:t>
      </w:r>
      <w:r w:rsidRPr="003954D9">
        <w:t xml:space="preserve"> </w:t>
      </w:r>
      <w:r w:rsidR="00801A4A" w:rsidRPr="003954D9">
        <w:t>Den prövningen kallas ibland för b</w:t>
      </w:r>
      <w:r w:rsidR="00B51E9C" w:rsidRPr="003954D9">
        <w:t xml:space="preserve">ruksvärdessystemets hyrestak </w:t>
      </w:r>
      <w:r w:rsidR="00801A4A" w:rsidRPr="003954D9">
        <w:t xml:space="preserve">och </w:t>
      </w:r>
      <w:r w:rsidR="00B51E9C" w:rsidRPr="003954D9">
        <w:t>är det viktigaste skyddet för hyresgästens besittningsrät</w:t>
      </w:r>
      <w:r w:rsidR="00384A32">
        <w:t>t.</w:t>
      </w:r>
      <w:r w:rsidR="00B51E9C" w:rsidRPr="005434A5">
        <w:rPr>
          <w:rStyle w:val="Fotnotsreferens"/>
        </w:rPr>
        <w:footnoteReference w:id="38"/>
      </w:r>
      <w:r w:rsidR="00B51E9C" w:rsidRPr="005434A5">
        <w:t xml:space="preserve"> Bruksvärdessystemet ska efterlikna ett marknadssystem, men samtidigt utgöra en spärr mot oskäliga hyror och därmed trygga rätten</w:t>
      </w:r>
      <w:r w:rsidR="00801A4A" w:rsidRPr="005434A5">
        <w:t xml:space="preserve"> att bo kvar</w:t>
      </w:r>
      <w:r w:rsidR="00B51E9C" w:rsidRPr="005434A5">
        <w:t xml:space="preserve">. Utan </w:t>
      </w:r>
      <w:r w:rsidR="00801A4A" w:rsidRPr="005434A5">
        <w:t xml:space="preserve">besittningsskyddet </w:t>
      </w:r>
      <w:r w:rsidR="00B51E9C" w:rsidRPr="005434A5">
        <w:t>kan hyresvärden tvinga bort hyresgästen</w:t>
      </w:r>
      <w:r w:rsidR="00791D00" w:rsidRPr="005434A5">
        <w:t xml:space="preserve"> genom att höja hyran</w:t>
      </w:r>
      <w:r w:rsidR="00B51E9C" w:rsidRPr="005434A5">
        <w:t>.</w:t>
      </w:r>
      <w:r w:rsidR="00B51E9C" w:rsidRPr="003954D9">
        <w:t xml:space="preserve"> </w:t>
      </w:r>
    </w:p>
    <w:p w14:paraId="63931091" w14:textId="0378DAC8" w:rsidR="00412299" w:rsidRDefault="00B51E9C" w:rsidP="00412299">
      <w:pPr>
        <w:spacing w:before="120"/>
      </w:pPr>
      <w:r w:rsidRPr="003954D9">
        <w:t xml:space="preserve">Hyreshöjningar på </w:t>
      </w:r>
      <w:r w:rsidR="00365C66" w:rsidRPr="003954D9">
        <w:t>45–55</w:t>
      </w:r>
      <w:r w:rsidRPr="003954D9">
        <w:t xml:space="preserve"> procent</w:t>
      </w:r>
      <w:r w:rsidR="00791D00">
        <w:t>,</w:t>
      </w:r>
      <w:r w:rsidRPr="003954D9">
        <w:t xml:space="preserve"> </w:t>
      </w:r>
      <w:r w:rsidR="008D62A7" w:rsidRPr="003954D9">
        <w:t xml:space="preserve">som </w:t>
      </w:r>
      <w:r w:rsidR="00246523">
        <w:t xml:space="preserve">i </w:t>
      </w:r>
      <w:r w:rsidR="008D62A7" w:rsidRPr="003954D9">
        <w:t xml:space="preserve">Göteborg </w:t>
      </w:r>
      <w:r w:rsidR="00791D00">
        <w:t xml:space="preserve">i samband med standardhöjande åtgärder </w:t>
      </w:r>
      <w:r w:rsidRPr="003954D9">
        <w:t xml:space="preserve">kan knappast anses vara skäliga. </w:t>
      </w:r>
      <w:r w:rsidR="00384A32">
        <w:t xml:space="preserve">Hyreshöjningar på den nivån ligger inte i linje med bruksvärdessystemets intentioner. Man kan jämföra med andra hyreshöjningar – efter hyresförhandlingar, översyner av hyressättningen samt vid andra typer av prövningar i hyresnämnden. Hyreshöjningarna når då inte upp till samma nivåer som efter de standardshöjande åtgärderna i samband med ombyggnader. </w:t>
      </w:r>
      <w:r w:rsidRPr="003954D9">
        <w:t xml:space="preserve">I andra sammanhang – som när man ser över hyressättningen på en ort </w:t>
      </w:r>
      <w:r w:rsidR="00D076EE">
        <w:t>–</w:t>
      </w:r>
      <w:r w:rsidRPr="003954D9">
        <w:t xml:space="preserve"> handlar det oftast om betydligt mer begränsade hyreshöjningar. Ändå kommer hyresnämnderna fram till att hyreshöjningar på de här nivåerna är skäliga. </w:t>
      </w:r>
    </w:p>
    <w:p w14:paraId="07703C03" w14:textId="5C86DE53" w:rsidR="00CF21CB" w:rsidRPr="003954D9" w:rsidRDefault="00CF21CB" w:rsidP="00412299">
      <w:pPr>
        <w:spacing w:before="120"/>
      </w:pPr>
      <w:r w:rsidRPr="003954D9">
        <w:t xml:space="preserve">Kostnadsskyddet är viktigt inte bara </w:t>
      </w:r>
      <w:r w:rsidR="00791D00">
        <w:t xml:space="preserve">för boende </w:t>
      </w:r>
      <w:r w:rsidRPr="003954D9">
        <w:t xml:space="preserve">på hyresmarknaden; när fastighetsskatten avskaffades var ett av de viktigaste skälen att boendekostnaderna för egnahemsägare inte skulle höjas i takt med marknadspriset eftersom det kunde utsätta de boende för stora kostnadsökningar och tvinga dem att flytta. Begränsningar av hyreshöjningar är inte något unikt för Sverige, utan finns i </w:t>
      </w:r>
      <w:r w:rsidR="00FE72C4">
        <w:t xml:space="preserve">någon form i </w:t>
      </w:r>
      <w:r w:rsidRPr="003954D9">
        <w:t xml:space="preserve">alla utvecklade </w:t>
      </w:r>
      <w:r w:rsidR="008D62A7" w:rsidRPr="003954D9">
        <w:t>ekonomier</w:t>
      </w:r>
      <w:r w:rsidRPr="003954D9">
        <w:t xml:space="preserve">. </w:t>
      </w:r>
    </w:p>
    <w:p w14:paraId="5923BFEB" w14:textId="13AF1216" w:rsidR="00CF21CB" w:rsidRPr="003954D9" w:rsidRDefault="00CF21CB" w:rsidP="00FF7B9D">
      <w:pPr>
        <w:shd w:val="clear" w:color="auto" w:fill="FFFFFF"/>
      </w:pPr>
      <w:r w:rsidRPr="003954D9">
        <w:rPr>
          <w:rFonts w:ascii="Calibri" w:hAnsi="Calibri" w:cs="Arial"/>
          <w:color w:val="44546A"/>
          <w:sz w:val="22"/>
          <w:szCs w:val="22"/>
        </w:rPr>
        <w:t> </w:t>
      </w:r>
    </w:p>
    <w:p w14:paraId="177B3216" w14:textId="264CC3BF" w:rsidR="00B51E9C" w:rsidRPr="003954D9" w:rsidRDefault="00B51E9C" w:rsidP="00337BA8">
      <w:pPr>
        <w:pStyle w:val="Rubrik2"/>
      </w:pPr>
      <w:bookmarkStart w:id="224" w:name="_Toc333217099"/>
      <w:bookmarkStart w:id="225" w:name="_Toc333772927"/>
      <w:bookmarkStart w:id="226" w:name="_Toc333795990"/>
      <w:bookmarkStart w:id="227" w:name="_Toc333796250"/>
      <w:bookmarkStart w:id="228" w:name="_Toc333800778"/>
      <w:bookmarkStart w:id="229" w:name="_Toc333800896"/>
      <w:bookmarkStart w:id="230" w:name="_Toc463184438"/>
      <w:bookmarkStart w:id="231" w:name="_Toc464828446"/>
      <w:r w:rsidRPr="003954D9">
        <w:t>Underhåll</w:t>
      </w:r>
      <w:bookmarkEnd w:id="224"/>
      <w:bookmarkEnd w:id="225"/>
      <w:bookmarkEnd w:id="226"/>
      <w:bookmarkEnd w:id="227"/>
      <w:bookmarkEnd w:id="228"/>
      <w:bookmarkEnd w:id="229"/>
      <w:bookmarkEnd w:id="230"/>
      <w:bookmarkEnd w:id="231"/>
    </w:p>
    <w:p w14:paraId="6C3D3441" w14:textId="77777777" w:rsidR="00B51E9C" w:rsidRPr="003954D9" w:rsidRDefault="00B51E9C" w:rsidP="00B51E9C">
      <w:r w:rsidRPr="003954D9">
        <w:t>Hyresvärden har en skyldighet att genomföra underhåll av fastigheten och lägenheterna. Syftet är då att upprätthålla bostadens funktioner och underhållet kan omfatta tapetsering, målning och golvbehandling, stambyte, byte av vatten- och avloppsrör och fasadunderhåll.</w:t>
      </w:r>
      <w:r w:rsidRPr="003954D9">
        <w:rPr>
          <w:vertAlign w:val="superscript"/>
        </w:rPr>
        <w:footnoteReference w:id="39"/>
      </w:r>
      <w:r w:rsidRPr="003954D9">
        <w:rPr>
          <w:vertAlign w:val="superscript"/>
        </w:rPr>
        <w:t xml:space="preserve"> </w:t>
      </w:r>
    </w:p>
    <w:p w14:paraId="030A9FA6" w14:textId="77777777" w:rsidR="00B51E9C" w:rsidRPr="003954D9" w:rsidRDefault="00B51E9C" w:rsidP="00985016">
      <w:pPr>
        <w:spacing w:before="120"/>
      </w:pPr>
      <w:r w:rsidRPr="003954D9">
        <w:t>Den tekniska livslängden på stammarna för de hyreshus som byggdes under rekordåren håller på att löpa ut, och har i vissa fall redan gjort det. Byts inte stammarna i tid riskeras bland annat vattenläckage. För att komma åt stammarna krävs ofta att ytskikt i kök och/ eller badrum rivs. Ibland krävs även att fast inredning rivs eller demonteras.</w:t>
      </w:r>
      <w:r w:rsidRPr="003954D9">
        <w:rPr>
          <w:vertAlign w:val="superscript"/>
        </w:rPr>
        <w:footnoteReference w:id="40"/>
      </w:r>
      <w:r w:rsidRPr="003954D9">
        <w:rPr>
          <w:vertAlign w:val="superscript"/>
        </w:rPr>
        <w:t xml:space="preserve"> </w:t>
      </w:r>
    </w:p>
    <w:p w14:paraId="499B447F" w14:textId="77777777" w:rsidR="00B51E9C" w:rsidRPr="003954D9" w:rsidRDefault="00B51E9C" w:rsidP="00985016">
      <w:pPr>
        <w:spacing w:before="120"/>
      </w:pPr>
      <w:r w:rsidRPr="003954D9">
        <w:t>En underhållsåtgärd anses vanligen inte vara standardhöjande eftersom lägenhetens standard efter åtgärden sätts i relation till standarden innan förslitningen eller reparationsbehovet uppstod. Det innebär att en underhållsåtgärd inte heller kan ligga till grund för en hyreshöjning.</w:t>
      </w:r>
      <w:r w:rsidRPr="003954D9">
        <w:rPr>
          <w:rStyle w:val="Fotnotsreferens"/>
        </w:rPr>
        <w:footnoteReference w:id="41"/>
      </w:r>
      <w:r w:rsidRPr="003954D9">
        <w:t xml:space="preserve"> </w:t>
      </w:r>
    </w:p>
    <w:p w14:paraId="5BF88196" w14:textId="654D308A" w:rsidR="00B51E9C" w:rsidRPr="003954D9" w:rsidRDefault="00B51E9C" w:rsidP="00985016">
      <w:pPr>
        <w:spacing w:before="120"/>
      </w:pPr>
      <w:r w:rsidRPr="003954D9">
        <w:t xml:space="preserve">När hyresgäster i samband med en ombyggnad konfronteras med den nya hyran invänder man ofta att kostnaderna för ombyggnaden ingår i hyran. Det stämmer till en viss del. Kostnaderna </w:t>
      </w:r>
      <w:r w:rsidRPr="003954D9">
        <w:lastRenderedPageBreak/>
        <w:t xml:space="preserve">för </w:t>
      </w:r>
      <w:r w:rsidRPr="003954D9">
        <w:rPr>
          <w:i/>
        </w:rPr>
        <w:t>underhållet</w:t>
      </w:r>
      <w:r w:rsidRPr="003954D9">
        <w:t xml:space="preserve"> ingår i hyran, men inte kostnaderna för standardhöjande åtgärder. Hyresgästföreningen har med stöd av årsredovisningar från de kommunägda bostadsföretagen visat att deras hyresgäster åren </w:t>
      </w:r>
      <w:r w:rsidR="00365C66" w:rsidRPr="003954D9">
        <w:t>2003–2012</w:t>
      </w:r>
      <w:r w:rsidRPr="003954D9">
        <w:t xml:space="preserve"> betalade 2 065 kr/kvm för underhållet. För en lägenhet på 70 kvm motsvarar det 254 000 kr för hela perioden.</w:t>
      </w:r>
      <w:r w:rsidRPr="003954D9">
        <w:rPr>
          <w:rStyle w:val="Fotnotsreferens"/>
          <w:rFonts w:ascii="Times" w:hAnsi="Times" w:cs="Times"/>
        </w:rPr>
        <w:footnoteReference w:id="42"/>
      </w:r>
      <w:r w:rsidRPr="003954D9">
        <w:t xml:space="preserve">  I </w:t>
      </w:r>
      <w:r w:rsidRPr="003954D9">
        <w:rPr>
          <w:i/>
        </w:rPr>
        <w:t>Hem för miljoner</w:t>
      </w:r>
      <w:r w:rsidRPr="003954D9">
        <w:t xml:space="preserve"> definierar SABO minimal upprustning med att ”företaget åtgärdar tekniska brister som är oacceptabla för de boende, åsamkar stora kostnader eller innebär att fastighetens fortbestånd äventyras. Metoder som minimerar ingreppen väljs.” Kostnaden uppskattas då till 2 000 kronor/m² eller 155 000 kronor för en normalstor trerumslägenhet (77 kvm).</w:t>
      </w:r>
      <w:r w:rsidRPr="003954D9">
        <w:rPr>
          <w:rStyle w:val="Fotnotsreferens"/>
        </w:rPr>
        <w:footnoteReference w:id="43"/>
      </w:r>
      <w:r w:rsidRPr="003954D9">
        <w:t xml:space="preserve"> </w:t>
      </w:r>
      <w:r w:rsidR="006A3D27" w:rsidRPr="003954D9">
        <w:t>Utifrån Hyresgästföreningens och SABO:s beräkningar kan man alltså konstatera att hyresintäkterna gott och väl täcker kostnaderna för en upprustning</w:t>
      </w:r>
    </w:p>
    <w:p w14:paraId="22345661" w14:textId="77777777" w:rsidR="00B51E9C" w:rsidRPr="003954D9" w:rsidRDefault="00B51E9C" w:rsidP="00337BA8">
      <w:pPr>
        <w:pStyle w:val="Rubrik2"/>
      </w:pPr>
      <w:bookmarkStart w:id="232" w:name="_Toc333217100"/>
      <w:bookmarkStart w:id="233" w:name="_Toc333772928"/>
      <w:bookmarkStart w:id="234" w:name="_Toc333795991"/>
      <w:bookmarkStart w:id="235" w:name="_Toc333796251"/>
      <w:bookmarkStart w:id="236" w:name="_Toc333800779"/>
      <w:bookmarkStart w:id="237" w:name="_Toc333800897"/>
      <w:bookmarkStart w:id="238" w:name="_Toc463184439"/>
      <w:bookmarkStart w:id="239" w:name="_Toc464828447"/>
      <w:r w:rsidRPr="003954D9">
        <w:t>Standardhöjande åtgärder</w:t>
      </w:r>
      <w:bookmarkEnd w:id="232"/>
      <w:bookmarkEnd w:id="233"/>
      <w:bookmarkEnd w:id="234"/>
      <w:bookmarkEnd w:id="235"/>
      <w:bookmarkEnd w:id="236"/>
      <w:bookmarkEnd w:id="237"/>
      <w:bookmarkEnd w:id="238"/>
      <w:bookmarkEnd w:id="239"/>
    </w:p>
    <w:p w14:paraId="4CE2953D" w14:textId="1496277C" w:rsidR="00B51E9C" w:rsidRDefault="000B0F30" w:rsidP="00B51E9C">
      <w:r>
        <w:t>Enligt</w:t>
      </w:r>
      <w:r w:rsidR="00B51E9C" w:rsidRPr="003954D9">
        <w:t xml:space="preserve"> jordabalkens kapitel 12, populärt kallad Hyreslagen, har hyresgäster inflytande över standardhöjande åtgärder med en </w:t>
      </w:r>
      <w:r w:rsidR="00B51E9C" w:rsidRPr="003954D9">
        <w:rPr>
          <w:i/>
        </w:rPr>
        <w:t xml:space="preserve">inte obetydlig </w:t>
      </w:r>
      <w:r w:rsidR="00B51E9C" w:rsidRPr="003954D9">
        <w:t>inverkan på bostadslägenhetens bruksvärde och därmed på hyran. Om hyresgästen inte samtycker måste hyresvärden vända sig ti</w:t>
      </w:r>
      <w:r w:rsidR="00235596">
        <w:t xml:space="preserve">ll hyresnämnden för tillstånd. </w:t>
      </w:r>
      <w:r w:rsidR="00B51E9C" w:rsidRPr="003954D9">
        <w:t>För att en åtgärd ska anses vara standardhöjande krävs en förändring till det bättre i förhållande till ursprungsstandarden. Införande av ny utrustning som inte funnits tidigare eller utbyte av utrustning till högre standard är därmed standardhöjande.</w:t>
      </w:r>
      <w:r w:rsidR="00B51E9C" w:rsidRPr="003954D9">
        <w:rPr>
          <w:vertAlign w:val="superscript"/>
        </w:rPr>
        <w:footnoteReference w:id="44"/>
      </w:r>
      <w:r w:rsidR="00B51E9C" w:rsidRPr="003954D9">
        <w:t xml:space="preserve"> Det kan då handla om åtgärder som byte av skåp, bänkskivor och diskbänk i köket, nytt kakel bakom diskbänk, nya vitvaror, diskmaskin, tvättmaskin och torktumlare där sådan tidigare inte funnits, nya armaturer, nytt porslin i badrummet och kakel och klinker på väggar och golv samt i övrigt parkettgolv i hela lägenheten och installation av balkong.</w:t>
      </w:r>
      <w:r w:rsidR="00B51E9C" w:rsidRPr="003954D9">
        <w:rPr>
          <w:rStyle w:val="Fotnotsreferens"/>
        </w:rPr>
        <w:footnoteReference w:id="45"/>
      </w:r>
      <w:r w:rsidR="00B51E9C" w:rsidRPr="003954D9">
        <w:t xml:space="preserve"> </w:t>
      </w:r>
    </w:p>
    <w:p w14:paraId="34D63539" w14:textId="77777777" w:rsidR="00DF6180" w:rsidRDefault="00DF6180" w:rsidP="00B51E9C"/>
    <w:p w14:paraId="4BDBD459" w14:textId="77777777" w:rsidR="00DF6180" w:rsidRPr="003954D9" w:rsidRDefault="00DF6180" w:rsidP="00DF6180">
      <w:pPr>
        <w:pStyle w:val="Rubrik2"/>
        <w:rPr>
          <w:color w:val="auto"/>
        </w:rPr>
      </w:pPr>
      <w:bookmarkStart w:id="242" w:name="_Toc333217102"/>
      <w:bookmarkStart w:id="243" w:name="_Toc333772931"/>
      <w:bookmarkStart w:id="244" w:name="_Toc333795994"/>
      <w:bookmarkStart w:id="245" w:name="_Toc333796254"/>
      <w:bookmarkStart w:id="246" w:name="_Toc333800782"/>
      <w:bookmarkStart w:id="247" w:name="_Toc333800900"/>
      <w:bookmarkStart w:id="248" w:name="_Toc463184442"/>
      <w:bookmarkStart w:id="249" w:name="_Toc464828450"/>
      <w:r w:rsidRPr="003954D9">
        <w:t>Rättsutvecklingen för hyresgästernas inflytande</w:t>
      </w:r>
      <w:bookmarkEnd w:id="242"/>
      <w:bookmarkEnd w:id="243"/>
      <w:bookmarkEnd w:id="244"/>
      <w:bookmarkEnd w:id="245"/>
      <w:bookmarkEnd w:id="246"/>
      <w:bookmarkEnd w:id="247"/>
      <w:bookmarkEnd w:id="248"/>
      <w:bookmarkEnd w:id="249"/>
      <w:r w:rsidRPr="003954D9">
        <w:rPr>
          <w:color w:val="auto"/>
          <w:sz w:val="20"/>
          <w:szCs w:val="20"/>
        </w:rPr>
        <w:t xml:space="preserve"> </w:t>
      </w:r>
    </w:p>
    <w:p w14:paraId="4B6E4208" w14:textId="77777777" w:rsidR="00DF6180" w:rsidRPr="003954D9" w:rsidRDefault="00DF6180" w:rsidP="00DF6180">
      <w:pPr>
        <w:pStyle w:val="Rubrik3"/>
      </w:pPr>
      <w:bookmarkStart w:id="250" w:name="_Toc463184443"/>
      <w:bookmarkStart w:id="251" w:name="_Toc464828451"/>
      <w:r w:rsidRPr="003954D9">
        <w:t>Bostadssaneringslagen (1974–94)</w:t>
      </w:r>
      <w:bookmarkEnd w:id="250"/>
      <w:bookmarkEnd w:id="251"/>
      <w:r w:rsidRPr="003954D9">
        <w:t xml:space="preserve"> </w:t>
      </w:r>
    </w:p>
    <w:p w14:paraId="5FE815BB" w14:textId="2A9061C2" w:rsidR="00DF6180" w:rsidRPr="003954D9" w:rsidRDefault="00DF6180" w:rsidP="00DF6180">
      <w:r w:rsidRPr="003954D9">
        <w:t>Bostadssaneringslagen innebar att ”den organiserade hyresgäströrelsen” (Hyresgästföreningen) utfärdade ett hyresgästintyg som gav klartecken för ombyggnad. Möjlighet att stoppa åtgärderna fanns bara om lägenheten redan hade lägsta godtagbara standard och åtgärden inte var ”påkallad av boendehänsyn”. Med boendehänsyn avsågs det objektiva intresset bland hyresgäster i allmänhet. Bara i ”mera uppenbara fall” kunde hyresnämnden stoppa åtgärder.</w:t>
      </w:r>
      <w:r w:rsidRPr="003954D9">
        <w:rPr>
          <w:rStyle w:val="Fotnotsreferens"/>
        </w:rPr>
        <w:footnoteReference w:id="46"/>
      </w:r>
      <w:r w:rsidRPr="003954D9">
        <w:t xml:space="preserve"> </w:t>
      </w:r>
    </w:p>
    <w:p w14:paraId="65968531" w14:textId="00030B20" w:rsidR="00DF6180" w:rsidRPr="003954D9" w:rsidRDefault="00DF6180" w:rsidP="00DF6180">
      <w:pPr>
        <w:shd w:val="clear" w:color="auto" w:fill="FFFFFF"/>
      </w:pPr>
      <w:r w:rsidRPr="003954D9">
        <w:rPr>
          <w:rFonts w:ascii="Calibri" w:hAnsi="Calibri" w:cs="Arial"/>
          <w:color w:val="44546A"/>
          <w:sz w:val="22"/>
          <w:szCs w:val="22"/>
        </w:rPr>
        <w:t> </w:t>
      </w:r>
    </w:p>
    <w:p w14:paraId="5A8095F8" w14:textId="77777777" w:rsidR="00DF6180" w:rsidRPr="003954D9" w:rsidRDefault="00DF6180" w:rsidP="00DF6180">
      <w:pPr>
        <w:pStyle w:val="Rubrik3"/>
      </w:pPr>
      <w:bookmarkStart w:id="252" w:name="_Toc463184444"/>
      <w:bookmarkStart w:id="253" w:name="_Toc464828452"/>
      <w:r w:rsidRPr="003954D9">
        <w:t xml:space="preserve">Enligt hyreslagen </w:t>
      </w:r>
      <w:bookmarkEnd w:id="252"/>
      <w:bookmarkEnd w:id="253"/>
      <w:r w:rsidRPr="003954D9">
        <w:t>95–96</w:t>
      </w:r>
    </w:p>
    <w:p w14:paraId="12063DE3" w14:textId="77777777" w:rsidR="00DF6180" w:rsidRPr="003954D9" w:rsidRDefault="00DF6180" w:rsidP="00DF6180">
      <w:r w:rsidRPr="003954D9">
        <w:t>Till skillnad från bostadssaneringslagens bestämmelser berördes enbart lägenheterna och inte de gemensamma utrymmena. Man skulle då bortse från förbättringsåtgärder som inte var motiverade av boendehänsyn, vilket kom att tolkas som att allt utom ”lyxåtgärder” var tillåtet.</w:t>
      </w:r>
    </w:p>
    <w:p w14:paraId="1480EB6F" w14:textId="77777777" w:rsidR="00DF6180" w:rsidRPr="003954D9" w:rsidRDefault="00DF6180" w:rsidP="00DF6180">
      <w:pPr>
        <w:pStyle w:val="Rubrik3"/>
      </w:pPr>
      <w:bookmarkStart w:id="254" w:name="_Toc309214939"/>
      <w:bookmarkStart w:id="255" w:name="_Toc309215030"/>
      <w:bookmarkStart w:id="256" w:name="_Toc324925010"/>
      <w:bookmarkStart w:id="257" w:name="_Toc325133029"/>
      <w:bookmarkStart w:id="258" w:name="_Toc341793957"/>
      <w:bookmarkStart w:id="259" w:name="_Toc463184445"/>
      <w:bookmarkStart w:id="260" w:name="_Toc464828453"/>
      <w:r w:rsidRPr="003954D9">
        <w:t>Enligt hyreslagen</w:t>
      </w:r>
      <w:bookmarkEnd w:id="254"/>
      <w:bookmarkEnd w:id="255"/>
      <w:r w:rsidRPr="003954D9">
        <w:t xml:space="preserve"> 1997 och framåt</w:t>
      </w:r>
      <w:bookmarkEnd w:id="256"/>
      <w:bookmarkEnd w:id="257"/>
      <w:bookmarkEnd w:id="258"/>
      <w:bookmarkEnd w:id="259"/>
      <w:bookmarkEnd w:id="260"/>
    </w:p>
    <w:p w14:paraId="30D4BD1E" w14:textId="77777777" w:rsidR="00DF6180" w:rsidRPr="003954D9" w:rsidRDefault="00DF6180" w:rsidP="00DF6180">
      <w:r w:rsidRPr="003954D9">
        <w:t>För att återställa balansen mellan hyresgästerna infördes regler att standardhöjande åtgärder i den enskilda lägenheten kräver godkännande av hyresgästen. Om hyresgästerna inte godkände åtgärden kunde hyresvärden begära godkännande av hyresnämnden. H</w:t>
      </w:r>
      <w:r w:rsidRPr="003954D9">
        <w:rPr>
          <w:szCs w:val="23"/>
        </w:rPr>
        <w:t xml:space="preserve">yresnämnderna hade dittills ansett att ”hyresgästerna i allmänhet” hade intresse av att erhålla en modern </w:t>
      </w:r>
      <w:r w:rsidRPr="003954D9">
        <w:rPr>
          <w:szCs w:val="23"/>
        </w:rPr>
        <w:lastRenderedPageBreak/>
        <w:t>nybyggnadsstandard. Så blev det också med de lagändringar som genomfördes. E</w:t>
      </w:r>
      <w:r w:rsidRPr="003954D9">
        <w:t xml:space="preserve">n ny utredare tillsattes redan 1997 för att stärka hyresgästernas inflytande. </w:t>
      </w:r>
    </w:p>
    <w:p w14:paraId="6C67FFC9" w14:textId="77777777" w:rsidR="00DF6180" w:rsidRPr="003954D9" w:rsidRDefault="00DF6180" w:rsidP="00DF6180">
      <w:pPr>
        <w:pStyle w:val="Rubrik3"/>
      </w:pPr>
      <w:bookmarkStart w:id="261" w:name="_Toc324925015"/>
      <w:bookmarkStart w:id="262" w:name="_Toc325133034"/>
      <w:bookmarkStart w:id="263" w:name="_Toc341793962"/>
      <w:bookmarkStart w:id="264" w:name="_Toc463184446"/>
      <w:bookmarkStart w:id="265" w:name="_Toc464828454"/>
      <w:r w:rsidRPr="003954D9">
        <w:t>Enligt hyreslagen 2002 och framåt</w:t>
      </w:r>
      <w:bookmarkEnd w:id="261"/>
      <w:bookmarkEnd w:id="262"/>
      <w:bookmarkEnd w:id="263"/>
      <w:bookmarkEnd w:id="264"/>
      <w:bookmarkEnd w:id="265"/>
    </w:p>
    <w:p w14:paraId="6CCCC4B1" w14:textId="2F703819" w:rsidR="00DF6180" w:rsidRPr="003954D9" w:rsidRDefault="00DF6180" w:rsidP="00DF6180">
      <w:pPr>
        <w:rPr>
          <w:szCs w:val="23"/>
        </w:rPr>
      </w:pPr>
      <w:r w:rsidRPr="003954D9">
        <w:rPr>
          <w:szCs w:val="23"/>
        </w:rPr>
        <w:t xml:space="preserve">Ambitionen var att minska fokus på nybyggnadsstandard och öka hyresgästens möjlighet till framgång i hyresnämnden </w:t>
      </w:r>
      <w:r w:rsidR="001F48B1">
        <w:rPr>
          <w:szCs w:val="23"/>
        </w:rPr>
        <w:t xml:space="preserve">genom att formulera om begreppet </w:t>
      </w:r>
      <w:r w:rsidR="001F48B1" w:rsidRPr="001F48B1">
        <w:rPr>
          <w:i/>
          <w:szCs w:val="23"/>
        </w:rPr>
        <w:t xml:space="preserve">det </w:t>
      </w:r>
      <w:r w:rsidRPr="001F48B1">
        <w:rPr>
          <w:i/>
          <w:szCs w:val="23"/>
        </w:rPr>
        <w:t>objektiva hyresgästintresset</w:t>
      </w:r>
      <w:r w:rsidRPr="003954D9">
        <w:rPr>
          <w:szCs w:val="23"/>
        </w:rPr>
        <w:t xml:space="preserve">. Dittills hade det objektiva hyresgästintresset enligt förarbetena till lagändringen utgått från ett likformigt hyresgästintresse som i praxis hade blivit modern eller normal nybyggnadsstandard, vilket alltså oftast överensstämde med hyresvärdens intresse. Nu skulle hyresvärdens intresse vägas mot </w:t>
      </w:r>
      <w:r w:rsidRPr="003954D9">
        <w:rPr>
          <w:i/>
          <w:szCs w:val="23"/>
        </w:rPr>
        <w:t>de skilda intressen</w:t>
      </w:r>
      <w:r w:rsidRPr="003954D9">
        <w:rPr>
          <w:szCs w:val="23"/>
        </w:rPr>
        <w:t xml:space="preserve"> som hyresgäster i allmänhet kunde ha. Hyresgäster är inte en enhetlig grupp och därför var det viktigt att hänsyn tas till fler ”allmänna och typiska, men inte nödvändigtvis dominerande” intressen. Ju större hyreshöjningen kunde tänkas bli, desto starkare skäl skulle hyresvärden kunna visa. Om hyresvärden ville gå utöver normal och ändamålsenlig fastighetsförvaltning och åtgärden kunde medföra en kraftig hyreshöjning, skulle hyresgästens intresse ta över. Om det inte skedde ändringar i tillämpningen lovade regeringen att återkomma.</w:t>
      </w:r>
      <w:r w:rsidRPr="003954D9">
        <w:rPr>
          <w:rStyle w:val="Fotnotsreferens"/>
          <w:szCs w:val="23"/>
        </w:rPr>
        <w:footnoteReference w:id="47"/>
      </w:r>
      <w:r w:rsidRPr="003954D9">
        <w:rPr>
          <w:szCs w:val="23"/>
        </w:rPr>
        <w:t xml:space="preserve"> Någon ändring av tillämpningen skedde inte och nya direktiv till en utredning utarbetades 2006, men återkallades av den nytillträdda regeringen året därpå.</w:t>
      </w:r>
      <w:r w:rsidRPr="003954D9">
        <w:rPr>
          <w:rStyle w:val="Fotnotsreferens"/>
          <w:szCs w:val="23"/>
        </w:rPr>
        <w:footnoteReference w:id="48"/>
      </w:r>
      <w:r w:rsidRPr="003954D9">
        <w:rPr>
          <w:szCs w:val="23"/>
        </w:rPr>
        <w:t xml:space="preserve"> </w:t>
      </w:r>
    </w:p>
    <w:p w14:paraId="06A2B21D" w14:textId="77777777" w:rsidR="00DF6180" w:rsidRPr="003954D9" w:rsidRDefault="00DF6180" w:rsidP="00DF6180">
      <w:pPr>
        <w:pStyle w:val="Rubrik3"/>
      </w:pPr>
      <w:bookmarkStart w:id="266" w:name="_Toc463184447"/>
      <w:bookmarkStart w:id="267" w:name="_Toc464828455"/>
      <w:r w:rsidRPr="003954D9">
        <w:t>2015 års utredning</w:t>
      </w:r>
      <w:bookmarkEnd w:id="266"/>
      <w:bookmarkEnd w:id="267"/>
    </w:p>
    <w:p w14:paraId="2A97C719" w14:textId="77777777" w:rsidR="00DF6180" w:rsidRPr="003954D9" w:rsidRDefault="00DF6180" w:rsidP="00DF6180">
      <w:pPr>
        <w:rPr>
          <w:szCs w:val="23"/>
        </w:rPr>
      </w:pPr>
      <w:r w:rsidRPr="003954D9">
        <w:rPr>
          <w:szCs w:val="23"/>
        </w:rPr>
        <w:t>År 2015 tillsatte regeringen åter en utredning för att undersöka om det finns behov av att bättre tillgodose hyresgästers ställning. Utredningen motiverades med att det var oklart om 2002 års lagändring fått effekt eller inte och med att både Hyresgästföreningen och Fastighetsägarna var missnöjda med lagstiftningen.</w:t>
      </w:r>
      <w:r w:rsidRPr="003954D9">
        <w:rPr>
          <w:rStyle w:val="Fotnotsreferens"/>
          <w:szCs w:val="23"/>
        </w:rPr>
        <w:footnoteReference w:id="49"/>
      </w:r>
      <w:r w:rsidRPr="003954D9">
        <w:rPr>
          <w:szCs w:val="23"/>
        </w:rPr>
        <w:t xml:space="preserve"> Utredaren ska undersöka om storleken på en kommande hyreshöjning tillmäts den betydelse som var avsedd och om hyresgästernas inflytande ska stärkas.</w:t>
      </w:r>
      <w:r w:rsidRPr="003954D9">
        <w:rPr>
          <w:rStyle w:val="Fotnotsreferens"/>
          <w:szCs w:val="23"/>
        </w:rPr>
        <w:footnoteReference w:id="50"/>
      </w:r>
      <w:r w:rsidRPr="003954D9">
        <w:rPr>
          <w:szCs w:val="23"/>
        </w:rPr>
        <w:t xml:space="preserve"> </w:t>
      </w:r>
    </w:p>
    <w:p w14:paraId="18C4AADE" w14:textId="77777777" w:rsidR="00DF6180" w:rsidRPr="003954D9" w:rsidRDefault="00DF6180" w:rsidP="00B51E9C"/>
    <w:p w14:paraId="07276EDB" w14:textId="18FE8869" w:rsidR="00B51E9C" w:rsidRPr="003954D9" w:rsidRDefault="00B51E9C" w:rsidP="00337BA8">
      <w:pPr>
        <w:pStyle w:val="Rubrik2"/>
      </w:pPr>
      <w:bookmarkStart w:id="268" w:name="_Toc333217101"/>
      <w:bookmarkStart w:id="269" w:name="_Toc333772929"/>
      <w:bookmarkStart w:id="270" w:name="_Toc333795992"/>
      <w:bookmarkStart w:id="271" w:name="_Toc333796252"/>
      <w:bookmarkStart w:id="272" w:name="_Toc333800780"/>
      <w:bookmarkStart w:id="273" w:name="_Toc333800898"/>
      <w:bookmarkStart w:id="274" w:name="_Toc463184440"/>
      <w:bookmarkStart w:id="275" w:name="_Toc464828448"/>
      <w:r w:rsidRPr="003954D9">
        <w:t>När hyresgästen inte samtycker</w:t>
      </w:r>
      <w:bookmarkEnd w:id="268"/>
      <w:bookmarkEnd w:id="269"/>
      <w:bookmarkEnd w:id="270"/>
      <w:bookmarkEnd w:id="271"/>
      <w:bookmarkEnd w:id="272"/>
      <w:bookmarkEnd w:id="273"/>
      <w:bookmarkEnd w:id="274"/>
      <w:bookmarkEnd w:id="275"/>
      <w:r w:rsidR="001F48B1">
        <w:t xml:space="preserve"> </w:t>
      </w:r>
    </w:p>
    <w:p w14:paraId="0ED480F5" w14:textId="4E6682F9" w:rsidR="00B51E9C" w:rsidRPr="003954D9" w:rsidRDefault="001F48B1" w:rsidP="00B51E9C">
      <w:r>
        <w:t xml:space="preserve">Hyresgästerna ska alltså enligt dagens lagstiftning ha inflytande på ombyggnaden. </w:t>
      </w:r>
      <w:r w:rsidR="00B51E9C" w:rsidRPr="003954D9">
        <w:t xml:space="preserve">Hyresgästinflytandet får betydelse först om en hyresgäst inte vill godkänna hyresvärdens åtgärder. Hyresvärden kan då vända sig till hyresnämnden. Om hyresvärden har ett </w:t>
      </w:r>
      <w:r w:rsidR="00B51E9C" w:rsidRPr="003954D9">
        <w:rPr>
          <w:i/>
        </w:rPr>
        <w:t>beaktansvärt</w:t>
      </w:r>
      <w:r w:rsidR="00B51E9C" w:rsidRPr="003954D9">
        <w:t xml:space="preserve"> intresse av att utföra åtgärden</w:t>
      </w:r>
      <w:r w:rsidR="00B70D08" w:rsidRPr="003954D9">
        <w:t xml:space="preserve">, </w:t>
      </w:r>
      <w:r w:rsidR="00B51E9C" w:rsidRPr="003954D9">
        <w:t xml:space="preserve">om ligger i linje </w:t>
      </w:r>
      <w:r w:rsidR="00B70D08" w:rsidRPr="003954D9">
        <w:t xml:space="preserve">med det </w:t>
      </w:r>
      <w:r w:rsidR="00B51E9C" w:rsidRPr="003954D9">
        <w:rPr>
          <w:i/>
        </w:rPr>
        <w:t xml:space="preserve">objektiva hyresgästintresset </w:t>
      </w:r>
      <w:r w:rsidR="00B51E9C" w:rsidRPr="003954D9">
        <w:t xml:space="preserve">och om </w:t>
      </w:r>
      <w:r w:rsidR="00B70D08" w:rsidRPr="003954D9">
        <w:t xml:space="preserve">den </w:t>
      </w:r>
      <w:r w:rsidR="00B51E9C" w:rsidRPr="003954D9">
        <w:t>intresseavvägning</w:t>
      </w:r>
      <w:r w:rsidR="00B70D08" w:rsidRPr="003954D9">
        <w:t xml:space="preserve"> </w:t>
      </w:r>
      <w:r>
        <w:t>hyresnämnden</w:t>
      </w:r>
      <w:r w:rsidR="00B70D08" w:rsidRPr="003954D9">
        <w:t xml:space="preserve"> genomför </w:t>
      </w:r>
      <w:r w:rsidR="00B51E9C" w:rsidRPr="003954D9">
        <w:t>utfaller till hyresvärdens fördel</w:t>
      </w:r>
      <w:r w:rsidR="00B70D08" w:rsidRPr="003954D9">
        <w:t xml:space="preserve">, </w:t>
      </w:r>
      <w:r w:rsidR="00B51E9C" w:rsidRPr="003954D9">
        <w:t>kan nämnden besluta att åtgärderna ska tillåtas.</w:t>
      </w:r>
      <w:r w:rsidR="00B51E9C" w:rsidRPr="003954D9">
        <w:rPr>
          <w:vertAlign w:val="superscript"/>
        </w:rPr>
        <w:footnoteReference w:id="51"/>
      </w:r>
      <w:r w:rsidR="00B51E9C" w:rsidRPr="003954D9">
        <w:rPr>
          <w:vertAlign w:val="superscript"/>
        </w:rPr>
        <w:t xml:space="preserve"> </w:t>
      </w:r>
    </w:p>
    <w:p w14:paraId="0AB499D7" w14:textId="1CB21678" w:rsidR="008B402C" w:rsidRPr="003954D9" w:rsidRDefault="00B51E9C" w:rsidP="00985016">
      <w:pPr>
        <w:spacing w:before="120"/>
      </w:pPr>
      <w:r w:rsidRPr="003954D9">
        <w:t xml:space="preserve">Att intresset är beaktansvärt innebär att hyresvärden ska ha ett objektivt och acceptabelt motiv för de tillståndspliktiga åtgärderna. Att upprätthålla en god boendestandard anses utgöra ett sådant motiv. God boendestandard definierades 96/97 som normal nybyggnadsstandard eftersom detta är en standard som </w:t>
      </w:r>
      <w:r w:rsidR="008B402C" w:rsidRPr="003954D9">
        <w:t>”</w:t>
      </w:r>
      <w:r w:rsidRPr="003954D9">
        <w:t>hyresgäster i allmänhet förväntar sig av en hyreslägenhet.</w:t>
      </w:r>
      <w:r w:rsidR="008B402C" w:rsidRPr="003954D9">
        <w:t>”</w:t>
      </w:r>
      <w:r w:rsidRPr="003954D9">
        <w:rPr>
          <w:rStyle w:val="Fotnotsreferens"/>
        </w:rPr>
        <w:footnoteReference w:id="52"/>
      </w:r>
      <w:r w:rsidRPr="003954D9">
        <w:t xml:space="preserve"> </w:t>
      </w:r>
    </w:p>
    <w:p w14:paraId="59F0794D" w14:textId="4D7E7C76" w:rsidR="00B51E9C" w:rsidRPr="003954D9" w:rsidRDefault="00B51E9C" w:rsidP="00985016">
      <w:pPr>
        <w:spacing w:before="120"/>
      </w:pPr>
      <w:r w:rsidRPr="003954D9">
        <w:t xml:space="preserve">Ett beaktansvärt intresse kan </w:t>
      </w:r>
      <w:r w:rsidR="00B70D08" w:rsidRPr="003954D9">
        <w:t xml:space="preserve">också </w:t>
      </w:r>
      <w:r w:rsidRPr="003954D9">
        <w:t xml:space="preserve">vara att den standardhöjande åtgärden föregås av ett stambyte. Stambyten är ofta ett stort ingripande och det kan vara nödvändigt att riva ut delar av den befintliga inredningen. Om hyresvärden kan visa att det är olämpligt eller oekonomiskt att återställa befintlig inredning kan det anses vara ett beaktansvärt intresse. Ett annat skäl kan </w:t>
      </w:r>
      <w:r w:rsidRPr="003954D9">
        <w:lastRenderedPageBreak/>
        <w:t xml:space="preserve">vara att åtgärderna är sådana att tillstånd normalt ges för åtgärderna ifråga. Det har dock förekommit att stambyten inte anses föranleda åtgärden ifråga. Andra beaktansvärda skäl kan vara att bara en mindre andel av hyresgästerna motsätter sig åtgärderna och att det är mer rationellt att genomföra dem i samtliga lägenheter eller att byte av material förlänger den tekniska livslängden. </w:t>
      </w:r>
      <w:r w:rsidRPr="003954D9">
        <w:rPr>
          <w:rStyle w:val="Fotnotsreferens"/>
        </w:rPr>
        <w:footnoteReference w:id="53"/>
      </w:r>
      <w:r w:rsidRPr="003954D9">
        <w:t xml:space="preserve"> </w:t>
      </w:r>
    </w:p>
    <w:p w14:paraId="796A6ACB" w14:textId="4DBB6DA9" w:rsidR="00B51E9C" w:rsidRDefault="00B51E9C" w:rsidP="00235596">
      <w:pPr>
        <w:spacing w:before="120"/>
      </w:pPr>
      <w:r w:rsidRPr="003954D9">
        <w:t>Hyresnämnden ska väga hyresvärdens intresse mot det objektiva hyresgästintresset, det vill säga vad ”skilda intressen hyresgäster i allmänhet kan antas ha”. En hyresgäst kan inte motsätta sig åtgärder som hyresgäster normalt förväntar sig i en modern lägenhet.</w:t>
      </w:r>
      <w:r w:rsidRPr="003954D9">
        <w:rPr>
          <w:rStyle w:val="Fotnotsreferens"/>
        </w:rPr>
        <w:footnoteReference w:id="54"/>
      </w:r>
      <w:r w:rsidRPr="003954D9">
        <w:t xml:space="preserve"> I realiteten har det </w:t>
      </w:r>
      <w:r w:rsidR="001F48B1">
        <w:t xml:space="preserve">alltså </w:t>
      </w:r>
      <w:r w:rsidRPr="003954D9">
        <w:t>kommit att betyda nybyggnadsstandard. Som en följd har hyrorna i ombyggda lägenheter kunnat höjas till samma nivå som i nybyggda hyreshus.</w:t>
      </w:r>
      <w:r w:rsidRPr="003954D9">
        <w:rPr>
          <w:rStyle w:val="Fotnotsreferens"/>
          <w:sz w:val="20"/>
          <w:szCs w:val="20"/>
        </w:rPr>
        <w:footnoteReference w:id="55"/>
      </w:r>
      <w:r w:rsidRPr="003954D9">
        <w:t xml:space="preserve"> Praxis stämmer illa med lagstiftarens intentioner (2002) och därför tillsattes 2015 en utredning med uppdrag att se över hyresgästinflytandet vid ombyggnad. </w:t>
      </w:r>
    </w:p>
    <w:p w14:paraId="1E7A88CC" w14:textId="77777777" w:rsidR="00412299" w:rsidRPr="003954D9" w:rsidRDefault="00412299" w:rsidP="00B51E9C"/>
    <w:p w14:paraId="63191E18" w14:textId="77777777" w:rsidR="00B51E9C" w:rsidRPr="003954D9" w:rsidRDefault="00B51E9C" w:rsidP="00337BA8">
      <w:pPr>
        <w:pStyle w:val="Rubrik2"/>
      </w:pPr>
      <w:bookmarkStart w:id="276" w:name="_Toc333772930"/>
      <w:bookmarkStart w:id="277" w:name="_Toc333795993"/>
      <w:bookmarkStart w:id="278" w:name="_Toc333796253"/>
      <w:bookmarkStart w:id="279" w:name="_Toc333800781"/>
      <w:bookmarkStart w:id="280" w:name="_Toc333800899"/>
      <w:bookmarkStart w:id="281" w:name="_Toc463184441"/>
      <w:bookmarkStart w:id="282" w:name="_Toc464828449"/>
      <w:r w:rsidRPr="003954D9">
        <w:t>Hyresvärden får nästan alltid höja hyran</w:t>
      </w:r>
      <w:bookmarkEnd w:id="276"/>
      <w:bookmarkEnd w:id="277"/>
      <w:bookmarkEnd w:id="278"/>
      <w:bookmarkEnd w:id="279"/>
      <w:bookmarkEnd w:id="280"/>
      <w:bookmarkEnd w:id="281"/>
      <w:bookmarkEnd w:id="282"/>
    </w:p>
    <w:p w14:paraId="55A46812" w14:textId="77777777" w:rsidR="00B51E9C" w:rsidRPr="003954D9" w:rsidRDefault="00B51E9C" w:rsidP="00B51E9C">
      <w:r w:rsidRPr="003954D9">
        <w:t>Ett examensarbete från juridiska institutionen vid Göteborgs universitet ifrågasätter det rimliga i dagens rättstillämpning när det gäller hyresgästinflytandet vid ombyggnad. Denna, menar författaren, står i strid med förarbetenas anvisningar om hur lagreglerna ska tillämpas. Framställningen i detta avsnitt bygger till stora delar på examensarbetets resonemang.</w:t>
      </w:r>
      <w:r w:rsidRPr="003954D9">
        <w:rPr>
          <w:vertAlign w:val="superscript"/>
        </w:rPr>
        <w:footnoteReference w:id="56"/>
      </w:r>
      <w:r w:rsidRPr="003954D9">
        <w:rPr>
          <w:vertAlign w:val="superscript"/>
        </w:rPr>
        <w:t xml:space="preserve"> </w:t>
      </w:r>
    </w:p>
    <w:p w14:paraId="5A8E2462" w14:textId="57F819D8" w:rsidR="000B0F30" w:rsidRDefault="00B51E9C" w:rsidP="00B51E9C">
      <w:r w:rsidRPr="003954D9">
        <w:t xml:space="preserve">Uppsatsförfattaren konstaterar inledningsvis att hyresvärden vid i så gott som samtliga prövningar av ombyggnadsärenden får rätt. Hyresnämnden i Göteborg prövade 232 ärenden från 2002-01-01 till och med 2015-08-31. I samtliga </w:t>
      </w:r>
      <w:r w:rsidR="001F48B1">
        <w:t xml:space="preserve">ärenden </w:t>
      </w:r>
      <w:r w:rsidRPr="003954D9">
        <w:t xml:space="preserve">utom ett gavs tillstånd till begärda ombyggnadsarbeten. I ett ärende avslogs hyresvärdens ansökan, men endast partiellt. Beslutet överklagades av hyresvärden till Svea Hovrätt, som biföll hyresvärdens talan i sin helhet. Uppsatsförfattaren går igenom Svea Hovrätts sakprövningar under åren </w:t>
      </w:r>
      <w:r w:rsidR="00365C66" w:rsidRPr="003954D9">
        <w:t>2010–2015</w:t>
      </w:r>
      <w:r w:rsidRPr="003954D9">
        <w:t xml:space="preserve"> och visar att hovrätten accepterade hyresvärdens begäran i samtliga 79 fall.</w:t>
      </w:r>
      <w:r w:rsidRPr="003954D9">
        <w:rPr>
          <w:vertAlign w:val="superscript"/>
        </w:rPr>
        <w:footnoteReference w:id="57"/>
      </w:r>
      <w:r w:rsidR="00822B16">
        <w:t xml:space="preserve"> Ett</w:t>
      </w:r>
      <w:r w:rsidRPr="003954D9">
        <w:t xml:space="preserve"> </w:t>
      </w:r>
      <w:r w:rsidR="00822B16">
        <w:t>e</w:t>
      </w:r>
      <w:r w:rsidR="00E4748A">
        <w:t>xamensarbete gjort vid Juridiska fakulteten</w:t>
      </w:r>
      <w:r w:rsidR="00822B16">
        <w:t xml:space="preserve"> i Uppsala 2016 och omfattade åren 2000-2015 gav samma bild.</w:t>
      </w:r>
      <w:r w:rsidR="00E4748A">
        <w:rPr>
          <w:rStyle w:val="Fotnotsreferens"/>
        </w:rPr>
        <w:footnoteReference w:id="58"/>
      </w:r>
      <w:r w:rsidR="00822B16">
        <w:t xml:space="preserve"> </w:t>
      </w:r>
    </w:p>
    <w:p w14:paraId="7552BFD0" w14:textId="26B664BE" w:rsidR="00B51E9C" w:rsidRPr="003954D9" w:rsidRDefault="00B51E9C" w:rsidP="00B51E9C">
      <w:r w:rsidRPr="003954D9">
        <w:t xml:space="preserve">Intressant är att domstolarnas bedömning inte ändrats trots att lagstiftaren 2002 gav tydliga indikationer om att så skulle ske. </w:t>
      </w:r>
      <w:r w:rsidR="006B7EC6">
        <w:t xml:space="preserve">Hyresgästerna har alltså </w:t>
      </w:r>
      <w:r w:rsidRPr="003954D9">
        <w:t>små möjligheter att påverka omfattning</w:t>
      </w:r>
      <w:r w:rsidR="006B7EC6">
        <w:t xml:space="preserve">en av de standardhöjande åtgärderna. </w:t>
      </w:r>
    </w:p>
    <w:p w14:paraId="56A95337" w14:textId="77777777" w:rsidR="00B51E9C" w:rsidRPr="003954D9" w:rsidRDefault="00B51E9C" w:rsidP="00337BA8">
      <w:pPr>
        <w:pStyle w:val="Rubrik3"/>
      </w:pPr>
      <w:bookmarkStart w:id="283" w:name="_Toc333772932"/>
      <w:bookmarkStart w:id="284" w:name="_Toc333795995"/>
      <w:bookmarkStart w:id="285" w:name="_Toc333796255"/>
      <w:bookmarkStart w:id="286" w:name="_Toc333800783"/>
      <w:bookmarkStart w:id="287" w:name="_Toc333800901"/>
      <w:bookmarkStart w:id="288" w:name="_Toc463184448"/>
      <w:bookmarkStart w:id="289" w:name="_Toc464828456"/>
      <w:r w:rsidRPr="003954D9">
        <w:t>Några avgöranden</w:t>
      </w:r>
      <w:bookmarkEnd w:id="283"/>
      <w:bookmarkEnd w:id="284"/>
      <w:bookmarkEnd w:id="285"/>
      <w:bookmarkEnd w:id="286"/>
      <w:bookmarkEnd w:id="287"/>
      <w:bookmarkEnd w:id="288"/>
      <w:bookmarkEnd w:id="289"/>
    </w:p>
    <w:p w14:paraId="38EA56F2" w14:textId="493B66F9" w:rsidR="00B51E9C" w:rsidRPr="003954D9" w:rsidRDefault="00B51E9C" w:rsidP="00B51E9C">
      <w:pPr>
        <w:rPr>
          <w:szCs w:val="23"/>
        </w:rPr>
      </w:pPr>
      <w:r w:rsidRPr="003954D9">
        <w:rPr>
          <w:szCs w:val="23"/>
        </w:rPr>
        <w:t xml:space="preserve">Hyresnämnderna har använt olika </w:t>
      </w:r>
      <w:r w:rsidR="001F48B1">
        <w:rPr>
          <w:szCs w:val="23"/>
        </w:rPr>
        <w:t>motiveringar</w:t>
      </w:r>
      <w:r w:rsidRPr="003954D9">
        <w:rPr>
          <w:szCs w:val="23"/>
        </w:rPr>
        <w:t xml:space="preserve"> för att underkänna hyresgästers krav att de standardhöjande åtgärderna ska begränsas. Ett skäl kan vara att hyresgästen är skyddad mot oskälig hyra eftersom denna är förhandlad i kollektiva förhandlingar. I och med att hyran är förhandlad kan den anses ligga inom ramen för hyreslagen och bruksvärdessystemet även när hyreshöjningen är så hög som 66 procent. Annars ses det som en skyddsregel att hyresgäster ska kunna få hyran prövad av hyresnämnden även när hyran är förhandlad.</w:t>
      </w:r>
      <w:r w:rsidRPr="003954D9">
        <w:rPr>
          <w:rStyle w:val="Fotnotsreferens"/>
          <w:szCs w:val="23"/>
        </w:rPr>
        <w:footnoteReference w:id="59"/>
      </w:r>
      <w:r w:rsidRPr="003954D9">
        <w:rPr>
          <w:szCs w:val="23"/>
        </w:rPr>
        <w:t xml:space="preserve"> Motsatta skälet kan också anges. I ett avgörande var hyran inte framförhandlad och då hette det att det inte gick att bedöma hyrans framtida storlek och därmed inte att fastställa det objektiva hyresgästintresset. </w:t>
      </w:r>
    </w:p>
    <w:p w14:paraId="11166652" w14:textId="77777777" w:rsidR="00B51E9C" w:rsidRPr="003954D9" w:rsidRDefault="00B51E9C" w:rsidP="00337BA8">
      <w:pPr>
        <w:pStyle w:val="Rubrik2"/>
      </w:pPr>
      <w:bookmarkStart w:id="290" w:name="_Toc333772933"/>
      <w:bookmarkStart w:id="291" w:name="_Toc333795996"/>
      <w:bookmarkStart w:id="292" w:name="_Toc333796256"/>
      <w:bookmarkStart w:id="293" w:name="_Toc333800784"/>
      <w:bookmarkStart w:id="294" w:name="_Toc333800902"/>
      <w:bookmarkStart w:id="295" w:name="_Toc463184449"/>
      <w:bookmarkStart w:id="296" w:name="_Toc464828457"/>
      <w:r w:rsidRPr="003954D9">
        <w:lastRenderedPageBreak/>
        <w:t>Bibehållen standard</w:t>
      </w:r>
      <w:bookmarkEnd w:id="290"/>
      <w:bookmarkEnd w:id="291"/>
      <w:bookmarkEnd w:id="292"/>
      <w:bookmarkEnd w:id="293"/>
      <w:bookmarkEnd w:id="294"/>
      <w:bookmarkEnd w:id="295"/>
      <w:bookmarkEnd w:id="296"/>
    </w:p>
    <w:p w14:paraId="77FCB5AD" w14:textId="648DC23C" w:rsidR="000F282F" w:rsidRDefault="00B51E9C" w:rsidP="00B51E9C">
      <w:pPr>
        <w:rPr>
          <w:szCs w:val="23"/>
        </w:rPr>
      </w:pPr>
      <w:r w:rsidRPr="001F48B1">
        <w:rPr>
          <w:szCs w:val="23"/>
        </w:rPr>
        <w:t>Förarbetena till nu gällande lagstiftning anger att en hyresvärd inte bör hindras från att upprätthålla en god boendestandard i sitt hus. Frågan är om måste innebära samma standard som vid nyproduktion? För att hyran inte ska höjas måste standarden hållas på samma nivå som innan ombyggnaden skedde genom att lägenhetens inredning behålls oförändrad eller återställs. I förarbetena till lagändringen 2002 hette det att ”om den aktuella inredningen är i gott skick eller efter sedvanligt underhåll kan ställas i gott skick, kan hyresgästens intresse av att behålla inredningen många gånger väga minst lika tungt som hyresvärdens intresse av att ersätta den med modern inredning.</w:t>
      </w:r>
      <w:r w:rsidR="00CD1C48" w:rsidRPr="001F48B1">
        <w:rPr>
          <w:szCs w:val="23"/>
        </w:rPr>
        <w:t xml:space="preserve">” </w:t>
      </w:r>
      <w:r w:rsidR="00CD1C48">
        <w:rPr>
          <w:szCs w:val="23"/>
        </w:rPr>
        <w:t>och</w:t>
      </w:r>
      <w:r w:rsidR="000F282F">
        <w:rPr>
          <w:szCs w:val="23"/>
        </w:rPr>
        <w:t xml:space="preserve"> vidare </w:t>
      </w:r>
      <w:r w:rsidRPr="001F48B1">
        <w:rPr>
          <w:szCs w:val="23"/>
        </w:rPr>
        <w:t>”</w:t>
      </w:r>
      <w:proofErr w:type="gramStart"/>
      <w:r w:rsidRPr="001F48B1">
        <w:rPr>
          <w:szCs w:val="23"/>
        </w:rPr>
        <w:t>…om</w:t>
      </w:r>
      <w:proofErr w:type="gramEnd"/>
      <w:r w:rsidRPr="001F48B1">
        <w:rPr>
          <w:szCs w:val="23"/>
        </w:rPr>
        <w:t xml:space="preserve"> hyresvärden vill ersätta en äldre köksinredning med en modernare sådan, så kan hyresgästens intresse av att bevara befintligt kök överväga, under förutsättning att den befintliga inredningen kan ställas i gott skick efter sedvanligt underhåll.”</w:t>
      </w:r>
      <w:r w:rsidRPr="000F282F">
        <w:rPr>
          <w:vertAlign w:val="superscript"/>
        </w:rPr>
        <w:footnoteReference w:id="60"/>
      </w:r>
      <w:r w:rsidRPr="000F282F">
        <w:t xml:space="preserve"> </w:t>
      </w:r>
    </w:p>
    <w:p w14:paraId="0F69718C" w14:textId="77777777" w:rsidR="000F282F" w:rsidRDefault="00B51E9C" w:rsidP="00B51E9C">
      <w:pPr>
        <w:rPr>
          <w:sz w:val="20"/>
          <w:szCs w:val="20"/>
          <w:vertAlign w:val="superscript"/>
        </w:rPr>
      </w:pPr>
      <w:r w:rsidRPr="001F48B1">
        <w:rPr>
          <w:szCs w:val="23"/>
        </w:rPr>
        <w:t>I ett ärende hävdade hyresvärden att det förestående stambytet skulle medföra att inredningen i kök och badrum skulle förstöras. En hyresgäst hävdade att det var en partsuppgift från hyresvärden som hyresnämnden inte utan vidare borde godta. Hyresnämnden anförde då att hyresvärdens uppgifter ”normalt” ska godtas eftersom det är hyresvärden som bestämmer hur stambytet ska genomföras och gav hyresvärden tillstånd till de standardhöjande åtgärderna.</w:t>
      </w:r>
      <w:r w:rsidRPr="000F282F">
        <w:rPr>
          <w:vertAlign w:val="superscript"/>
        </w:rPr>
        <w:footnoteReference w:id="61"/>
      </w:r>
      <w:r w:rsidRPr="000F282F">
        <w:rPr>
          <w:vertAlign w:val="superscript"/>
        </w:rPr>
        <w:t xml:space="preserve"> </w:t>
      </w:r>
    </w:p>
    <w:p w14:paraId="52788E63" w14:textId="77777777" w:rsidR="000F282F" w:rsidRDefault="00B51E9C" w:rsidP="00B51E9C">
      <w:pPr>
        <w:rPr>
          <w:sz w:val="20"/>
          <w:szCs w:val="20"/>
          <w:vertAlign w:val="superscript"/>
        </w:rPr>
      </w:pPr>
      <w:r w:rsidRPr="001F48B1">
        <w:rPr>
          <w:szCs w:val="23"/>
        </w:rPr>
        <w:t>I ett annat ärende tog hyresgästen hjälp av en arkitekt som påvisade att ett annat förfarande medgav att inredningen kunde bibehållas. Det skulle dessutom spara in kostnader vid ombyggnaden och framtida underhållskostnader. Även i detta fall vidhöll hyresnämnden att det är hyresvärden som avgör vilka åtgärder som ska genomföras.</w:t>
      </w:r>
      <w:r w:rsidRPr="000F282F">
        <w:rPr>
          <w:vertAlign w:val="superscript"/>
        </w:rPr>
        <w:footnoteReference w:id="62"/>
      </w:r>
      <w:r w:rsidRPr="000F282F">
        <w:rPr>
          <w:vertAlign w:val="superscript"/>
        </w:rPr>
        <w:t xml:space="preserve"> </w:t>
      </w:r>
    </w:p>
    <w:p w14:paraId="79E64A7E" w14:textId="77777777" w:rsidR="000F282F" w:rsidRDefault="00B51E9C" w:rsidP="00B51E9C">
      <w:pPr>
        <w:rPr>
          <w:sz w:val="20"/>
          <w:szCs w:val="20"/>
          <w:vertAlign w:val="superscript"/>
        </w:rPr>
      </w:pPr>
      <w:r w:rsidRPr="001F48B1">
        <w:rPr>
          <w:szCs w:val="23"/>
        </w:rPr>
        <w:t>Det har dock förekommit att en prövning lett till att hyresvärden neka</w:t>
      </w:r>
      <w:r w:rsidR="000F282F">
        <w:rPr>
          <w:szCs w:val="23"/>
        </w:rPr>
        <w:t>t</w:t>
      </w:r>
      <w:r w:rsidRPr="001F48B1">
        <w:rPr>
          <w:szCs w:val="23"/>
        </w:rPr>
        <w:t>s standardhöjande ändringar. Skälen i ett sådant ärende var att även dagens hyresgäster skulle uppskatta lägenhetens 50-talsinredning, att köken var i gott skick och att stambytet kunde genomföras utan att förstöra inredningen.</w:t>
      </w:r>
      <w:r w:rsidRPr="000F282F">
        <w:rPr>
          <w:vertAlign w:val="superscript"/>
        </w:rPr>
        <w:footnoteReference w:id="63"/>
      </w:r>
      <w:r w:rsidRPr="000F282F">
        <w:rPr>
          <w:vertAlign w:val="superscript"/>
        </w:rPr>
        <w:t xml:space="preserve"> </w:t>
      </w:r>
    </w:p>
    <w:p w14:paraId="23601A8D" w14:textId="12C4BB96" w:rsidR="00B51E9C" w:rsidRPr="001F48B1" w:rsidRDefault="00B51E9C" w:rsidP="00B51E9C">
      <w:pPr>
        <w:rPr>
          <w:szCs w:val="23"/>
        </w:rPr>
      </w:pPr>
      <w:r w:rsidRPr="001F48B1">
        <w:rPr>
          <w:szCs w:val="23"/>
        </w:rPr>
        <w:t>Dagens ordning, där hyresnämnden inte prövar den av hyresvärden valda metoden för stambyte, följer illa intentionerna bakom den nu gällande lagen. I förarbetena anges att det kan vara ett objektiv hyresgästintresse att bevara äldre, men väl fungerande inredningar. Utan prövning blir det omöjligt att fastslå om något sådant intresse föreligger.</w:t>
      </w:r>
      <w:r w:rsidRPr="000F282F">
        <w:rPr>
          <w:vertAlign w:val="superscript"/>
        </w:rPr>
        <w:footnoteReference w:id="64"/>
      </w:r>
      <w:r w:rsidRPr="000F282F">
        <w:rPr>
          <w:vertAlign w:val="superscript"/>
        </w:rPr>
        <w:t xml:space="preserve"> </w:t>
      </w:r>
    </w:p>
    <w:p w14:paraId="38E766FE" w14:textId="77777777" w:rsidR="00B51E9C" w:rsidRPr="003954D9" w:rsidRDefault="00B51E9C" w:rsidP="00B51E9C">
      <w:pPr>
        <w:rPr>
          <w:rFonts w:ascii="Calibri" w:hAnsi="Calibri" w:cs="Calibri"/>
          <w:position w:val="13"/>
          <w:sz w:val="16"/>
          <w:szCs w:val="16"/>
        </w:rPr>
      </w:pPr>
      <w:r w:rsidRPr="003954D9">
        <w:rPr>
          <w:rFonts w:ascii="Times" w:hAnsi="Times" w:cs="Times"/>
        </w:rPr>
        <w:t xml:space="preserve"> </w:t>
      </w:r>
    </w:p>
    <w:p w14:paraId="2066FAF6" w14:textId="77777777" w:rsidR="00B51E9C" w:rsidRPr="003954D9" w:rsidRDefault="00B51E9C" w:rsidP="00337BA8">
      <w:pPr>
        <w:pStyle w:val="Rubrik2"/>
      </w:pPr>
      <w:bookmarkStart w:id="297" w:name="_Toc333772934"/>
      <w:bookmarkStart w:id="298" w:name="_Toc333795997"/>
      <w:bookmarkStart w:id="299" w:name="_Toc333796257"/>
      <w:bookmarkStart w:id="300" w:name="_Toc333800785"/>
      <w:bookmarkStart w:id="301" w:name="_Toc333800903"/>
      <w:bookmarkStart w:id="302" w:name="_Toc463184450"/>
      <w:bookmarkStart w:id="303" w:name="_Toc464828458"/>
      <w:r w:rsidRPr="003954D9">
        <w:t>Obestämd hyreshöjning</w:t>
      </w:r>
      <w:bookmarkEnd w:id="297"/>
      <w:bookmarkEnd w:id="298"/>
      <w:bookmarkEnd w:id="299"/>
      <w:bookmarkEnd w:id="300"/>
      <w:bookmarkEnd w:id="301"/>
      <w:bookmarkEnd w:id="302"/>
      <w:bookmarkEnd w:id="303"/>
    </w:p>
    <w:p w14:paraId="29B67D4B" w14:textId="77777777" w:rsidR="00B51E9C" w:rsidRPr="003954D9" w:rsidRDefault="00B51E9C" w:rsidP="00B51E9C">
      <w:r w:rsidRPr="003954D9">
        <w:t xml:space="preserve">En svaghet i den nuvarande lagstiftningen är att tillståndsprövningen i hyresnämnden kan ske utan att hyresvärden angett storleken på hyreshöjningen eller att den ska vara framförhandlad av hyresvärden och hyresgästerna. Inte heller hyresnämnden eller Svea hovrätt gör någon uppskattning av en skälig prövning. Samtidigt indikeras i förarbetena till den nu gällande lagen att hyresnämnden ska uppskatta den framtida hyreshöjningen. </w:t>
      </w:r>
    </w:p>
    <w:p w14:paraId="58F17C7D" w14:textId="77777777" w:rsidR="00B51E9C" w:rsidRPr="003954D9" w:rsidRDefault="00B51E9C" w:rsidP="00B51E9C">
      <w:r w:rsidRPr="003954D9">
        <w:t>”Ju större hyreshöjning en åtgärd kan antas föranleda, desto starkare skäl bör hyresvärden rimligen kunna visa på om han likväl vill att åtgärden skall genomföras.”</w:t>
      </w:r>
      <w:r w:rsidRPr="003954D9">
        <w:rPr>
          <w:rStyle w:val="Fotnotsreferens"/>
        </w:rPr>
        <w:footnoteReference w:id="65"/>
      </w:r>
      <w:r w:rsidRPr="003954D9">
        <w:rPr>
          <w:rFonts w:ascii="Calibri" w:hAnsi="Calibri" w:cs="Calibri"/>
          <w:sz w:val="32"/>
          <w:szCs w:val="32"/>
        </w:rPr>
        <w:t xml:space="preserve"> </w:t>
      </w:r>
      <w:r w:rsidRPr="003954D9">
        <w:t xml:space="preserve">Att uppskatta den framtida hyran borde vara en självklar förutsättning för att hyresgästens intresse av att undvika en hyreshöjning ska kunna bedömas. Likväl sker det inte.   </w:t>
      </w:r>
    </w:p>
    <w:p w14:paraId="4341A3DF" w14:textId="77777777" w:rsidR="00B51E9C" w:rsidRPr="003954D9" w:rsidRDefault="00B51E9C" w:rsidP="00337BA8">
      <w:pPr>
        <w:pStyle w:val="Rubrik2"/>
      </w:pPr>
      <w:bookmarkStart w:id="304" w:name="_Toc333772935"/>
      <w:bookmarkStart w:id="305" w:name="_Toc333795998"/>
      <w:bookmarkStart w:id="306" w:name="_Toc333796258"/>
      <w:bookmarkStart w:id="307" w:name="_Toc333800786"/>
      <w:bookmarkStart w:id="308" w:name="_Toc333800904"/>
      <w:bookmarkStart w:id="309" w:name="_Toc463184451"/>
      <w:bookmarkStart w:id="310" w:name="_Toc464828459"/>
      <w:r w:rsidRPr="003954D9">
        <w:lastRenderedPageBreak/>
        <w:t>Fastighetsägarnas ståndpunkt</w:t>
      </w:r>
      <w:bookmarkEnd w:id="304"/>
      <w:bookmarkEnd w:id="305"/>
      <w:bookmarkEnd w:id="306"/>
      <w:bookmarkEnd w:id="307"/>
      <w:bookmarkEnd w:id="308"/>
      <w:bookmarkEnd w:id="309"/>
      <w:bookmarkEnd w:id="310"/>
    </w:p>
    <w:p w14:paraId="48388165" w14:textId="77777777" w:rsidR="00B51E9C" w:rsidRPr="003954D9" w:rsidRDefault="00B51E9C" w:rsidP="00B51E9C">
      <w:r w:rsidRPr="003954D9">
        <w:t xml:space="preserve">Organisationen Fastighetsägarna menar att det måste vara möjligt att bedriva ”en i ett längre perspektiv ekonomiskt rimlig fastighetsförvaltning.” Om flera skilda hyresgästintressen skall kunna göra sig gällande vid intresseavvägningen, kommer detta inte att vara möjligt, menar man och därmed äventyras kvaliteten i hyreshusbeståndet </w:t>
      </w:r>
    </w:p>
    <w:p w14:paraId="58797D44" w14:textId="77777777" w:rsidR="000F282F" w:rsidRDefault="00B51E9C" w:rsidP="00412299">
      <w:pPr>
        <w:spacing w:before="120" w:after="240" w:line="261" w:lineRule="atLeast"/>
      </w:pPr>
      <w:r w:rsidRPr="003954D9">
        <w:t>Man invänder också mot att standardhöjande åtgärder och hyressättning ska kopplas ihop vid tillståndsprövningen och att det finns oklarheter om hur det ska ske</w:t>
      </w:r>
      <w:r w:rsidR="00B044D5" w:rsidRPr="003954D9">
        <w:t xml:space="preserve"> </w:t>
      </w:r>
      <w:r w:rsidRPr="003954D9">
        <w:t xml:space="preserve">och </w:t>
      </w:r>
      <w:r w:rsidR="00B044D5" w:rsidRPr="003954D9">
        <w:t xml:space="preserve">om </w:t>
      </w:r>
      <w:r w:rsidRPr="003954D9">
        <w:t xml:space="preserve">vem </w:t>
      </w:r>
      <w:r w:rsidR="00B044D5" w:rsidRPr="003954D9">
        <w:t xml:space="preserve">som </w:t>
      </w:r>
      <w:r w:rsidRPr="003954D9">
        <w:t>har bevisbördan? Ska sedvanlig bruksvärdesprövning ske eller är det hyreshöjningens storlek som skall vara avgörande? Hyran kan ju ha varit osedvanligt låg före ombyg</w:t>
      </w:r>
      <w:r w:rsidR="00B044D5" w:rsidRPr="003954D9">
        <w:t>gnaden.</w:t>
      </w:r>
      <w:r w:rsidRPr="003954D9">
        <w:t xml:space="preserve"> Det kan dessutom ta flera år från det att hyresvärden begär tillstånd och de standardhöjande åtgärderna är genomförda. Rättspraxis säger också att ett fastställande av bruksvärdet bara kan ske om lägenheten är färdigställd. Till det lägger man att det här handlar om ”det grundläggande värnet om den privata äganderätten”</w:t>
      </w:r>
      <w:r w:rsidRPr="003954D9">
        <w:rPr>
          <w:rStyle w:val="Fotnotsreferens"/>
        </w:rPr>
        <w:footnoteReference w:id="66"/>
      </w:r>
      <w:r w:rsidRPr="003954D9">
        <w:t xml:space="preserve"> </w:t>
      </w:r>
    </w:p>
    <w:p w14:paraId="3AC8E24C" w14:textId="47C77FAE" w:rsidR="00B51E9C" w:rsidRPr="003954D9" w:rsidRDefault="00B51E9C" w:rsidP="00412299">
      <w:pPr>
        <w:spacing w:before="120" w:after="240" w:line="261" w:lineRule="atLeast"/>
      </w:pPr>
      <w:r w:rsidRPr="003954D9">
        <w:t xml:space="preserve">Mot det kan man invända att samma krav inte kan gälla vid en bruksvärdesprövning som vid fastställandet om det föreligger ett objektivt hyresgästintresse. Vid bruksvärdesprövningen fastställs hyran till ett exakt belopp och därför krävs att prövningslägenheten är färdigställd. En uppskattning av de standardhöjande åtgärdernas effekt på hyran behöver däremot inte vara exakt till beloppet. Syftet är ju att fastslå om det föreligger ett objektivt hyresgästintresse eller inte och i så fall väga detta mot hyresvärdens intresse. Syftet är inte att fastslå om en skälig hyresnivå i lagens mening. Med nuvarande ordning hamnar bevisbördan på hyresgästen, som rimligtvis måste betraktas som den svagare parten. </w:t>
      </w:r>
      <w:r w:rsidRPr="003954D9">
        <w:rPr>
          <w:rStyle w:val="Fotnotsreferens"/>
        </w:rPr>
        <w:footnoteReference w:id="67"/>
      </w:r>
      <w:r w:rsidRPr="003954D9">
        <w:t xml:space="preserve"> </w:t>
      </w:r>
    </w:p>
    <w:p w14:paraId="479E58F2" w14:textId="77777777" w:rsidR="00B51E9C" w:rsidRPr="003954D9" w:rsidRDefault="00B51E9C" w:rsidP="00337BA8">
      <w:pPr>
        <w:pStyle w:val="Rubrik2"/>
      </w:pPr>
      <w:bookmarkStart w:id="311" w:name="_Toc333772936"/>
      <w:bookmarkStart w:id="312" w:name="_Toc333795999"/>
      <w:bookmarkStart w:id="313" w:name="_Toc333796259"/>
      <w:bookmarkStart w:id="314" w:name="_Toc333800787"/>
      <w:bookmarkStart w:id="315" w:name="_Toc333800905"/>
      <w:bookmarkStart w:id="316" w:name="_Toc463184452"/>
      <w:bookmarkStart w:id="317" w:name="_Toc464828460"/>
      <w:r w:rsidRPr="003954D9">
        <w:t>”Rationell fastighetsförvaltning</w:t>
      </w:r>
      <w:bookmarkEnd w:id="311"/>
      <w:r w:rsidRPr="003954D9">
        <w:t>”</w:t>
      </w:r>
      <w:bookmarkEnd w:id="312"/>
      <w:bookmarkEnd w:id="313"/>
      <w:bookmarkEnd w:id="314"/>
      <w:bookmarkEnd w:id="315"/>
      <w:bookmarkEnd w:id="316"/>
      <w:bookmarkEnd w:id="317"/>
    </w:p>
    <w:p w14:paraId="639D8460" w14:textId="25FFE64D" w:rsidR="00985016" w:rsidRDefault="00B51E9C" w:rsidP="00B51E9C">
      <w:r w:rsidRPr="003954D9">
        <w:t>Självklart har fastighetsägarna goda skäl att få till stånd ombyggnader och upprustningar av sina fastigheter på samma sätt som hyresgästerna har goda skäl att få sina rätt att bo kvar skyddad. ”Reglerna måste således vara utformade så att</w:t>
      </w:r>
      <w:r w:rsidR="00B044D5" w:rsidRPr="003954D9">
        <w:t xml:space="preserve"> </w:t>
      </w:r>
      <w:r w:rsidRPr="003954D9">
        <w:t>en fastighetsägare har möjlighet att bedriva en rationell fastighetsförvaltning</w:t>
      </w:r>
      <w:r w:rsidR="00B044D5" w:rsidRPr="003954D9">
        <w:t xml:space="preserve"> </w:t>
      </w:r>
      <w:r w:rsidRPr="003954D9">
        <w:t>samtidigt som en hyresgäst har möjlighet att i rimlig utsträckning ha inflytande</w:t>
      </w:r>
      <w:r w:rsidR="00B044D5" w:rsidRPr="003954D9">
        <w:t xml:space="preserve"> </w:t>
      </w:r>
      <w:r w:rsidRPr="003954D9">
        <w:t>över sin bostad.”, heter det i lagförslaget från 1997.</w:t>
      </w:r>
      <w:r w:rsidRPr="003954D9">
        <w:rPr>
          <w:rStyle w:val="Fotnotsreferens"/>
        </w:rPr>
        <w:footnoteReference w:id="68"/>
      </w:r>
      <w:r w:rsidRPr="003954D9">
        <w:t xml:space="preserve"> Innebär 2002 års förändring av hyresgästinflytandet att möjligheterna för en rationell fastighetsförvaltning försvagades?  I det tidigare anförda examensarbetet i juridik påpekas att ett antal aktörer på hyresmarknaden låter hyresgäster välja mellan olika nivåer på standardhöjande åtgärder.</w:t>
      </w:r>
      <w:r w:rsidRPr="003954D9">
        <w:rPr>
          <w:rStyle w:val="Fotnotsreferens"/>
        </w:rPr>
        <w:footnoteReference w:id="69"/>
      </w:r>
      <w:r w:rsidRPr="003954D9">
        <w:t xml:space="preserve"> En genomgång av ombyggnadsärendena inför lagändringen visade att kom</w:t>
      </w:r>
      <w:r w:rsidR="000F282F">
        <w:t>munala bostadsföretag ibland låtit</w:t>
      </w:r>
      <w:r w:rsidRPr="003954D9">
        <w:t xml:space="preserve"> hyresgästerna avgöra om de ville höja standarden i köken medan de privata hyresvärdarna som regel begärde att standarden i köken skulle höjas.</w:t>
      </w:r>
      <w:r w:rsidRPr="003954D9">
        <w:rPr>
          <w:rStyle w:val="Fotnotsreferens"/>
        </w:rPr>
        <w:footnoteReference w:id="70"/>
      </w:r>
      <w:r w:rsidRPr="003954D9">
        <w:t xml:space="preserve"> </w:t>
      </w:r>
    </w:p>
    <w:p w14:paraId="130462FC" w14:textId="3D50FE58" w:rsidR="00B51E9C" w:rsidRPr="003954D9" w:rsidRDefault="00B51E9C" w:rsidP="00985016">
      <w:pPr>
        <w:spacing w:before="120"/>
      </w:pPr>
      <w:r w:rsidRPr="003954D9">
        <w:t>Under senare år har det blivit allt vanligare att kommunala hyresvärdar låter hyresgäster välja mellan olika nivåer på åtgärderna. I de kommunala bostadsföretagen i Göteborgs stad</w:t>
      </w:r>
      <w:r w:rsidR="00326A4E">
        <w:t xml:space="preserve"> </w:t>
      </w:r>
      <w:r w:rsidR="00326A4E" w:rsidRPr="003954D9">
        <w:t>är det numera regel</w:t>
      </w:r>
      <w:r w:rsidR="00326A4E">
        <w:t>.</w:t>
      </w:r>
      <w:r w:rsidR="00326A4E" w:rsidRPr="003954D9">
        <w:rPr>
          <w:rStyle w:val="Fotnotsreferens"/>
        </w:rPr>
        <w:t xml:space="preserve"> </w:t>
      </w:r>
      <w:r w:rsidRPr="003954D9">
        <w:rPr>
          <w:rStyle w:val="Fotnotsreferens"/>
        </w:rPr>
        <w:footnoteReference w:id="71"/>
      </w:r>
      <w:r w:rsidRPr="003954D9">
        <w:t>. Det har även gjorts i Sigtuna</w:t>
      </w:r>
      <w:r w:rsidRPr="003954D9">
        <w:rPr>
          <w:rStyle w:val="Fotnotsreferens"/>
        </w:rPr>
        <w:footnoteReference w:id="72"/>
      </w:r>
      <w:r w:rsidRPr="003954D9">
        <w:t xml:space="preserve"> och HSB Göteborg har valt samma förfarande. </w:t>
      </w:r>
      <w:r w:rsidR="00A23736">
        <w:t xml:space="preserve">Ett annat </w:t>
      </w:r>
      <w:r w:rsidRPr="003954D9">
        <w:t xml:space="preserve">exempel </w:t>
      </w:r>
      <w:r w:rsidR="00A23736">
        <w:t xml:space="preserve">på hur </w:t>
      </w:r>
      <w:r w:rsidRPr="003954D9">
        <w:t xml:space="preserve">de boende </w:t>
      </w:r>
      <w:r w:rsidR="00A23736">
        <w:t xml:space="preserve">kan </w:t>
      </w:r>
      <w:r w:rsidRPr="003954D9">
        <w:t xml:space="preserve">påverka omfattningen av hyreshöjningarna är kommunägda Holma i Malmö, där hyresgästerna själva kunde måla sina lägenheter och sköta underhåll i både lägenhet och område för att minska sina hyror. I privatägda Fisksätra i </w:t>
      </w:r>
      <w:r w:rsidRPr="003954D9">
        <w:lastRenderedPageBreak/>
        <w:t>Stockholm startade unga egna företag för att arbeta för bostadsbolaget med att göra bostadsområdet mer attraktivt. I ett område i Eksjö valde de boende att ge avkall på tillgänglighet och annat för en lägre hyra. De standardhöjande åtgärderna ledde till en hyreshöjning på 200 kronor för en fyrarummare.</w:t>
      </w:r>
      <w:r w:rsidRPr="003954D9">
        <w:rPr>
          <w:rStyle w:val="Fotnotsreferens"/>
        </w:rPr>
        <w:footnoteReference w:id="73"/>
      </w:r>
      <w:r w:rsidRPr="003954D9">
        <w:t xml:space="preserve"> </w:t>
      </w:r>
    </w:p>
    <w:p w14:paraId="2A560CE7" w14:textId="7D37C5F5" w:rsidR="00B51E9C" w:rsidRPr="003954D9" w:rsidRDefault="00B51E9C" w:rsidP="00412299">
      <w:pPr>
        <w:spacing w:before="120"/>
      </w:pPr>
      <w:r w:rsidRPr="003954D9">
        <w:t>Flera aktörer på hyresmarknaden – både stora och små – väljer alltså att ge hyresgästerna ett reellt inflytande över storleken på de standardhöjande åtgärderna. Att kommunala bostadsföretag inom ramen för det allmännyttiga syftet sedan 2011 ska agera på affärsmässiga villkor ses inte som ett hinder.</w:t>
      </w:r>
      <w:r w:rsidRPr="003954D9">
        <w:rPr>
          <w:rStyle w:val="Fotnotsreferens"/>
        </w:rPr>
        <w:footnoteReference w:id="74"/>
      </w:r>
      <w:r w:rsidRPr="003954D9">
        <w:t xml:space="preserve"> Man borde därför kunna hävda att valfriheten med en låg åtgärdsnivå vad gäller standardhöjande åtgärder ligger inom ramen för ra</w:t>
      </w:r>
      <w:r w:rsidR="00B044D5" w:rsidRPr="003954D9">
        <w:t xml:space="preserve">tionell fastighetsförvaltning. </w:t>
      </w:r>
      <w:r w:rsidRPr="003954D9">
        <w:t xml:space="preserve">Den lägsta nivån kan då anses ligga nära underhåll av fastigheten utan standardhöjande åtgärder, något som går att finansiera med befintliga hyresintäkter. </w:t>
      </w:r>
      <w:r w:rsidRPr="003954D9">
        <w:rPr>
          <w:rStyle w:val="Fotnotsreferens"/>
        </w:rPr>
        <w:footnoteReference w:id="75"/>
      </w:r>
    </w:p>
    <w:p w14:paraId="153A4E90" w14:textId="227F34EC" w:rsidR="00A87742" w:rsidRPr="003954D9" w:rsidRDefault="00337BA8" w:rsidP="00337BA8">
      <w:pPr>
        <w:pStyle w:val="Rubrik1"/>
      </w:pPr>
      <w:bookmarkStart w:id="318" w:name="_Toc333173919"/>
      <w:bookmarkStart w:id="319" w:name="_Toc333217092"/>
      <w:bookmarkStart w:id="320" w:name="_Toc333772921"/>
      <w:bookmarkStart w:id="321" w:name="_Toc333796000"/>
      <w:bookmarkStart w:id="322" w:name="_Toc333796260"/>
      <w:bookmarkStart w:id="323" w:name="_Toc333800788"/>
      <w:bookmarkStart w:id="324" w:name="_Toc333800906"/>
      <w:bookmarkStart w:id="325" w:name="_Toc463184453"/>
      <w:bookmarkStart w:id="326" w:name="_Toc464828461"/>
      <w:bookmarkStart w:id="327" w:name="_Toc467818486"/>
      <w:bookmarkStart w:id="328" w:name="_Toc468614372"/>
      <w:r w:rsidRPr="003954D9">
        <w:t>1</w:t>
      </w:r>
      <w:r w:rsidR="00B17785" w:rsidRPr="003954D9">
        <w:t>1</w:t>
      </w:r>
      <w:r w:rsidRPr="003954D9">
        <w:t xml:space="preserve">. </w:t>
      </w:r>
      <w:r w:rsidR="00A87742" w:rsidRPr="003954D9">
        <w:t>Hur man bor i Göteborg</w:t>
      </w:r>
      <w:bookmarkEnd w:id="318"/>
      <w:bookmarkEnd w:id="319"/>
      <w:bookmarkEnd w:id="320"/>
      <w:bookmarkEnd w:id="321"/>
      <w:bookmarkEnd w:id="322"/>
      <w:bookmarkEnd w:id="323"/>
      <w:bookmarkEnd w:id="324"/>
      <w:bookmarkEnd w:id="325"/>
      <w:bookmarkEnd w:id="326"/>
      <w:bookmarkEnd w:id="327"/>
      <w:bookmarkEnd w:id="328"/>
    </w:p>
    <w:p w14:paraId="5E89464B" w14:textId="535AA408" w:rsidR="00A87742" w:rsidRPr="003954D9" w:rsidRDefault="00A87742" w:rsidP="00337BA8">
      <w:pPr>
        <w:pStyle w:val="Rubrik2"/>
      </w:pPr>
      <w:bookmarkStart w:id="329" w:name="_Toc333796001"/>
      <w:bookmarkStart w:id="330" w:name="_Toc333796261"/>
      <w:bookmarkStart w:id="331" w:name="_Toc333800789"/>
      <w:bookmarkStart w:id="332" w:name="_Toc333800907"/>
      <w:bookmarkStart w:id="333" w:name="_Toc463184454"/>
      <w:bookmarkStart w:id="334" w:name="_Toc464828462"/>
      <w:r w:rsidRPr="003954D9">
        <w:t>Stor andel hyresrätter</w:t>
      </w:r>
      <w:bookmarkEnd w:id="329"/>
      <w:bookmarkEnd w:id="330"/>
      <w:bookmarkEnd w:id="331"/>
      <w:bookmarkEnd w:id="332"/>
      <w:bookmarkEnd w:id="333"/>
      <w:bookmarkEnd w:id="334"/>
    </w:p>
    <w:p w14:paraId="78E49638" w14:textId="48B89734" w:rsidR="00A87742" w:rsidRPr="003954D9" w:rsidRDefault="00A87742" w:rsidP="00A87742">
      <w:r w:rsidRPr="003954D9">
        <w:t xml:space="preserve">Hyresrätten intar en mer framskjuten ställning i Göteborg än i Stockholm och Malmö och 150 000 av de totalt 274 000 bostäderna är hyreslägenheter (55 procent). </w:t>
      </w:r>
      <w:r w:rsidR="00D00054">
        <w:t xml:space="preserve"> Se tabell 11:1.</w:t>
      </w:r>
    </w:p>
    <w:p w14:paraId="7463E41E" w14:textId="06319CF9" w:rsidR="00A87742" w:rsidRPr="003954D9" w:rsidRDefault="00B17785" w:rsidP="00B17785">
      <w:pPr>
        <w:pStyle w:val="Rubrik5"/>
      </w:pPr>
      <w:r w:rsidRPr="003954D9">
        <w:t>Tabell 11:1: Upplåtelseform i de tre storstäderna - procent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997"/>
        <w:gridCol w:w="1180"/>
        <w:gridCol w:w="1155"/>
        <w:gridCol w:w="870"/>
      </w:tblGrid>
      <w:tr w:rsidR="00A87742" w:rsidRPr="003954D9" w14:paraId="13B68288" w14:textId="77777777" w:rsidTr="00FA26E0">
        <w:tc>
          <w:tcPr>
            <w:tcW w:w="0" w:type="auto"/>
          </w:tcPr>
          <w:p w14:paraId="373343D1" w14:textId="77777777" w:rsidR="00A87742" w:rsidRPr="003954D9" w:rsidRDefault="00A87742" w:rsidP="00A87742">
            <w:pPr>
              <w:rPr>
                <w:b/>
                <w:sz w:val="20"/>
                <w:szCs w:val="20"/>
              </w:rPr>
            </w:pPr>
          </w:p>
        </w:tc>
        <w:tc>
          <w:tcPr>
            <w:tcW w:w="0" w:type="auto"/>
          </w:tcPr>
          <w:p w14:paraId="44BD7893" w14:textId="77777777" w:rsidR="00A87742" w:rsidRPr="003954D9" w:rsidRDefault="00A87742" w:rsidP="00A87742">
            <w:pPr>
              <w:jc w:val="center"/>
              <w:rPr>
                <w:rFonts w:asciiTheme="majorHAnsi" w:hAnsiTheme="majorHAnsi"/>
                <w:b/>
                <w:sz w:val="20"/>
                <w:szCs w:val="20"/>
              </w:rPr>
            </w:pPr>
            <w:r w:rsidRPr="003954D9">
              <w:rPr>
                <w:rFonts w:asciiTheme="majorHAnsi" w:hAnsiTheme="majorHAnsi"/>
                <w:b/>
                <w:sz w:val="20"/>
                <w:szCs w:val="20"/>
              </w:rPr>
              <w:t>Hyresrätt</w:t>
            </w:r>
          </w:p>
        </w:tc>
        <w:tc>
          <w:tcPr>
            <w:tcW w:w="0" w:type="auto"/>
          </w:tcPr>
          <w:p w14:paraId="33C77C77" w14:textId="77777777" w:rsidR="00A87742" w:rsidRPr="003954D9" w:rsidRDefault="00A87742" w:rsidP="00A87742">
            <w:pPr>
              <w:jc w:val="center"/>
              <w:rPr>
                <w:rFonts w:asciiTheme="majorHAnsi" w:hAnsiTheme="majorHAnsi"/>
                <w:b/>
                <w:sz w:val="20"/>
                <w:szCs w:val="20"/>
              </w:rPr>
            </w:pPr>
            <w:r w:rsidRPr="003954D9">
              <w:rPr>
                <w:rFonts w:asciiTheme="majorHAnsi" w:hAnsiTheme="majorHAnsi"/>
                <w:b/>
                <w:sz w:val="20"/>
                <w:szCs w:val="20"/>
              </w:rPr>
              <w:t>Bostadsrätt</w:t>
            </w:r>
          </w:p>
        </w:tc>
        <w:tc>
          <w:tcPr>
            <w:tcW w:w="0" w:type="auto"/>
          </w:tcPr>
          <w:p w14:paraId="06FEABA3" w14:textId="77777777" w:rsidR="00A87742" w:rsidRPr="003954D9" w:rsidRDefault="00A87742" w:rsidP="00A87742">
            <w:pPr>
              <w:jc w:val="center"/>
              <w:rPr>
                <w:rFonts w:asciiTheme="majorHAnsi" w:hAnsiTheme="majorHAnsi"/>
                <w:b/>
                <w:sz w:val="20"/>
                <w:szCs w:val="20"/>
              </w:rPr>
            </w:pPr>
            <w:r w:rsidRPr="003954D9">
              <w:rPr>
                <w:rFonts w:asciiTheme="majorHAnsi" w:hAnsiTheme="majorHAnsi"/>
                <w:b/>
                <w:sz w:val="20"/>
                <w:szCs w:val="20"/>
              </w:rPr>
              <w:t>Äganderätt</w:t>
            </w:r>
          </w:p>
        </w:tc>
        <w:tc>
          <w:tcPr>
            <w:tcW w:w="0" w:type="auto"/>
          </w:tcPr>
          <w:p w14:paraId="730B4DD9" w14:textId="77777777" w:rsidR="00A87742" w:rsidRPr="003954D9" w:rsidRDefault="00A87742" w:rsidP="00A87742">
            <w:pPr>
              <w:jc w:val="center"/>
              <w:rPr>
                <w:rFonts w:asciiTheme="majorHAnsi" w:hAnsiTheme="majorHAnsi"/>
                <w:b/>
                <w:sz w:val="20"/>
                <w:szCs w:val="20"/>
              </w:rPr>
            </w:pPr>
            <w:r w:rsidRPr="003954D9">
              <w:rPr>
                <w:rFonts w:asciiTheme="majorHAnsi" w:hAnsiTheme="majorHAnsi"/>
                <w:b/>
                <w:sz w:val="20"/>
                <w:szCs w:val="20"/>
              </w:rPr>
              <w:t>Antal</w:t>
            </w:r>
          </w:p>
        </w:tc>
      </w:tr>
      <w:tr w:rsidR="00A87742" w:rsidRPr="003954D9" w14:paraId="26FCF34D" w14:textId="77777777" w:rsidTr="00FA26E0">
        <w:tc>
          <w:tcPr>
            <w:tcW w:w="0" w:type="auto"/>
          </w:tcPr>
          <w:p w14:paraId="5BBA6941" w14:textId="77777777" w:rsidR="00A87742" w:rsidRPr="003954D9" w:rsidRDefault="00A87742" w:rsidP="00A87742">
            <w:pPr>
              <w:rPr>
                <w:b/>
                <w:sz w:val="20"/>
                <w:szCs w:val="20"/>
              </w:rPr>
            </w:pPr>
            <w:r w:rsidRPr="003954D9">
              <w:rPr>
                <w:b/>
                <w:sz w:val="20"/>
                <w:szCs w:val="20"/>
              </w:rPr>
              <w:t>Göteborg</w:t>
            </w:r>
          </w:p>
        </w:tc>
        <w:tc>
          <w:tcPr>
            <w:tcW w:w="0" w:type="auto"/>
          </w:tcPr>
          <w:p w14:paraId="1964D841"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55</w:t>
            </w:r>
          </w:p>
        </w:tc>
        <w:tc>
          <w:tcPr>
            <w:tcW w:w="0" w:type="auto"/>
          </w:tcPr>
          <w:p w14:paraId="4CC8EFD5"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28</w:t>
            </w:r>
          </w:p>
        </w:tc>
        <w:tc>
          <w:tcPr>
            <w:tcW w:w="0" w:type="auto"/>
          </w:tcPr>
          <w:p w14:paraId="53A59D63"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17</w:t>
            </w:r>
          </w:p>
        </w:tc>
        <w:tc>
          <w:tcPr>
            <w:tcW w:w="0" w:type="auto"/>
          </w:tcPr>
          <w:p w14:paraId="1393C518"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274 292</w:t>
            </w:r>
          </w:p>
        </w:tc>
      </w:tr>
      <w:tr w:rsidR="00A87742" w:rsidRPr="003954D9" w14:paraId="0620AFB2" w14:textId="77777777" w:rsidTr="00FA26E0">
        <w:tc>
          <w:tcPr>
            <w:tcW w:w="0" w:type="auto"/>
          </w:tcPr>
          <w:p w14:paraId="510E92AF" w14:textId="77777777" w:rsidR="00A87742" w:rsidRPr="003954D9" w:rsidRDefault="00A87742" w:rsidP="00A87742">
            <w:pPr>
              <w:rPr>
                <w:b/>
                <w:sz w:val="20"/>
                <w:szCs w:val="20"/>
              </w:rPr>
            </w:pPr>
            <w:r w:rsidRPr="003954D9">
              <w:rPr>
                <w:b/>
                <w:sz w:val="20"/>
                <w:szCs w:val="20"/>
              </w:rPr>
              <w:t>Stockholm</w:t>
            </w:r>
          </w:p>
        </w:tc>
        <w:tc>
          <w:tcPr>
            <w:tcW w:w="0" w:type="auto"/>
          </w:tcPr>
          <w:p w14:paraId="371E28E1"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44</w:t>
            </w:r>
          </w:p>
        </w:tc>
        <w:tc>
          <w:tcPr>
            <w:tcW w:w="0" w:type="auto"/>
          </w:tcPr>
          <w:p w14:paraId="1B130965"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48</w:t>
            </w:r>
          </w:p>
        </w:tc>
        <w:tc>
          <w:tcPr>
            <w:tcW w:w="0" w:type="auto"/>
          </w:tcPr>
          <w:p w14:paraId="445C305F"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8</w:t>
            </w:r>
          </w:p>
        </w:tc>
        <w:tc>
          <w:tcPr>
            <w:tcW w:w="0" w:type="auto"/>
          </w:tcPr>
          <w:p w14:paraId="1FB88DB2"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468 416</w:t>
            </w:r>
          </w:p>
        </w:tc>
      </w:tr>
      <w:tr w:rsidR="00A87742" w:rsidRPr="003954D9" w14:paraId="38892B41" w14:textId="77777777" w:rsidTr="00FA26E0">
        <w:tc>
          <w:tcPr>
            <w:tcW w:w="0" w:type="auto"/>
          </w:tcPr>
          <w:p w14:paraId="2F0104D3" w14:textId="77777777" w:rsidR="00A87742" w:rsidRPr="003954D9" w:rsidRDefault="00A87742" w:rsidP="00A87742">
            <w:pPr>
              <w:rPr>
                <w:b/>
                <w:sz w:val="20"/>
                <w:szCs w:val="20"/>
              </w:rPr>
            </w:pPr>
            <w:r w:rsidRPr="003954D9">
              <w:rPr>
                <w:b/>
                <w:sz w:val="20"/>
                <w:szCs w:val="20"/>
              </w:rPr>
              <w:t>Malmö</w:t>
            </w:r>
          </w:p>
        </w:tc>
        <w:tc>
          <w:tcPr>
            <w:tcW w:w="0" w:type="auto"/>
          </w:tcPr>
          <w:p w14:paraId="5522DF3A"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46</w:t>
            </w:r>
          </w:p>
        </w:tc>
        <w:tc>
          <w:tcPr>
            <w:tcW w:w="0" w:type="auto"/>
          </w:tcPr>
          <w:p w14:paraId="35DAA656"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40</w:t>
            </w:r>
          </w:p>
        </w:tc>
        <w:tc>
          <w:tcPr>
            <w:tcW w:w="0" w:type="auto"/>
          </w:tcPr>
          <w:p w14:paraId="202C0B29"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14</w:t>
            </w:r>
          </w:p>
        </w:tc>
        <w:tc>
          <w:tcPr>
            <w:tcW w:w="0" w:type="auto"/>
          </w:tcPr>
          <w:p w14:paraId="54B4D62C"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156 587</w:t>
            </w:r>
          </w:p>
        </w:tc>
      </w:tr>
      <w:tr w:rsidR="00A87742" w:rsidRPr="003954D9" w14:paraId="6FF9D8A5" w14:textId="77777777" w:rsidTr="00FA26E0">
        <w:tc>
          <w:tcPr>
            <w:tcW w:w="0" w:type="auto"/>
          </w:tcPr>
          <w:p w14:paraId="014D2B38" w14:textId="77777777" w:rsidR="00A87742" w:rsidRPr="003954D9" w:rsidRDefault="00A87742" w:rsidP="00A87742">
            <w:pPr>
              <w:rPr>
                <w:b/>
                <w:sz w:val="20"/>
                <w:szCs w:val="20"/>
              </w:rPr>
            </w:pPr>
            <w:r w:rsidRPr="003954D9">
              <w:rPr>
                <w:b/>
                <w:sz w:val="20"/>
                <w:szCs w:val="20"/>
              </w:rPr>
              <w:t>Stor-Göteborg</w:t>
            </w:r>
          </w:p>
        </w:tc>
        <w:tc>
          <w:tcPr>
            <w:tcW w:w="0" w:type="auto"/>
          </w:tcPr>
          <w:p w14:paraId="087FA537"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43</w:t>
            </w:r>
          </w:p>
        </w:tc>
        <w:tc>
          <w:tcPr>
            <w:tcW w:w="0" w:type="auto"/>
          </w:tcPr>
          <w:p w14:paraId="23F1E65B"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23</w:t>
            </w:r>
          </w:p>
        </w:tc>
        <w:tc>
          <w:tcPr>
            <w:tcW w:w="0" w:type="auto"/>
          </w:tcPr>
          <w:p w14:paraId="121EF8F5"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36</w:t>
            </w:r>
          </w:p>
        </w:tc>
        <w:tc>
          <w:tcPr>
            <w:tcW w:w="0" w:type="auto"/>
          </w:tcPr>
          <w:p w14:paraId="49417A33" w14:textId="77777777" w:rsidR="00A87742" w:rsidRPr="003954D9" w:rsidRDefault="00A87742" w:rsidP="00A87742">
            <w:pPr>
              <w:jc w:val="right"/>
              <w:rPr>
                <w:rFonts w:asciiTheme="majorHAnsi" w:hAnsiTheme="majorHAnsi"/>
                <w:sz w:val="20"/>
                <w:szCs w:val="20"/>
              </w:rPr>
            </w:pPr>
            <w:r w:rsidRPr="003954D9">
              <w:rPr>
                <w:rFonts w:asciiTheme="majorHAnsi" w:hAnsiTheme="majorHAnsi"/>
                <w:sz w:val="20"/>
                <w:szCs w:val="20"/>
              </w:rPr>
              <w:t>456 920</w:t>
            </w:r>
          </w:p>
        </w:tc>
      </w:tr>
    </w:tbl>
    <w:p w14:paraId="5EF9197E" w14:textId="77777777" w:rsidR="00A87742" w:rsidRPr="003954D9" w:rsidRDefault="00A87742" w:rsidP="00A87742">
      <w:pPr>
        <w:rPr>
          <w:rFonts w:asciiTheme="majorHAnsi" w:hAnsiTheme="majorHAnsi"/>
          <w:sz w:val="16"/>
          <w:szCs w:val="16"/>
        </w:rPr>
      </w:pPr>
      <w:r w:rsidRPr="003954D9">
        <w:rPr>
          <w:rFonts w:asciiTheme="majorHAnsi" w:hAnsiTheme="majorHAnsi"/>
          <w:sz w:val="16"/>
          <w:szCs w:val="16"/>
        </w:rPr>
        <w:t>(källa: SCB Antal lägenheter efter region, hustyp och upplåtelseform (inklusive specialbostäder) År 2013 – 2015)</w:t>
      </w:r>
    </w:p>
    <w:p w14:paraId="1553D1D0" w14:textId="77777777" w:rsidR="00A87742" w:rsidRPr="003954D9" w:rsidRDefault="00A87742" w:rsidP="00A87742"/>
    <w:p w14:paraId="4BA4E6A3" w14:textId="77777777" w:rsidR="00A87742" w:rsidRPr="003954D9" w:rsidRDefault="00A87742" w:rsidP="00A87742">
      <w:r w:rsidRPr="003954D9">
        <w:t>Nästan alla hyreslägenheter finns i flerbostadshus (87 procent) och en mindre andel utgörs av specialbostäder (6 procent). Nästan hälften av hyreslägenheterna – 47 procent – ägs av de fyra kommunala bostadsföretagen och de övriga av privata hyresvärdar och stiftelser. Knappt en femtedel av bostäderna i Göteborg är småhus (17 procent) som nästan alla har äganderätt som upplåtelseform (93 procent). Bostadsrätterna utgör 28 procent av bostäderna i Göteborg och nästan alla finns i flerbostadshus (96 procent).</w:t>
      </w:r>
    </w:p>
    <w:p w14:paraId="1030DF66" w14:textId="40C17B82" w:rsidR="00A87742" w:rsidRPr="003954D9" w:rsidRDefault="00A87742" w:rsidP="00985016">
      <w:pPr>
        <w:spacing w:before="120"/>
      </w:pPr>
      <w:r w:rsidRPr="003954D9">
        <w:t>Skillnaden i boendemönster mellan Göteborgs stad och den övriga regionen bidrar till segregationen. Det är framförallt barnfamiljer med svensk bakgrund som flyttar ut från Göteborg till ett villaboende i kranskommunern</w:t>
      </w:r>
      <w:r w:rsidR="004F7ECC" w:rsidRPr="003954D9">
        <w:t>a.</w:t>
      </w:r>
      <w:r w:rsidRPr="003954D9">
        <w:rPr>
          <w:rStyle w:val="Fotnotsreferens"/>
        </w:rPr>
        <w:footnoteReference w:id="76"/>
      </w:r>
      <w:r w:rsidR="004F7ECC" w:rsidRPr="003954D9">
        <w:rPr>
          <w:rStyle w:val="Fotnotsreferens"/>
        </w:rPr>
        <w:t>,</w:t>
      </w:r>
      <w:r w:rsidRPr="003954D9">
        <w:rPr>
          <w:rStyle w:val="Fotnotsreferens"/>
        </w:rPr>
        <w:t xml:space="preserve"> </w:t>
      </w:r>
      <w:r w:rsidRPr="003954D9">
        <w:rPr>
          <w:rStyle w:val="Fotnotsreferens"/>
        </w:rPr>
        <w:footnoteReference w:id="77"/>
      </w:r>
      <w:r w:rsidRPr="003954D9">
        <w:t xml:space="preserve"> </w:t>
      </w:r>
    </w:p>
    <w:p w14:paraId="46DE3FC7" w14:textId="367E1959" w:rsidR="00A87742" w:rsidRPr="003954D9" w:rsidRDefault="00A87742" w:rsidP="00985016">
      <w:pPr>
        <w:spacing w:before="120"/>
      </w:pPr>
      <w:r w:rsidRPr="003954D9">
        <w:t>Knappt 40 procent av hushållen (107 000) är enpersonshushåll och alltså mer sårbara för ekonomiska förändringar än hushåll med två försörjare. Drygt en fjärdedel av hushållen består av två personer. Sedan 1990 är det hushållen med tre eller fler personer som ökat mest. Eftersom bostäderna inte har ökat i takt med befolkningen har bostadsbristen ökat. Om antalet bostäder följt befolkningsutvecklingen skulle det ha funnits ytterligare 24 000 bostäder i Göteborg.</w:t>
      </w:r>
      <w:r w:rsidRPr="003954D9">
        <w:rPr>
          <w:rStyle w:val="Fotnotsreferens"/>
        </w:rPr>
        <w:footnoteReference w:id="78"/>
      </w:r>
      <w:r w:rsidRPr="003954D9">
        <w:t xml:space="preserve"> </w:t>
      </w:r>
    </w:p>
    <w:p w14:paraId="574190DB" w14:textId="77777777" w:rsidR="00A87742" w:rsidRPr="003954D9" w:rsidRDefault="00A87742" w:rsidP="00337BA8">
      <w:pPr>
        <w:pStyle w:val="Rubrik2"/>
      </w:pPr>
      <w:bookmarkStart w:id="335" w:name="_Toc333217093"/>
      <w:bookmarkStart w:id="336" w:name="_Toc333772922"/>
      <w:bookmarkStart w:id="337" w:name="_Toc333796002"/>
      <w:bookmarkStart w:id="338" w:name="_Toc333796262"/>
      <w:bookmarkStart w:id="339" w:name="_Toc333800790"/>
      <w:bookmarkStart w:id="340" w:name="_Toc333800908"/>
      <w:bookmarkStart w:id="341" w:name="_Toc463184455"/>
      <w:bookmarkStart w:id="342" w:name="_Toc464828463"/>
      <w:r w:rsidRPr="003954D9">
        <w:lastRenderedPageBreak/>
        <w:t>Boendets socioekonomiska geografi i Göteborg</w:t>
      </w:r>
      <w:bookmarkEnd w:id="335"/>
      <w:bookmarkEnd w:id="336"/>
      <w:bookmarkEnd w:id="337"/>
      <w:bookmarkEnd w:id="338"/>
      <w:bookmarkEnd w:id="339"/>
      <w:bookmarkEnd w:id="340"/>
      <w:bookmarkEnd w:id="341"/>
      <w:bookmarkEnd w:id="342"/>
      <w:r w:rsidRPr="003954D9">
        <w:t xml:space="preserve"> </w:t>
      </w:r>
    </w:p>
    <w:p w14:paraId="095EFA0D" w14:textId="1E9F4D91" w:rsidR="00A87742" w:rsidRPr="003954D9" w:rsidRDefault="00A87742" w:rsidP="00A87742">
      <w:r w:rsidRPr="003954D9">
        <w:t>I jämförelse med liknande storstäder i Europa är Göteborgs stad och region starkt segregerade och polariseringen ökar. Den etniska segregationen och den socioekonomiska uppdelningen har accelererat särskilt efter den ekonomiska krisen i Sverige under 90-talet.</w:t>
      </w:r>
      <w:r w:rsidRPr="003954D9">
        <w:rPr>
          <w:rStyle w:val="Fotnotsreferens"/>
        </w:rPr>
        <w:footnoteReference w:id="79"/>
      </w:r>
      <w:r w:rsidRPr="003954D9">
        <w:t xml:space="preserve"> Flera stadsdelar i Göteborgs stad </w:t>
      </w:r>
      <w:r w:rsidR="004F7ECC" w:rsidRPr="003954D9">
        <w:t xml:space="preserve">har genomgått eller </w:t>
      </w:r>
      <w:r w:rsidRPr="003954D9">
        <w:t xml:space="preserve">genomgår en process av </w:t>
      </w:r>
      <w:r w:rsidRPr="003954D9">
        <w:rPr>
          <w:i/>
        </w:rPr>
        <w:t>residualisering</w:t>
      </w:r>
      <w:r w:rsidRPr="003954D9">
        <w:t xml:space="preserve"> (motsatsen till </w:t>
      </w:r>
      <w:r w:rsidRPr="003954D9">
        <w:rPr>
          <w:i/>
        </w:rPr>
        <w:t>gentrifiering</w:t>
      </w:r>
      <w:r w:rsidRPr="003954D9">
        <w:t xml:space="preserve">), där etniska svenskar och medelinkomsttagare lämnar staden eller området. </w:t>
      </w:r>
    </w:p>
    <w:p w14:paraId="61FB0C2B" w14:textId="77777777" w:rsidR="004F7ECC" w:rsidRPr="003954D9" w:rsidRDefault="00A87742" w:rsidP="00A87742">
      <w:r w:rsidRPr="003954D9">
        <w:t>De som bor kvar i de invandrartäta stadsdelarna har en betydligt sämre ställning socialt och ekonomiskt än de hade i början av 1990-talet. Segregationen skapar ökade orättvisor och klasskillnader men också det motsatta förhållandet gäller</w:t>
      </w:r>
      <w:r w:rsidR="004F7ECC" w:rsidRPr="003954D9">
        <w:t xml:space="preserve"> – ökade klyftor spär på segregationen</w:t>
      </w:r>
      <w:r w:rsidRPr="003954D9">
        <w:t xml:space="preserve">. </w:t>
      </w:r>
    </w:p>
    <w:p w14:paraId="1BAB8C0F" w14:textId="386CB66C" w:rsidR="00A87742" w:rsidRPr="003954D9" w:rsidRDefault="00A87742" w:rsidP="00985016">
      <w:pPr>
        <w:spacing w:before="120"/>
      </w:pPr>
      <w:r w:rsidRPr="003954D9">
        <w:t xml:space="preserve">Till det kan läggas </w:t>
      </w:r>
      <w:r w:rsidR="004F7ECC" w:rsidRPr="003954D9">
        <w:t xml:space="preserve">att </w:t>
      </w:r>
      <w:r w:rsidRPr="003954D9">
        <w:t>inflyttningen till Göteborgsregionen och till Göteborgs stad i kombination med ökade löneskillnader och lågt bostadsbyggande har medfört en ökad segregation på den marknadsprissatta delen av bostadsmarknaden.</w:t>
      </w:r>
      <w:r w:rsidRPr="003954D9">
        <w:rPr>
          <w:rStyle w:val="Fotnotsreferens"/>
        </w:rPr>
        <w:footnoteReference w:id="80"/>
      </w:r>
      <w:r w:rsidRPr="003954D9">
        <w:t xml:space="preserve"> Den långsiktiga lösningen är att bygga bort skillnaderna mellan stadsdelarna, menar en grupp av forskare.</w:t>
      </w:r>
      <w:r w:rsidRPr="003954D9">
        <w:rPr>
          <w:rStyle w:val="Fotnotsreferens"/>
        </w:rPr>
        <w:footnoteReference w:id="81"/>
      </w:r>
      <w:r w:rsidRPr="003954D9">
        <w:t xml:space="preserve"> Till det kan läggas det faktum att hyresrätten särbehandlas negativt i jämförelse med upplåtelseformerna äganderätt och bostadsrätt, som genom av ROT- och ränteavdrag årligen subventioneras av staten med 35 miljarder kronor (2015).</w:t>
      </w:r>
      <w:r w:rsidRPr="003954D9">
        <w:rPr>
          <w:rStyle w:val="Fotnotsreferens"/>
        </w:rPr>
        <w:footnoteReference w:id="82"/>
      </w:r>
      <w:r w:rsidRPr="003954D9">
        <w:t xml:space="preserve"> Subventionerna driver upp priserna på bostäder och har en segregerande effekt – hushåll som har råd väljer de subventionerade upplåtelseformerna. En bild av skillnaderna mellan de olika stadsdelarnas befolkning får man om man jämför befolkning, medelinkomst (2015), andel med utländsk bakgrund och andelen öppet arbetslösa och i program. </w:t>
      </w:r>
      <w:r w:rsidR="00D00054">
        <w:t xml:space="preserve"> Se tabell 11:2.</w:t>
      </w:r>
    </w:p>
    <w:p w14:paraId="1F28CBEE" w14:textId="165D33C5" w:rsidR="00A87742" w:rsidRPr="003954D9" w:rsidRDefault="00B17785" w:rsidP="00B17785">
      <w:pPr>
        <w:pStyle w:val="Rubrik5"/>
      </w:pPr>
      <w:bookmarkStart w:id="343" w:name="_Toc333217094"/>
      <w:bookmarkStart w:id="344" w:name="_Toc333772923"/>
      <w:bookmarkStart w:id="345" w:name="_Toc333796003"/>
      <w:bookmarkStart w:id="346" w:name="_Toc333796263"/>
      <w:bookmarkStart w:id="347" w:name="_Toc333800791"/>
      <w:bookmarkStart w:id="348" w:name="_Toc333800909"/>
      <w:r w:rsidRPr="003954D9">
        <w:t xml:space="preserve">Tabell 11:2 </w:t>
      </w:r>
      <w:r w:rsidR="00A87742" w:rsidRPr="003954D9">
        <w:t>Stadsdelarna, befolkning, inkomster och arbetslöshet</w:t>
      </w:r>
      <w:bookmarkEnd w:id="343"/>
      <w:bookmarkEnd w:id="344"/>
      <w:bookmarkEnd w:id="345"/>
      <w:bookmarkEnd w:id="346"/>
      <w:bookmarkEnd w:id="347"/>
      <w:bookmarkEnd w:id="348"/>
      <w:r w:rsidR="00A87742" w:rsidRPr="003954D9">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993"/>
        <w:gridCol w:w="845"/>
        <w:gridCol w:w="850"/>
        <w:gridCol w:w="1417"/>
        <w:gridCol w:w="1277"/>
      </w:tblGrid>
      <w:tr w:rsidR="00A23736" w:rsidRPr="003954D9" w14:paraId="57AB73A3" w14:textId="77777777" w:rsidTr="00FA26E0">
        <w:trPr>
          <w:trHeight w:val="227"/>
        </w:trPr>
        <w:tc>
          <w:tcPr>
            <w:tcW w:w="0" w:type="auto"/>
          </w:tcPr>
          <w:p w14:paraId="71CAFA00"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993" w:type="dxa"/>
          </w:tcPr>
          <w:p w14:paraId="12E5D14E"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Folkmängd tusental</w:t>
            </w:r>
          </w:p>
        </w:tc>
        <w:tc>
          <w:tcPr>
            <w:tcW w:w="845" w:type="dxa"/>
          </w:tcPr>
          <w:p w14:paraId="159B6831"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Utländsk bakgrund procent</w:t>
            </w:r>
          </w:p>
        </w:tc>
        <w:tc>
          <w:tcPr>
            <w:tcW w:w="850" w:type="dxa"/>
          </w:tcPr>
          <w:p w14:paraId="05F8E4E3"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Medel-inkomst tkr </w:t>
            </w:r>
          </w:p>
        </w:tc>
        <w:tc>
          <w:tcPr>
            <w:tcW w:w="1417" w:type="dxa"/>
          </w:tcPr>
          <w:p w14:paraId="38719E13"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Arbetslösa + i program födda i utlandet</w:t>
            </w:r>
          </w:p>
        </w:tc>
        <w:tc>
          <w:tcPr>
            <w:tcW w:w="1277" w:type="dxa"/>
          </w:tcPr>
          <w:p w14:paraId="79CA0EEC"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Arbetslösa + i program födda i Sverige</w:t>
            </w:r>
          </w:p>
        </w:tc>
      </w:tr>
      <w:tr w:rsidR="00A23736" w:rsidRPr="003954D9" w14:paraId="2A9DCC8F" w14:textId="77777777" w:rsidTr="00FA26E0">
        <w:trPr>
          <w:trHeight w:val="227"/>
        </w:trPr>
        <w:tc>
          <w:tcPr>
            <w:tcW w:w="0" w:type="auto"/>
          </w:tcPr>
          <w:p w14:paraId="67801073"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93" w:type="dxa"/>
          </w:tcPr>
          <w:p w14:paraId="3703FC9F"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w:t>
            </w:r>
          </w:p>
        </w:tc>
        <w:tc>
          <w:tcPr>
            <w:tcW w:w="845" w:type="dxa"/>
          </w:tcPr>
          <w:p w14:paraId="2EFF285E"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73</w:t>
            </w:r>
          </w:p>
        </w:tc>
        <w:tc>
          <w:tcPr>
            <w:tcW w:w="850" w:type="dxa"/>
          </w:tcPr>
          <w:p w14:paraId="0DBC785E"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190</w:t>
            </w:r>
          </w:p>
        </w:tc>
        <w:tc>
          <w:tcPr>
            <w:tcW w:w="1417" w:type="dxa"/>
          </w:tcPr>
          <w:p w14:paraId="126255F0"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w:t>
            </w:r>
          </w:p>
        </w:tc>
        <w:tc>
          <w:tcPr>
            <w:tcW w:w="1277" w:type="dxa"/>
          </w:tcPr>
          <w:p w14:paraId="61879CF8"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w:t>
            </w:r>
          </w:p>
        </w:tc>
      </w:tr>
      <w:tr w:rsidR="00A23736" w:rsidRPr="003954D9" w14:paraId="36929409" w14:textId="77777777" w:rsidTr="00FA26E0">
        <w:trPr>
          <w:trHeight w:val="227"/>
        </w:trPr>
        <w:tc>
          <w:tcPr>
            <w:tcW w:w="0" w:type="auto"/>
          </w:tcPr>
          <w:p w14:paraId="02BD4419"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993" w:type="dxa"/>
          </w:tcPr>
          <w:p w14:paraId="31EA24C3"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48</w:t>
            </w:r>
          </w:p>
        </w:tc>
        <w:tc>
          <w:tcPr>
            <w:tcW w:w="845" w:type="dxa"/>
          </w:tcPr>
          <w:p w14:paraId="7E9110B9"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w:t>
            </w:r>
          </w:p>
        </w:tc>
        <w:tc>
          <w:tcPr>
            <w:tcW w:w="850" w:type="dxa"/>
          </w:tcPr>
          <w:p w14:paraId="1E3B8FC8"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198</w:t>
            </w:r>
          </w:p>
        </w:tc>
        <w:tc>
          <w:tcPr>
            <w:tcW w:w="1417" w:type="dxa"/>
          </w:tcPr>
          <w:p w14:paraId="6E07A7D2"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w:t>
            </w:r>
          </w:p>
        </w:tc>
        <w:tc>
          <w:tcPr>
            <w:tcW w:w="1277" w:type="dxa"/>
          </w:tcPr>
          <w:p w14:paraId="36BE1E06"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w:t>
            </w:r>
          </w:p>
        </w:tc>
      </w:tr>
      <w:tr w:rsidR="00A23736" w:rsidRPr="003954D9" w14:paraId="7447A329" w14:textId="77777777" w:rsidTr="00FA26E0">
        <w:trPr>
          <w:trHeight w:val="227"/>
        </w:trPr>
        <w:tc>
          <w:tcPr>
            <w:tcW w:w="0" w:type="auto"/>
          </w:tcPr>
          <w:p w14:paraId="3045FE87"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993" w:type="dxa"/>
          </w:tcPr>
          <w:p w14:paraId="0842520B"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w:t>
            </w:r>
          </w:p>
        </w:tc>
        <w:tc>
          <w:tcPr>
            <w:tcW w:w="845" w:type="dxa"/>
          </w:tcPr>
          <w:p w14:paraId="73523108"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w:t>
            </w:r>
          </w:p>
        </w:tc>
        <w:tc>
          <w:tcPr>
            <w:tcW w:w="850" w:type="dxa"/>
          </w:tcPr>
          <w:p w14:paraId="332FF339"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267</w:t>
            </w:r>
          </w:p>
        </w:tc>
        <w:tc>
          <w:tcPr>
            <w:tcW w:w="1417" w:type="dxa"/>
          </w:tcPr>
          <w:p w14:paraId="51929A29"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w:t>
            </w:r>
          </w:p>
        </w:tc>
        <w:tc>
          <w:tcPr>
            <w:tcW w:w="1277" w:type="dxa"/>
          </w:tcPr>
          <w:p w14:paraId="0031098A"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r w:rsidR="00A23736" w:rsidRPr="003954D9" w14:paraId="20BCEF26" w14:textId="77777777" w:rsidTr="00FA26E0">
        <w:trPr>
          <w:trHeight w:val="227"/>
        </w:trPr>
        <w:tc>
          <w:tcPr>
            <w:tcW w:w="0" w:type="auto"/>
          </w:tcPr>
          <w:p w14:paraId="7B4B464A"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Göteborg</w:t>
            </w:r>
          </w:p>
        </w:tc>
        <w:tc>
          <w:tcPr>
            <w:tcW w:w="993" w:type="dxa"/>
          </w:tcPr>
          <w:p w14:paraId="11D490C7"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548</w:t>
            </w:r>
          </w:p>
        </w:tc>
        <w:tc>
          <w:tcPr>
            <w:tcW w:w="845" w:type="dxa"/>
          </w:tcPr>
          <w:p w14:paraId="22C2DA91"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w:t>
            </w:r>
          </w:p>
        </w:tc>
        <w:tc>
          <w:tcPr>
            <w:tcW w:w="850" w:type="dxa"/>
          </w:tcPr>
          <w:p w14:paraId="2847AFF7"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276</w:t>
            </w:r>
          </w:p>
        </w:tc>
        <w:tc>
          <w:tcPr>
            <w:tcW w:w="1417" w:type="dxa"/>
          </w:tcPr>
          <w:p w14:paraId="61364E8D"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w:t>
            </w:r>
          </w:p>
        </w:tc>
        <w:tc>
          <w:tcPr>
            <w:tcW w:w="1277" w:type="dxa"/>
          </w:tcPr>
          <w:p w14:paraId="7B705D6C"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r w:rsidR="00A23736" w:rsidRPr="003954D9" w14:paraId="219AFC28" w14:textId="77777777" w:rsidTr="00FA26E0">
        <w:trPr>
          <w:trHeight w:val="227"/>
        </w:trPr>
        <w:tc>
          <w:tcPr>
            <w:tcW w:w="0" w:type="auto"/>
          </w:tcPr>
          <w:p w14:paraId="0B2F4279"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993" w:type="dxa"/>
          </w:tcPr>
          <w:p w14:paraId="2F15E23E"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50</w:t>
            </w:r>
          </w:p>
        </w:tc>
        <w:tc>
          <w:tcPr>
            <w:tcW w:w="845" w:type="dxa"/>
          </w:tcPr>
          <w:p w14:paraId="75952688"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w:t>
            </w:r>
          </w:p>
        </w:tc>
        <w:tc>
          <w:tcPr>
            <w:tcW w:w="850" w:type="dxa"/>
          </w:tcPr>
          <w:p w14:paraId="75F43094"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277</w:t>
            </w:r>
          </w:p>
        </w:tc>
        <w:tc>
          <w:tcPr>
            <w:tcW w:w="1417" w:type="dxa"/>
          </w:tcPr>
          <w:p w14:paraId="33F8A3AA"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c>
          <w:tcPr>
            <w:tcW w:w="1277" w:type="dxa"/>
          </w:tcPr>
          <w:p w14:paraId="64AB7B03"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r w:rsidR="00A23736" w:rsidRPr="003954D9" w14:paraId="659450B2" w14:textId="77777777" w:rsidTr="00FA26E0">
        <w:trPr>
          <w:trHeight w:val="227"/>
        </w:trPr>
        <w:tc>
          <w:tcPr>
            <w:tcW w:w="0" w:type="auto"/>
          </w:tcPr>
          <w:p w14:paraId="51C84ABE"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993" w:type="dxa"/>
          </w:tcPr>
          <w:p w14:paraId="0BE84E6B"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54</w:t>
            </w:r>
          </w:p>
        </w:tc>
        <w:tc>
          <w:tcPr>
            <w:tcW w:w="845" w:type="dxa"/>
          </w:tcPr>
          <w:p w14:paraId="6A1507DB"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w:t>
            </w:r>
          </w:p>
        </w:tc>
        <w:tc>
          <w:tcPr>
            <w:tcW w:w="850" w:type="dxa"/>
          </w:tcPr>
          <w:p w14:paraId="43DB441C"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281</w:t>
            </w:r>
          </w:p>
        </w:tc>
        <w:tc>
          <w:tcPr>
            <w:tcW w:w="1417" w:type="dxa"/>
          </w:tcPr>
          <w:p w14:paraId="4DD0C10F"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w:t>
            </w:r>
          </w:p>
        </w:tc>
        <w:tc>
          <w:tcPr>
            <w:tcW w:w="1277" w:type="dxa"/>
          </w:tcPr>
          <w:p w14:paraId="5C8B42F3"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r w:rsidR="00A23736" w:rsidRPr="003954D9" w14:paraId="70BA76AF" w14:textId="77777777" w:rsidTr="00FA26E0">
        <w:trPr>
          <w:trHeight w:val="227"/>
        </w:trPr>
        <w:tc>
          <w:tcPr>
            <w:tcW w:w="0" w:type="auto"/>
          </w:tcPr>
          <w:p w14:paraId="05E8B680"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993" w:type="dxa"/>
          </w:tcPr>
          <w:p w14:paraId="4BAE0D50"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64</w:t>
            </w:r>
          </w:p>
        </w:tc>
        <w:tc>
          <w:tcPr>
            <w:tcW w:w="845" w:type="dxa"/>
          </w:tcPr>
          <w:p w14:paraId="6F419478"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w:t>
            </w:r>
          </w:p>
        </w:tc>
        <w:tc>
          <w:tcPr>
            <w:tcW w:w="850" w:type="dxa"/>
          </w:tcPr>
          <w:p w14:paraId="41E9BAB3"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290</w:t>
            </w:r>
          </w:p>
        </w:tc>
        <w:tc>
          <w:tcPr>
            <w:tcW w:w="1417" w:type="dxa"/>
          </w:tcPr>
          <w:p w14:paraId="3EAC4FA7"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w:t>
            </w:r>
          </w:p>
        </w:tc>
        <w:tc>
          <w:tcPr>
            <w:tcW w:w="1277" w:type="dxa"/>
          </w:tcPr>
          <w:p w14:paraId="73787F59"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r w:rsidR="00A23736" w:rsidRPr="003954D9" w14:paraId="796A845E" w14:textId="77777777" w:rsidTr="00FA26E0">
        <w:trPr>
          <w:trHeight w:val="227"/>
        </w:trPr>
        <w:tc>
          <w:tcPr>
            <w:tcW w:w="0" w:type="auto"/>
          </w:tcPr>
          <w:p w14:paraId="3C68136E"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993" w:type="dxa"/>
          </w:tcPr>
          <w:p w14:paraId="7FBE4689"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61</w:t>
            </w:r>
          </w:p>
        </w:tc>
        <w:tc>
          <w:tcPr>
            <w:tcW w:w="845" w:type="dxa"/>
          </w:tcPr>
          <w:p w14:paraId="41A50555"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w:t>
            </w:r>
          </w:p>
        </w:tc>
        <w:tc>
          <w:tcPr>
            <w:tcW w:w="850" w:type="dxa"/>
          </w:tcPr>
          <w:p w14:paraId="72CA689D"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292</w:t>
            </w:r>
          </w:p>
        </w:tc>
        <w:tc>
          <w:tcPr>
            <w:tcW w:w="1417" w:type="dxa"/>
          </w:tcPr>
          <w:p w14:paraId="5A1C4DF6"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w:t>
            </w:r>
          </w:p>
        </w:tc>
        <w:tc>
          <w:tcPr>
            <w:tcW w:w="1277" w:type="dxa"/>
          </w:tcPr>
          <w:p w14:paraId="0AE7CB2F"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w:t>
            </w:r>
          </w:p>
        </w:tc>
      </w:tr>
      <w:tr w:rsidR="00A23736" w:rsidRPr="003954D9" w14:paraId="7EE3B7E1" w14:textId="77777777" w:rsidTr="00FA26E0">
        <w:trPr>
          <w:trHeight w:val="227"/>
        </w:trPr>
        <w:tc>
          <w:tcPr>
            <w:tcW w:w="0" w:type="auto"/>
          </w:tcPr>
          <w:p w14:paraId="0664F021"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993" w:type="dxa"/>
          </w:tcPr>
          <w:p w14:paraId="695CDDB4"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58</w:t>
            </w:r>
          </w:p>
        </w:tc>
        <w:tc>
          <w:tcPr>
            <w:tcW w:w="845" w:type="dxa"/>
          </w:tcPr>
          <w:p w14:paraId="2AB239AE"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w:t>
            </w:r>
          </w:p>
        </w:tc>
        <w:tc>
          <w:tcPr>
            <w:tcW w:w="850" w:type="dxa"/>
          </w:tcPr>
          <w:p w14:paraId="125B8249"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298</w:t>
            </w:r>
          </w:p>
        </w:tc>
        <w:tc>
          <w:tcPr>
            <w:tcW w:w="1417" w:type="dxa"/>
          </w:tcPr>
          <w:p w14:paraId="5BA1D53A"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c>
          <w:tcPr>
            <w:tcW w:w="1277" w:type="dxa"/>
          </w:tcPr>
          <w:p w14:paraId="6A7E0070"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w:t>
            </w:r>
          </w:p>
        </w:tc>
      </w:tr>
      <w:tr w:rsidR="00A23736" w:rsidRPr="003954D9" w14:paraId="775E98A8" w14:textId="77777777" w:rsidTr="00FA26E0">
        <w:trPr>
          <w:trHeight w:val="227"/>
        </w:trPr>
        <w:tc>
          <w:tcPr>
            <w:tcW w:w="0" w:type="auto"/>
          </w:tcPr>
          <w:p w14:paraId="011221DC"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993" w:type="dxa"/>
          </w:tcPr>
          <w:p w14:paraId="2FA9B6C9"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58</w:t>
            </w:r>
          </w:p>
        </w:tc>
        <w:tc>
          <w:tcPr>
            <w:tcW w:w="845" w:type="dxa"/>
          </w:tcPr>
          <w:p w14:paraId="1CD609E6"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w:t>
            </w:r>
          </w:p>
        </w:tc>
        <w:tc>
          <w:tcPr>
            <w:tcW w:w="850" w:type="dxa"/>
          </w:tcPr>
          <w:p w14:paraId="5A468978"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300</w:t>
            </w:r>
          </w:p>
        </w:tc>
        <w:tc>
          <w:tcPr>
            <w:tcW w:w="1417" w:type="dxa"/>
          </w:tcPr>
          <w:p w14:paraId="5F1498AC"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c>
          <w:tcPr>
            <w:tcW w:w="1277" w:type="dxa"/>
          </w:tcPr>
          <w:p w14:paraId="3431D900"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r w:rsidR="00A23736" w:rsidRPr="003954D9" w14:paraId="75CC1929" w14:textId="77777777" w:rsidTr="00FA26E0">
        <w:trPr>
          <w:trHeight w:val="227"/>
        </w:trPr>
        <w:tc>
          <w:tcPr>
            <w:tcW w:w="0" w:type="auto"/>
          </w:tcPr>
          <w:p w14:paraId="03136610" w14:textId="77777777" w:rsidR="00A23736" w:rsidRPr="003954D9" w:rsidRDefault="00A2373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93" w:type="dxa"/>
          </w:tcPr>
          <w:p w14:paraId="1A3F1F33"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w:t>
            </w:r>
          </w:p>
        </w:tc>
        <w:tc>
          <w:tcPr>
            <w:tcW w:w="845" w:type="dxa"/>
          </w:tcPr>
          <w:p w14:paraId="029CA187"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w:t>
            </w:r>
          </w:p>
        </w:tc>
        <w:tc>
          <w:tcPr>
            <w:tcW w:w="850" w:type="dxa"/>
          </w:tcPr>
          <w:p w14:paraId="4DED72C9"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339</w:t>
            </w:r>
          </w:p>
        </w:tc>
        <w:tc>
          <w:tcPr>
            <w:tcW w:w="1417" w:type="dxa"/>
          </w:tcPr>
          <w:p w14:paraId="29597273"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w:t>
            </w:r>
          </w:p>
        </w:tc>
        <w:tc>
          <w:tcPr>
            <w:tcW w:w="1277" w:type="dxa"/>
          </w:tcPr>
          <w:p w14:paraId="67885FB2" w14:textId="77777777" w:rsidR="00A23736" w:rsidRPr="003954D9" w:rsidRDefault="00A23736">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w:t>
            </w:r>
          </w:p>
        </w:tc>
      </w:tr>
    </w:tbl>
    <w:p w14:paraId="3D7827C0" w14:textId="0D5D8534" w:rsidR="00A87742" w:rsidRPr="003954D9" w:rsidRDefault="00F31260" w:rsidP="00A87742">
      <w:pPr>
        <w:rPr>
          <w:rFonts w:ascii="Verdana" w:eastAsia="Times New Roman" w:hAnsi="Verdana" w:cs="Times New Roman"/>
          <w:sz w:val="16"/>
          <w:szCs w:val="16"/>
        </w:rPr>
      </w:pPr>
      <w:r w:rsidRPr="003954D9">
        <w:rPr>
          <w:rFonts w:ascii="Verdana" w:eastAsia="Times New Roman" w:hAnsi="Verdana" w:cs="Times New Roman"/>
          <w:sz w:val="16"/>
          <w:szCs w:val="16"/>
        </w:rPr>
        <w:t xml:space="preserve"> </w:t>
      </w:r>
      <w:r w:rsidR="00A87742" w:rsidRPr="003954D9">
        <w:rPr>
          <w:rFonts w:ascii="Verdana" w:eastAsia="Times New Roman" w:hAnsi="Verdana" w:cs="Times New Roman"/>
          <w:sz w:val="16"/>
          <w:szCs w:val="16"/>
        </w:rPr>
        <w:t>(Källa: Göteborgsbladet 2016)</w:t>
      </w:r>
    </w:p>
    <w:p w14:paraId="4599B89B" w14:textId="77777777" w:rsidR="00A87742" w:rsidRPr="003954D9" w:rsidRDefault="00A87742" w:rsidP="00A87742">
      <w:pPr>
        <w:rPr>
          <w:sz w:val="16"/>
          <w:szCs w:val="16"/>
        </w:rPr>
      </w:pPr>
    </w:p>
    <w:p w14:paraId="354BF391" w14:textId="330F7D7F" w:rsidR="00A87742" w:rsidRPr="003954D9" w:rsidRDefault="00A87742" w:rsidP="00A87742">
      <w:r w:rsidRPr="003954D9">
        <w:t>Angered och Östra Göteborg sticker med en medelinkomst på ca 70 procent av genomsnittet för staden, en hög andel personer med utländsk bakgrund och en hög andel utlandsfödda arbetslösa. Även Västra Hisingen sticker ut. På andra sidan skalan återfinns Örgryt</w:t>
      </w:r>
      <w:r w:rsidR="00A23736">
        <w:t>e-Härlanda, Askim-Frölunda-</w:t>
      </w:r>
      <w:r w:rsidRPr="003954D9">
        <w:t xml:space="preserve">Högsbo och framför allt Västra Göteborg. Medelinkomsten är där 149 000 kronor högre än i Angered.  </w:t>
      </w:r>
    </w:p>
    <w:p w14:paraId="77DE1D13" w14:textId="7DC03F17" w:rsidR="00A87742" w:rsidRPr="003954D9" w:rsidRDefault="00337BA8" w:rsidP="00337BA8">
      <w:pPr>
        <w:pStyle w:val="Rubrik1"/>
      </w:pPr>
      <w:bookmarkStart w:id="349" w:name="_Toc333217228"/>
      <w:bookmarkStart w:id="350" w:name="_Toc333217323"/>
      <w:bookmarkStart w:id="351" w:name="_Toc333796004"/>
      <w:bookmarkStart w:id="352" w:name="_Toc333796264"/>
      <w:bookmarkStart w:id="353" w:name="_Toc333800792"/>
      <w:bookmarkStart w:id="354" w:name="_Toc333800910"/>
      <w:bookmarkStart w:id="355" w:name="_Toc463184456"/>
      <w:bookmarkStart w:id="356" w:name="_Toc464828464"/>
      <w:bookmarkStart w:id="357" w:name="_Toc467818487"/>
      <w:bookmarkStart w:id="358" w:name="_Toc468614373"/>
      <w:r w:rsidRPr="003954D9">
        <w:lastRenderedPageBreak/>
        <w:t>1</w:t>
      </w:r>
      <w:r w:rsidR="00B17785" w:rsidRPr="003954D9">
        <w:t>2</w:t>
      </w:r>
      <w:r w:rsidRPr="003954D9">
        <w:t xml:space="preserve">. </w:t>
      </w:r>
      <w:r w:rsidR="00A87742" w:rsidRPr="003954D9">
        <w:t>Hur bor de som ingår i undersökningen</w:t>
      </w:r>
      <w:bookmarkEnd w:id="349"/>
      <w:bookmarkEnd w:id="350"/>
      <w:r w:rsidR="00A87742" w:rsidRPr="003954D9">
        <w:t>?</w:t>
      </w:r>
      <w:bookmarkEnd w:id="351"/>
      <w:bookmarkEnd w:id="352"/>
      <w:bookmarkEnd w:id="353"/>
      <w:bookmarkEnd w:id="354"/>
      <w:bookmarkEnd w:id="355"/>
      <w:bookmarkEnd w:id="356"/>
      <w:bookmarkEnd w:id="357"/>
      <w:bookmarkEnd w:id="358"/>
    </w:p>
    <w:p w14:paraId="05693C79" w14:textId="5FFD43A1" w:rsidR="00A87742" w:rsidRPr="003954D9" w:rsidRDefault="00337BA8" w:rsidP="00337BA8">
      <w:pPr>
        <w:pStyle w:val="Rubrik2"/>
      </w:pPr>
      <w:bookmarkStart w:id="359" w:name="_Toc463184457"/>
      <w:bookmarkStart w:id="360" w:name="_Toc464828465"/>
      <w:r w:rsidRPr="003954D9">
        <w:t>Hela underlaget</w:t>
      </w:r>
      <w:bookmarkEnd w:id="359"/>
      <w:bookmarkEnd w:id="360"/>
    </w:p>
    <w:p w14:paraId="3141AB1A" w14:textId="77777777" w:rsidR="00A87742" w:rsidRPr="003954D9" w:rsidRDefault="00A87742" w:rsidP="00337BA8">
      <w:pPr>
        <w:pStyle w:val="Rubrik3"/>
      </w:pPr>
      <w:bookmarkStart w:id="361" w:name="_Toc463184458"/>
      <w:bookmarkStart w:id="362" w:name="_Toc464828466"/>
      <w:r w:rsidRPr="003954D9">
        <w:t>Antal</w:t>
      </w:r>
      <w:bookmarkEnd w:id="361"/>
      <w:bookmarkEnd w:id="362"/>
    </w:p>
    <w:p w14:paraId="3F4DC050" w14:textId="1A53BE86" w:rsidR="00A87742" w:rsidRPr="003954D9" w:rsidRDefault="00A87742" w:rsidP="00A87742">
      <w:r w:rsidRPr="003954D9">
        <w:t xml:space="preserve">Undersökningen omfattar 23 052 hushåll med 51 450 boende </w:t>
      </w:r>
      <w:r w:rsidR="00FA26E0" w:rsidRPr="003954D9">
        <w:t>i 145 fastigheter.</w:t>
      </w:r>
      <w:r w:rsidRPr="003954D9">
        <w:t xml:space="preserve"> Nära hälften av hushållen be</w:t>
      </w:r>
      <w:r w:rsidR="008A180C" w:rsidRPr="003954D9">
        <w:t xml:space="preserve">står av en person (46 procent) </w:t>
      </w:r>
      <w:r w:rsidRPr="003954D9">
        <w:t xml:space="preserve">och en tredjedel av hushållen har hemmavarande barn </w:t>
      </w:r>
      <w:r w:rsidR="00365C66" w:rsidRPr="003954D9">
        <w:t>0–19</w:t>
      </w:r>
      <w:r w:rsidRPr="003954D9">
        <w:t xml:space="preserve"> år (33 procent). </w:t>
      </w:r>
    </w:p>
    <w:p w14:paraId="24D79BEC" w14:textId="77777777" w:rsidR="00A87742" w:rsidRPr="003954D9" w:rsidRDefault="00A87742" w:rsidP="00337BA8">
      <w:pPr>
        <w:pStyle w:val="Rubrik3"/>
      </w:pPr>
      <w:bookmarkStart w:id="363" w:name="_Toc463184459"/>
      <w:bookmarkStart w:id="364" w:name="_Toc464828467"/>
      <w:r w:rsidRPr="003954D9">
        <w:t>Boendeyta</w:t>
      </w:r>
      <w:bookmarkEnd w:id="363"/>
      <w:bookmarkEnd w:id="364"/>
    </w:p>
    <w:p w14:paraId="7E8584EC" w14:textId="4797617B" w:rsidR="00A87742" w:rsidRPr="003954D9" w:rsidRDefault="00A87742" w:rsidP="00A87742">
      <w:r w:rsidRPr="003954D9">
        <w:t xml:space="preserve">Hushållen med barn har en markant </w:t>
      </w:r>
      <w:r w:rsidR="006A3D27" w:rsidRPr="003954D9">
        <w:t>mindre</w:t>
      </w:r>
      <w:r w:rsidRPr="003954D9">
        <w:t xml:space="preserve"> boendeyta per person än de andra hushållen. I hushåll med samboende med tre barn eller fler ligger boendeytan per person på hälften av genomsnittet (15,5 kvm mot 29,2 kvm). Övriga barnhushåll har en bara något högre boendeyta per person (17,3 kvm). Den </w:t>
      </w:r>
      <w:r w:rsidR="006A3D27" w:rsidRPr="003954D9">
        <w:t>största</w:t>
      </w:r>
      <w:r w:rsidRPr="003954D9">
        <w:t xml:space="preserve"> boendeytan per person har ensamboende utan barn 65 år</w:t>
      </w:r>
      <w:r w:rsidR="004F7ECC" w:rsidRPr="003954D9">
        <w:t xml:space="preserve"> och äldre </w:t>
      </w:r>
      <w:r w:rsidRPr="003954D9">
        <w:t xml:space="preserve">(62,5 kvm per person).  Se tabell </w:t>
      </w:r>
      <w:r w:rsidR="008E76FC" w:rsidRPr="003954D9">
        <w:t xml:space="preserve">4:1 </w:t>
      </w:r>
      <w:r w:rsidR="00D00054">
        <w:t>i tabellbilagan.</w:t>
      </w:r>
    </w:p>
    <w:p w14:paraId="0DA5A3B3" w14:textId="77777777" w:rsidR="00A87742" w:rsidRPr="003954D9" w:rsidRDefault="00A87742" w:rsidP="00337BA8">
      <w:pPr>
        <w:pStyle w:val="Rubrik3"/>
      </w:pPr>
      <w:bookmarkStart w:id="365" w:name="_Toc463184460"/>
      <w:bookmarkStart w:id="366" w:name="_Toc464828468"/>
      <w:r w:rsidRPr="003954D9">
        <w:t>Ensamstående</w:t>
      </w:r>
      <w:bookmarkEnd w:id="365"/>
      <w:bookmarkEnd w:id="366"/>
    </w:p>
    <w:p w14:paraId="7689CF97" w14:textId="0C6CBB2A" w:rsidR="00A87742" w:rsidRPr="003954D9" w:rsidRDefault="00A87742" w:rsidP="00A87742">
      <w:r w:rsidRPr="003954D9">
        <w:t xml:space="preserve">Den stora gruppen ensamstående består i huvudsak av personer </w:t>
      </w:r>
      <w:r w:rsidR="00365C66" w:rsidRPr="003954D9">
        <w:t>18–64</w:t>
      </w:r>
      <w:r w:rsidRPr="003954D9">
        <w:t xml:space="preserve"> år utan barn (33 procent) – oftare män än kvinnor. Ensamstående i åldern 65 år och äldre (13 procent) är oftare kvinnor än män. Likaså är det stora flertalet av ensamstående med hemmavarande barn (8 procent) kvinnor. Se tabell </w:t>
      </w:r>
      <w:r w:rsidR="008E76FC" w:rsidRPr="003954D9">
        <w:t xml:space="preserve">4:2 i </w:t>
      </w:r>
      <w:r w:rsidR="00D00054">
        <w:t>tabellbilagan.</w:t>
      </w:r>
    </w:p>
    <w:p w14:paraId="1FEDBF28" w14:textId="77777777" w:rsidR="00A87742" w:rsidRPr="003954D9" w:rsidRDefault="00A87742" w:rsidP="00337BA8">
      <w:pPr>
        <w:pStyle w:val="Rubrik3"/>
      </w:pPr>
      <w:bookmarkStart w:id="367" w:name="_Toc463184461"/>
      <w:bookmarkStart w:id="368" w:name="_Toc464828469"/>
      <w:r w:rsidRPr="003954D9">
        <w:t>Vuxna barn</w:t>
      </w:r>
      <w:bookmarkEnd w:id="367"/>
      <w:bookmarkEnd w:id="368"/>
    </w:p>
    <w:p w14:paraId="7ECB1933" w14:textId="57556060" w:rsidR="00A87742" w:rsidRPr="003954D9" w:rsidRDefault="00A87742" w:rsidP="00A87742">
      <w:r w:rsidRPr="003954D9">
        <w:t xml:space="preserve">En liten grupp hushåll (5 procent) har hemmavarande barn </w:t>
      </w:r>
      <w:r w:rsidR="00365C66" w:rsidRPr="003954D9">
        <w:t>20–29</w:t>
      </w:r>
      <w:r w:rsidRPr="003954D9">
        <w:t xml:space="preserve"> år varav flertalet är ensamstående (45 procent).  I den här gruppen har 20 procent en hushållssammansättning med fler vuxna än två. Se tabell </w:t>
      </w:r>
      <w:r w:rsidR="008E76FC" w:rsidRPr="003954D9">
        <w:t>4:3!</w:t>
      </w:r>
    </w:p>
    <w:p w14:paraId="5092B828" w14:textId="77777777" w:rsidR="00A87742" w:rsidRPr="003954D9" w:rsidRDefault="00A87742" w:rsidP="00A87742">
      <w:pPr>
        <w:rPr>
          <w:b/>
        </w:rPr>
      </w:pPr>
    </w:p>
    <w:p w14:paraId="27AFAF79" w14:textId="77777777" w:rsidR="00A87742" w:rsidRPr="003954D9" w:rsidRDefault="00A87742" w:rsidP="00337BA8">
      <w:pPr>
        <w:pStyle w:val="Rubrik2"/>
      </w:pPr>
      <w:bookmarkStart w:id="369" w:name="_Toc333796006"/>
      <w:bookmarkStart w:id="370" w:name="_Toc333796266"/>
      <w:bookmarkStart w:id="371" w:name="_Toc333800794"/>
      <w:bookmarkStart w:id="372" w:name="_Toc333800912"/>
      <w:bookmarkStart w:id="373" w:name="_Toc463184462"/>
      <w:bookmarkStart w:id="374" w:name="_Toc464828470"/>
      <w:r w:rsidRPr="003954D9">
        <w:t>Fördelat på stadsdelarna</w:t>
      </w:r>
      <w:bookmarkEnd w:id="369"/>
      <w:bookmarkEnd w:id="370"/>
      <w:bookmarkEnd w:id="371"/>
      <w:bookmarkEnd w:id="372"/>
      <w:bookmarkEnd w:id="373"/>
      <w:bookmarkEnd w:id="374"/>
    </w:p>
    <w:p w14:paraId="19EB7FBD" w14:textId="77777777" w:rsidR="00A87742" w:rsidRPr="003954D9" w:rsidRDefault="00A87742" w:rsidP="00337BA8">
      <w:pPr>
        <w:pStyle w:val="Rubrik3"/>
      </w:pPr>
      <w:bookmarkStart w:id="375" w:name="_Toc463184463"/>
      <w:bookmarkStart w:id="376" w:name="_Toc464828471"/>
      <w:r w:rsidRPr="003954D9">
        <w:t>Flest ombyggnader i Angered</w:t>
      </w:r>
      <w:bookmarkEnd w:id="375"/>
      <w:bookmarkEnd w:id="376"/>
    </w:p>
    <w:p w14:paraId="7A9033C6" w14:textId="2C302D06" w:rsidR="00A87742" w:rsidRPr="003954D9" w:rsidRDefault="00A87742" w:rsidP="00A87742">
      <w:r w:rsidRPr="003954D9">
        <w:t xml:space="preserve">Det finns en stor spridning av hur många hushåll som står inför ombyggnad i de olika stadsdelarna. Angered är den stadsdel </w:t>
      </w:r>
      <w:r w:rsidR="00A23736">
        <w:t xml:space="preserve">i undersökningen </w:t>
      </w:r>
      <w:r w:rsidRPr="003954D9">
        <w:t xml:space="preserve">med flest </w:t>
      </w:r>
      <w:r w:rsidR="00A23736">
        <w:t>hushåll och personer, tätt följd</w:t>
      </w:r>
      <w:r w:rsidRPr="003954D9">
        <w:t xml:space="preserve"> av Östra Göteborg och Västra Hisingen. Askim-Frölunda-Högsbo, Örgryte-Härlanda och Majorna-</w:t>
      </w:r>
      <w:r w:rsidR="00FD3008" w:rsidRPr="003954D9">
        <w:t>Linné</w:t>
      </w:r>
      <w:r w:rsidRPr="003954D9">
        <w:t xml:space="preserve">staden utgör en mellangrupp. Därefter följer Centrum och Norra Hisingen. I Lundby och Västra Göteborg är omfattningen begränsad. Se tabell </w:t>
      </w:r>
      <w:r w:rsidR="008E76FC" w:rsidRPr="003954D9">
        <w:t>4:5</w:t>
      </w:r>
      <w:r w:rsidR="00D00054">
        <w:t xml:space="preserve"> i tabellbilagan.</w:t>
      </w:r>
    </w:p>
    <w:p w14:paraId="6C7CBCB7" w14:textId="51034E5E" w:rsidR="00A87742" w:rsidRPr="003954D9" w:rsidRDefault="00184AC8" w:rsidP="00184AC8">
      <w:pPr>
        <w:pStyle w:val="Rubrik3"/>
      </w:pPr>
      <w:bookmarkStart w:id="377" w:name="_Toc463184464"/>
      <w:bookmarkStart w:id="378" w:name="_Toc464828472"/>
      <w:r w:rsidRPr="003954D9">
        <w:t>H</w:t>
      </w:r>
      <w:r w:rsidR="00A87742" w:rsidRPr="003954D9">
        <w:t>ushåll</w:t>
      </w:r>
      <w:r w:rsidRPr="003954D9">
        <w:t>storlek och boendeyta</w:t>
      </w:r>
      <w:bookmarkEnd w:id="377"/>
      <w:bookmarkEnd w:id="378"/>
      <w:r w:rsidR="00A87742" w:rsidRPr="003954D9">
        <w:t xml:space="preserve"> </w:t>
      </w:r>
    </w:p>
    <w:p w14:paraId="0860B4B7" w14:textId="77777777" w:rsidR="00A87742" w:rsidRPr="003954D9" w:rsidRDefault="00A87742" w:rsidP="00184AC8">
      <w:pPr>
        <w:pStyle w:val="Rubrik4"/>
      </w:pPr>
      <w:r w:rsidRPr="003954D9">
        <w:t>Personer per hushåll</w:t>
      </w:r>
    </w:p>
    <w:p w14:paraId="01018A41" w14:textId="69632D40" w:rsidR="00A87742" w:rsidRPr="003954D9" w:rsidRDefault="00184AC8" w:rsidP="00A87742">
      <w:r w:rsidRPr="003954D9">
        <w:t xml:space="preserve">Antalet personer per hushåll är genomgående störst i Angered i alla lägenhetstyper liksom totalt </w:t>
      </w:r>
      <w:r w:rsidR="008A180C" w:rsidRPr="003954D9">
        <w:t xml:space="preserve">i hela undersökningen </w:t>
      </w:r>
      <w:r w:rsidR="00A87742" w:rsidRPr="003954D9">
        <w:t>(</w:t>
      </w:r>
      <w:r w:rsidRPr="003954D9">
        <w:t xml:space="preserve">3,0). </w:t>
      </w:r>
      <w:r w:rsidR="00A87742" w:rsidRPr="003954D9">
        <w:t>Västra Hisingen, Östra Göteborg, Askim-Frölunda-Högsbo, Västra Göteborg och Norra Hisingen utgör en mellangrupp (</w:t>
      </w:r>
      <w:r w:rsidR="00365C66" w:rsidRPr="003954D9">
        <w:t>2,1–2,5</w:t>
      </w:r>
      <w:r w:rsidR="00A87742" w:rsidRPr="003954D9">
        <w:t>). I Örgryte-Härlanda, Lundby, Centrum och Majorna-</w:t>
      </w:r>
      <w:r w:rsidR="008A180C" w:rsidRPr="003954D9">
        <w:t>Linné</w:t>
      </w:r>
      <w:r w:rsidR="00A87742" w:rsidRPr="003954D9">
        <w:t>staden är antalet lägst (</w:t>
      </w:r>
      <w:r w:rsidR="00365C66" w:rsidRPr="003954D9">
        <w:t>1,7–1,9</w:t>
      </w:r>
      <w:r w:rsidR="00A87742" w:rsidRPr="003954D9">
        <w:t xml:space="preserve">). Genomsnittet för hela urvalet är 2,2.  Se tabell </w:t>
      </w:r>
      <w:r w:rsidR="008E76FC" w:rsidRPr="003954D9">
        <w:t>4:5</w:t>
      </w:r>
      <w:r w:rsidR="00D00054">
        <w:t xml:space="preserve"> i tabellbilagan.</w:t>
      </w:r>
    </w:p>
    <w:p w14:paraId="332194D0" w14:textId="77777777" w:rsidR="00A87742" w:rsidRPr="003954D9" w:rsidRDefault="00A87742" w:rsidP="00184AC8">
      <w:pPr>
        <w:pStyle w:val="Rubrik4"/>
      </w:pPr>
      <w:r w:rsidRPr="003954D9">
        <w:t>Kvadratmeter per person</w:t>
      </w:r>
    </w:p>
    <w:p w14:paraId="2A56C80E" w14:textId="1F9E88B4" w:rsidR="00A87742" w:rsidRPr="003954D9" w:rsidRDefault="00A87742" w:rsidP="00A87742">
      <w:pPr>
        <w:autoSpaceDE w:val="0"/>
        <w:autoSpaceDN w:val="0"/>
        <w:adjustRightInd w:val="0"/>
      </w:pPr>
      <w:r w:rsidRPr="003954D9">
        <w:t xml:space="preserve">Antalet kvadratmeter per person är högst i Västra Göteborg (36,3 kvm) följt av Majorna, </w:t>
      </w:r>
      <w:r w:rsidR="006C00AA" w:rsidRPr="003954D9">
        <w:t>Linnéstaden</w:t>
      </w:r>
      <w:r w:rsidRPr="003954D9">
        <w:t>, Centrum, Örgryte-Härlanda, Askim-Frölunda-Högsbo (</w:t>
      </w:r>
      <w:r w:rsidR="00365C66" w:rsidRPr="003954D9">
        <w:t>35,7–33,6</w:t>
      </w:r>
      <w:r w:rsidRPr="003954D9">
        <w:t xml:space="preserve"> kvm). I nästa grupp finns Norra Hisingen, Östra Göteborg, Lundby och Västra Hisingen (</w:t>
      </w:r>
      <w:r w:rsidR="00365C66" w:rsidRPr="003954D9">
        <w:t>29,3–26,3</w:t>
      </w:r>
      <w:r w:rsidRPr="003954D9">
        <w:t xml:space="preserve"> kvm). Bara </w:t>
      </w:r>
      <w:r w:rsidRPr="003954D9">
        <w:lastRenderedPageBreak/>
        <w:t>Angered har en boendeyta per person på mindre än 25 kvm (24,7 kvm). Genomsnittet för hela urvalet</w:t>
      </w:r>
      <w:r w:rsidR="00B8252D" w:rsidRPr="003954D9">
        <w:t xml:space="preserve"> ligger på 29,2 kvm. Se tabell </w:t>
      </w:r>
      <w:r w:rsidR="008E76FC" w:rsidRPr="003954D9">
        <w:t>4:5</w:t>
      </w:r>
      <w:r w:rsidR="00D00054">
        <w:t xml:space="preserve"> tabellbilagan.</w:t>
      </w:r>
    </w:p>
    <w:p w14:paraId="06E25E0B" w14:textId="0F064AB3" w:rsidR="00184AC8" w:rsidRPr="003954D9" w:rsidRDefault="00184AC8" w:rsidP="00184AC8">
      <w:pPr>
        <w:pStyle w:val="Rubrik3"/>
      </w:pPr>
      <w:bookmarkStart w:id="379" w:name="_Toc463184465"/>
      <w:bookmarkStart w:id="380" w:name="_Toc464828473"/>
      <w:r w:rsidRPr="003954D9">
        <w:t>Hushållstyper i stadsdelarna</w:t>
      </w:r>
      <w:bookmarkEnd w:id="379"/>
      <w:bookmarkEnd w:id="380"/>
    </w:p>
    <w:p w14:paraId="5E4593EB" w14:textId="77777777" w:rsidR="00A87742" w:rsidRPr="00235596" w:rsidRDefault="00A87742" w:rsidP="00235596">
      <w:pPr>
        <w:pStyle w:val="Rubrik4"/>
      </w:pPr>
      <w:r w:rsidRPr="00235596">
        <w:t>Barnfamiljer</w:t>
      </w:r>
    </w:p>
    <w:p w14:paraId="25FBF99D" w14:textId="0154220F" w:rsidR="00D00054" w:rsidRDefault="00A87742" w:rsidP="00A87742">
      <w:pPr>
        <w:autoSpaceDE w:val="0"/>
        <w:autoSpaceDN w:val="0"/>
        <w:adjustRightInd w:val="0"/>
      </w:pPr>
      <w:r w:rsidRPr="003954D9">
        <w:t>Även när det gäller andelen barnfamiljer sticker Angered ut (49,3 procent). Angered följs av Västra Hisingen, Västra Göteborg, Östra Göteborg, Askim-Frölunda-Högsbo och Norra Hisingen (</w:t>
      </w:r>
      <w:r w:rsidR="00365C66" w:rsidRPr="003954D9">
        <w:t>38,7–32,5</w:t>
      </w:r>
      <w:r w:rsidRPr="003954D9">
        <w:t xml:space="preserve"> procent) och Örgryte-Härlanda, Majorna-</w:t>
      </w:r>
      <w:r w:rsidR="006C00AA" w:rsidRPr="003954D9">
        <w:t>Linnéstaden</w:t>
      </w:r>
      <w:r w:rsidRPr="003954D9">
        <w:t xml:space="preserve"> och Centrum (</w:t>
      </w:r>
      <w:r w:rsidR="00365C66" w:rsidRPr="003954D9">
        <w:t>25,1–20,5</w:t>
      </w:r>
      <w:r w:rsidRPr="003954D9">
        <w:t xml:space="preserve"> procent). Bara Lundby har en andel under 20 procent (18,1 procent). </w:t>
      </w:r>
    </w:p>
    <w:p w14:paraId="2EF77D38" w14:textId="4239298E" w:rsidR="00A87742" w:rsidRPr="003954D9" w:rsidRDefault="00A87742" w:rsidP="00D00054">
      <w:pPr>
        <w:autoSpaceDE w:val="0"/>
        <w:autoSpaceDN w:val="0"/>
        <w:adjustRightInd w:val="0"/>
        <w:spacing w:before="120"/>
      </w:pPr>
      <w:r w:rsidRPr="003954D9">
        <w:t>Angered ligger också högst vad gäller andelen ensamstående med barn (9,8 procent), men skiljer sig inte särskilt från Östra Göteborg och Askim-Frölunda-Högsbo (</w:t>
      </w:r>
      <w:r w:rsidR="00365C66" w:rsidRPr="003954D9">
        <w:t>9,7–9,4</w:t>
      </w:r>
      <w:r w:rsidRPr="003954D9">
        <w:t xml:space="preserve"> procent). En mellangrupp utgörs av Västra Göteborg, Norra Hisingen och Västra Hisingen (8,8 - 8,3 procent) och Centrum, Örgryte-Härlanda och Majorna-</w:t>
      </w:r>
      <w:r w:rsidR="006C00AA" w:rsidRPr="003954D9">
        <w:t>Linnéstaden</w:t>
      </w:r>
      <w:r w:rsidRPr="003954D9">
        <w:t xml:space="preserve"> (6,0 - 5,3 procent). Lägst ligger Lundby (4,4 procen</w:t>
      </w:r>
      <w:r w:rsidR="00D00054">
        <w:t>t). Se tabell 5 i tabellbilagan.</w:t>
      </w:r>
      <w:r w:rsidRPr="003954D9">
        <w:t xml:space="preserve"> </w:t>
      </w:r>
    </w:p>
    <w:p w14:paraId="678B8F34" w14:textId="742B114C" w:rsidR="00A87742" w:rsidRPr="003954D9" w:rsidRDefault="00A87742" w:rsidP="00D00054">
      <w:pPr>
        <w:autoSpaceDE w:val="0"/>
        <w:autoSpaceDN w:val="0"/>
        <w:adjustRightInd w:val="0"/>
        <w:spacing w:before="120"/>
      </w:pPr>
      <w:r w:rsidRPr="003954D9">
        <w:t xml:space="preserve">Andelen hushåll med sammanboende med 3 barn är avsevärt högre i Angered än i de andra stadsdelarna (6,6 procent). Närmast följer Västra Hisingen och Östra Göteborg (3,9 procent). Andelen </w:t>
      </w:r>
      <w:r w:rsidR="00B8252D" w:rsidRPr="003954D9">
        <w:t>hushåll med 3 eller fler barn</w:t>
      </w:r>
      <w:r w:rsidRPr="003954D9">
        <w:t xml:space="preserve"> är lägst i Lundby, Majorna-</w:t>
      </w:r>
      <w:r w:rsidR="006C00AA" w:rsidRPr="003954D9">
        <w:t>Linnéstaden</w:t>
      </w:r>
      <w:r w:rsidRPr="003954D9">
        <w:t xml:space="preserve"> och</w:t>
      </w:r>
      <w:r w:rsidR="00176DF0" w:rsidRPr="003954D9">
        <w:t xml:space="preserve"> Centrum (</w:t>
      </w:r>
      <w:r w:rsidR="00365C66" w:rsidRPr="003954D9">
        <w:t>1,2–0,8</w:t>
      </w:r>
      <w:r w:rsidR="00176DF0" w:rsidRPr="003954D9">
        <w:t xml:space="preserve">). Se tabell </w:t>
      </w:r>
      <w:r w:rsidR="008E76FC" w:rsidRPr="003954D9">
        <w:t>4:4</w:t>
      </w:r>
      <w:r w:rsidR="00D00054">
        <w:t xml:space="preserve"> i tabellbilagan.</w:t>
      </w:r>
    </w:p>
    <w:p w14:paraId="7001B121" w14:textId="77777777" w:rsidR="00A87742" w:rsidRPr="003954D9" w:rsidRDefault="00A87742" w:rsidP="00184AC8">
      <w:pPr>
        <w:pStyle w:val="Rubrik4"/>
      </w:pPr>
      <w:r w:rsidRPr="003954D9">
        <w:t>Fler vuxna än två</w:t>
      </w:r>
    </w:p>
    <w:p w14:paraId="0BF526C4" w14:textId="16D5CB03" w:rsidR="00A87742" w:rsidRPr="003954D9" w:rsidRDefault="00A87742" w:rsidP="00A87742">
      <w:pPr>
        <w:autoSpaceDE w:val="0"/>
        <w:autoSpaceDN w:val="0"/>
        <w:adjustRightInd w:val="0"/>
      </w:pPr>
      <w:r w:rsidRPr="003954D9">
        <w:t>En intressant grupp är hushållen med fler vuxna än två. I Angered och Västra Hisingen är det vart fjärde hushåll (27,9 procent och 24,7 procent). I resterande stadsdelar utom Majorna-</w:t>
      </w:r>
      <w:r w:rsidR="006C00AA" w:rsidRPr="003954D9">
        <w:t>Linnéstaden</w:t>
      </w:r>
      <w:r w:rsidRPr="003954D9">
        <w:t xml:space="preserve"> och Centrum ligger andelen på </w:t>
      </w:r>
      <w:r w:rsidR="00365C66" w:rsidRPr="003954D9">
        <w:t>15–20</w:t>
      </w:r>
      <w:r w:rsidRPr="003954D9">
        <w:t xml:space="preserve"> procent. I Majorna-</w:t>
      </w:r>
      <w:r w:rsidR="006C00AA" w:rsidRPr="003954D9">
        <w:t>Linnéstaden</w:t>
      </w:r>
      <w:r w:rsidRPr="003954D9">
        <w:t xml:space="preserve"> och Centrum ligger andelen på under 15 procent (13,6 och 12,3 procent). I gruppen överväger hushållen med barn, men i Lundby och Centrum överväger hushållen med fl</w:t>
      </w:r>
      <w:r w:rsidR="00B8252D" w:rsidRPr="003954D9">
        <w:t xml:space="preserve">era vuxna utan barn. Se tabell </w:t>
      </w:r>
      <w:r w:rsidR="008E76FC" w:rsidRPr="003954D9">
        <w:t xml:space="preserve">4:4 </w:t>
      </w:r>
      <w:r w:rsidRPr="003954D9">
        <w:t>i tabellbilagan!</w:t>
      </w:r>
    </w:p>
    <w:p w14:paraId="56DCF6B5" w14:textId="77777777" w:rsidR="00A87742" w:rsidRPr="003954D9" w:rsidRDefault="00A87742" w:rsidP="00184AC8">
      <w:pPr>
        <w:pStyle w:val="Rubrik4"/>
      </w:pPr>
      <w:r w:rsidRPr="003954D9">
        <w:t xml:space="preserve">Hushållen utan barn </w:t>
      </w:r>
    </w:p>
    <w:p w14:paraId="75F15EDC" w14:textId="7DAAA8DF" w:rsidR="00A87742" w:rsidRPr="003954D9" w:rsidRDefault="00A87742" w:rsidP="00235596">
      <w:r w:rsidRPr="003954D9">
        <w:t>Andelen hushåll utan barn är klart högst i Lundby (81,9 procent) följt av Centrum, Majorna-</w:t>
      </w:r>
      <w:r w:rsidR="006C00AA" w:rsidRPr="003954D9">
        <w:t>Linnéstaden</w:t>
      </w:r>
      <w:r w:rsidRPr="003954D9">
        <w:t xml:space="preserve"> och Örgryte-Härlanda är andelen (79,5 – 74,9 procent) och i de övriga stadsdelarna ligger andelen på omkring 65 procent utom Västra Hisingen (61,3 procent) och Angered (50,7 procent). </w:t>
      </w:r>
      <w:r w:rsidR="00D00054">
        <w:t>Se tabell 4:5 i tabellbilagan.</w:t>
      </w:r>
    </w:p>
    <w:p w14:paraId="47D10759" w14:textId="4C62766B" w:rsidR="00A87742" w:rsidRPr="003954D9" w:rsidRDefault="00A87742" w:rsidP="00D00054">
      <w:pPr>
        <w:autoSpaceDE w:val="0"/>
        <w:autoSpaceDN w:val="0"/>
        <w:adjustRightInd w:val="0"/>
        <w:spacing w:before="120"/>
      </w:pPr>
      <w:r w:rsidRPr="003954D9">
        <w:t xml:space="preserve">Andelen ensamstående utan barn </w:t>
      </w:r>
      <w:r w:rsidR="00365C66" w:rsidRPr="003954D9">
        <w:t>18–65</w:t>
      </w:r>
      <w:r w:rsidRPr="003954D9">
        <w:t xml:space="preserve"> år är högst i Lundby och Majorna-</w:t>
      </w:r>
      <w:r w:rsidR="006C00AA" w:rsidRPr="003954D9">
        <w:t>Linnéstaden</w:t>
      </w:r>
      <w:r w:rsidRPr="003954D9">
        <w:t xml:space="preserve"> (48,2 och 44,6 procent). De övriga stadsdelarna ligger på mellan 38,1 procent och 28,6 procent. Angered ligger lägre än så (20,2 procent).  </w:t>
      </w:r>
    </w:p>
    <w:p w14:paraId="3913AAB0" w14:textId="06F6EE75" w:rsidR="00A87742" w:rsidRPr="003954D9" w:rsidRDefault="00A87742" w:rsidP="00D00054">
      <w:pPr>
        <w:autoSpaceDE w:val="0"/>
        <w:autoSpaceDN w:val="0"/>
        <w:adjustRightInd w:val="0"/>
        <w:spacing w:before="120"/>
      </w:pPr>
      <w:r w:rsidRPr="003954D9">
        <w:t>Ensamstående 65</w:t>
      </w:r>
      <w:r w:rsidR="00A23736">
        <w:t xml:space="preserve">+ </w:t>
      </w:r>
      <w:r w:rsidRPr="003954D9">
        <w:t xml:space="preserve">år och äldre finns framför allt i Majorna-Linne och Örgryte-Härlanda (17,6 procent och 16,3 procent). I de övriga stadsdelarna är andelen mellan 15 procent och 10 procent. </w:t>
      </w:r>
    </w:p>
    <w:p w14:paraId="4287F51C" w14:textId="1A7EFAC0" w:rsidR="00A87742" w:rsidRPr="003954D9" w:rsidRDefault="00A87742" w:rsidP="00D00054">
      <w:pPr>
        <w:autoSpaceDE w:val="0"/>
        <w:autoSpaceDN w:val="0"/>
        <w:adjustRightInd w:val="0"/>
        <w:spacing w:before="120"/>
      </w:pPr>
      <w:r w:rsidRPr="003954D9">
        <w:t>Andelen sammanboende utan barn är högst i Majorna-</w:t>
      </w:r>
      <w:r w:rsidR="006C00AA" w:rsidRPr="003954D9">
        <w:t>Linnéstaden</w:t>
      </w:r>
      <w:r w:rsidRPr="003954D9">
        <w:t xml:space="preserve">, Örgryte-Härlanda och Askim-Frölunda-Högsbo med omkring 15 procent och i de övriga stadsdelarna ligger andelen på mellan 15 och 10 procent. Flertalet är i åldrarna </w:t>
      </w:r>
      <w:r w:rsidR="00365C66" w:rsidRPr="003954D9">
        <w:t>18–65</w:t>
      </w:r>
      <w:r w:rsidRPr="003954D9">
        <w:t xml:space="preserve"> år. Se tabell </w:t>
      </w:r>
      <w:r w:rsidR="008E76FC" w:rsidRPr="003954D9">
        <w:t>4:4</w:t>
      </w:r>
      <w:r w:rsidR="00D00054">
        <w:t xml:space="preserve"> i tabellbilagan.</w:t>
      </w:r>
    </w:p>
    <w:p w14:paraId="74D2FE79" w14:textId="77777777" w:rsidR="00A87742" w:rsidRPr="003954D9" w:rsidRDefault="00A87742" w:rsidP="00A87742">
      <w:pPr>
        <w:rPr>
          <w:b/>
        </w:rPr>
      </w:pPr>
    </w:p>
    <w:p w14:paraId="5D7956D9" w14:textId="77777777" w:rsidR="00A87742" w:rsidRPr="003954D9" w:rsidRDefault="00A87742" w:rsidP="00184AC8">
      <w:pPr>
        <w:pStyle w:val="Rubrik2"/>
      </w:pPr>
      <w:bookmarkStart w:id="381" w:name="_Toc333796007"/>
      <w:bookmarkStart w:id="382" w:name="_Toc333796267"/>
      <w:bookmarkStart w:id="383" w:name="_Toc333800795"/>
      <w:bookmarkStart w:id="384" w:name="_Toc333800913"/>
      <w:bookmarkStart w:id="385" w:name="_Toc463184466"/>
      <w:bookmarkStart w:id="386" w:name="_Toc464828474"/>
      <w:r w:rsidRPr="003954D9">
        <w:t>Lägenhetstyper</w:t>
      </w:r>
      <w:bookmarkEnd w:id="381"/>
      <w:bookmarkEnd w:id="382"/>
      <w:bookmarkEnd w:id="383"/>
      <w:bookmarkEnd w:id="384"/>
      <w:bookmarkEnd w:id="385"/>
      <w:bookmarkEnd w:id="386"/>
    </w:p>
    <w:p w14:paraId="1305BC72" w14:textId="15E5F53B" w:rsidR="00A87742" w:rsidRPr="003954D9" w:rsidRDefault="00FA26E0" w:rsidP="00201FD3">
      <w:pPr>
        <w:pStyle w:val="Rubrik3"/>
      </w:pPr>
      <w:bookmarkStart w:id="387" w:name="_Toc464828475"/>
      <w:r w:rsidRPr="003954D9">
        <w:t>Hela urvalet</w:t>
      </w:r>
      <w:bookmarkEnd w:id="387"/>
    </w:p>
    <w:p w14:paraId="5E1B0D52" w14:textId="48DBE97F" w:rsidR="00A87742" w:rsidRPr="003954D9" w:rsidRDefault="00A87742" w:rsidP="00235596">
      <w:r w:rsidRPr="003954D9">
        <w:t>De vanliga</w:t>
      </w:r>
      <w:r w:rsidR="00D00054">
        <w:t xml:space="preserve">ste lägenhetstyperna är 2 </w:t>
      </w:r>
      <w:r w:rsidRPr="003954D9">
        <w:t xml:space="preserve">och 3 </w:t>
      </w:r>
      <w:r w:rsidR="00D00054">
        <w:t>rum och kök</w:t>
      </w:r>
      <w:r w:rsidR="00FD3008" w:rsidRPr="003954D9">
        <w:t xml:space="preserve">, som </w:t>
      </w:r>
      <w:r w:rsidRPr="003954D9">
        <w:t xml:space="preserve">tillsammans </w:t>
      </w:r>
      <w:r w:rsidR="00FD3008" w:rsidRPr="003954D9">
        <w:t xml:space="preserve">utgör </w:t>
      </w:r>
      <w:r w:rsidRPr="003954D9">
        <w:t xml:space="preserve">över 60 procent av alla lägenheter (32 procent respektive 31 procent). Ettorna utgör 17 procent av beståndet och flertalet </w:t>
      </w:r>
      <w:r w:rsidR="00FD3008" w:rsidRPr="003954D9">
        <w:t xml:space="preserve">ettor </w:t>
      </w:r>
      <w:r w:rsidRPr="003954D9">
        <w:t xml:space="preserve">utgörs av lägenheter med kokvrå eller kokskåp (11 procent).  Lägenheter på </w:t>
      </w:r>
      <w:r w:rsidRPr="003954D9">
        <w:lastRenderedPageBreak/>
        <w:t xml:space="preserve">4 </w:t>
      </w:r>
      <w:r w:rsidR="00D00054">
        <w:t>rum och kök</w:t>
      </w:r>
      <w:r w:rsidRPr="003954D9">
        <w:t xml:space="preserve"> utgör 13 procent av beståndet och lägenheter på 5 </w:t>
      </w:r>
      <w:r w:rsidR="00D00054">
        <w:t>rum och kök eller större</w:t>
      </w:r>
      <w:r w:rsidRPr="003954D9">
        <w:t xml:space="preserve"> 3 procent. </w:t>
      </w:r>
    </w:p>
    <w:p w14:paraId="4EDAED90" w14:textId="3909E2C6" w:rsidR="00A87742" w:rsidRPr="003954D9" w:rsidRDefault="00A87742" w:rsidP="00D00054">
      <w:pPr>
        <w:spacing w:before="120"/>
      </w:pPr>
      <w:r w:rsidRPr="003954D9">
        <w:t>Sett till personer räknat bor över 60 procent i 2 och 3 r</w:t>
      </w:r>
      <w:r w:rsidR="00D00054">
        <w:t>um och kök</w:t>
      </w:r>
      <w:r w:rsidRPr="003954D9">
        <w:t xml:space="preserve"> (24 respektive 37 procent) och en femtedel bor i 4 r</w:t>
      </w:r>
      <w:r w:rsidR="00D00054">
        <w:t>um och kök</w:t>
      </w:r>
      <w:r w:rsidRPr="003954D9">
        <w:t xml:space="preserve"> (21 procent). Antalet boende samvarierar helt naturligt med lägenhetsstorleken. Förvånande är att antalet boende per hushåll är lite större i 1 r</w:t>
      </w:r>
      <w:r w:rsidR="00D00054">
        <w:t>um och kokvrå (</w:t>
      </w:r>
      <w:r w:rsidRPr="003954D9">
        <w:t>eller kokskåp) på 30 kvm än i 1 rum och kök på 40 kvm. Förklaringen kan vara att den disponibla inkomsten för hushållen i 1 r</w:t>
      </w:r>
      <w:r w:rsidR="00D00054">
        <w:t xml:space="preserve">um och kokvrå </w:t>
      </w:r>
      <w:r w:rsidRPr="003954D9">
        <w:t xml:space="preserve">är lägre, varför behovet att tränga ihop sig är större jämfört med hushållen i 1 </w:t>
      </w:r>
      <w:r w:rsidR="00D00054">
        <w:t>rum och kök.</w:t>
      </w:r>
      <w:r w:rsidRPr="003954D9">
        <w:t xml:space="preserve"> </w:t>
      </w:r>
    </w:p>
    <w:p w14:paraId="3FD880EF" w14:textId="1F6BE977" w:rsidR="00A87742" w:rsidRPr="003954D9" w:rsidRDefault="00A87742" w:rsidP="00D00054">
      <w:pPr>
        <w:spacing w:before="120"/>
      </w:pPr>
      <w:r w:rsidRPr="003954D9">
        <w:t>Den största boendeytan per person har boende i 2 r</w:t>
      </w:r>
      <w:r w:rsidR="00D00054">
        <w:t>um och kök</w:t>
      </w:r>
      <w:r w:rsidRPr="003954D9">
        <w:t xml:space="preserve"> följda av 1 r</w:t>
      </w:r>
      <w:r w:rsidR="00D00054">
        <w:t>um och kök</w:t>
      </w:r>
      <w:r w:rsidRPr="003954D9">
        <w:t xml:space="preserve"> (35,1 kvm/person och 29,9 kvm/person). Medelytan i 2 </w:t>
      </w:r>
      <w:r w:rsidR="00D00054">
        <w:t>rum och kök är</w:t>
      </w:r>
      <w:r w:rsidRPr="003954D9">
        <w:t xml:space="preserve"> 58,6 kvm och i 1 r</w:t>
      </w:r>
      <w:r w:rsidR="00D00054">
        <w:t>um och kök</w:t>
      </w:r>
      <w:r w:rsidRPr="003954D9">
        <w:t xml:space="preserve"> 39,9 kvm. Den minsta boendeytan har boende i 1 r</w:t>
      </w:r>
      <w:r w:rsidR="00D00054">
        <w:t>um och kokvrå</w:t>
      </w:r>
      <w:r w:rsidRPr="003954D9">
        <w:t xml:space="preserve"> (eller kokskåp</w:t>
      </w:r>
      <w:r w:rsidR="00D00054">
        <w:t>)</w:t>
      </w:r>
      <w:r w:rsidRPr="003954D9">
        <w:t xml:space="preserve"> – (21,7 kvm/person). Medelytan i dessa lägenheter är 30,1 kvm. Se tabell </w:t>
      </w:r>
      <w:r w:rsidR="008E76FC" w:rsidRPr="003954D9">
        <w:t>6:1</w:t>
      </w:r>
      <w:r w:rsidR="00D00054">
        <w:t xml:space="preserve"> i tabellbilagan.</w:t>
      </w:r>
    </w:p>
    <w:p w14:paraId="6FD71F92" w14:textId="77777777" w:rsidR="00A87742" w:rsidRPr="003954D9" w:rsidRDefault="00A87742" w:rsidP="00A87742">
      <w:pPr>
        <w:rPr>
          <w:lang w:eastAsia="en-US"/>
        </w:rPr>
      </w:pPr>
    </w:p>
    <w:p w14:paraId="2AE32092" w14:textId="77777777" w:rsidR="00A87742" w:rsidRPr="003954D9" w:rsidRDefault="00A87742" w:rsidP="00184AC8">
      <w:pPr>
        <w:pStyle w:val="Rubrik3"/>
        <w:rPr>
          <w:lang w:eastAsia="en-US"/>
        </w:rPr>
      </w:pPr>
      <w:bookmarkStart w:id="388" w:name="_Toc463184468"/>
      <w:bookmarkStart w:id="389" w:name="_Toc464828476"/>
      <w:r w:rsidRPr="003954D9">
        <w:rPr>
          <w:lang w:eastAsia="en-US"/>
        </w:rPr>
        <w:t>Fördelat på stadsdelarna</w:t>
      </w:r>
      <w:bookmarkEnd w:id="388"/>
      <w:bookmarkEnd w:id="389"/>
    </w:p>
    <w:p w14:paraId="666556AE" w14:textId="55E43B00" w:rsidR="00A87742" w:rsidRPr="003954D9" w:rsidRDefault="00A87742" w:rsidP="00A00C46">
      <w:pPr>
        <w:rPr>
          <w:rFonts w:eastAsiaTheme="minorHAnsi"/>
          <w:lang w:eastAsia="en-US"/>
        </w:rPr>
      </w:pPr>
      <w:r w:rsidRPr="003954D9">
        <w:t>Andelen smålägenheter (1 r</w:t>
      </w:r>
      <w:r w:rsidR="00D00054">
        <w:t>um och kök</w:t>
      </w:r>
      <w:r w:rsidRPr="003954D9">
        <w:t>/</w:t>
      </w:r>
      <w:r w:rsidR="00D00054">
        <w:t>1 rum och kokvrå</w:t>
      </w:r>
      <w:r w:rsidRPr="003954D9">
        <w:t xml:space="preserve">) är klart högst i Lundby (43,6 procent). </w:t>
      </w:r>
      <w:r w:rsidRPr="003954D9">
        <w:rPr>
          <w:rFonts w:eastAsiaTheme="minorHAnsi"/>
          <w:lang w:eastAsia="en-US"/>
        </w:rPr>
        <w:t xml:space="preserve">Lundby var också den stadsdel som hade högst andel ensamboende och lägst andel hushåll med barn. I Centrum, som hade en lika stor andel ensamboende hushåll utan barn som Lundby, är andelen smålägenheter bara hälften så stor (21,7 procent) medan 70 procent av lägenheterna är på minst 2 </w:t>
      </w:r>
      <w:r w:rsidR="00D00054">
        <w:rPr>
          <w:rFonts w:eastAsiaTheme="minorHAnsi"/>
          <w:lang w:eastAsia="en-US"/>
        </w:rPr>
        <w:t>rum och kök</w:t>
      </w:r>
      <w:r w:rsidRPr="003954D9">
        <w:rPr>
          <w:rFonts w:eastAsiaTheme="minorHAnsi"/>
          <w:lang w:eastAsia="en-US"/>
        </w:rPr>
        <w:t xml:space="preserve"> medan samma andel i Lundby är 48 procent. </w:t>
      </w:r>
    </w:p>
    <w:p w14:paraId="58BB42A7" w14:textId="7B30A018" w:rsidR="00A87742" w:rsidRPr="003954D9" w:rsidRDefault="00A87742" w:rsidP="00D00054">
      <w:pPr>
        <w:spacing w:before="120"/>
        <w:rPr>
          <w:rFonts w:eastAsiaTheme="minorHAnsi"/>
          <w:lang w:eastAsia="en-US"/>
        </w:rPr>
      </w:pPr>
      <w:r w:rsidRPr="003954D9">
        <w:rPr>
          <w:rFonts w:eastAsiaTheme="minorHAnsi"/>
          <w:lang w:eastAsia="en-US"/>
        </w:rPr>
        <w:t xml:space="preserve">Andelen stora lägenheter (4 </w:t>
      </w:r>
      <w:r w:rsidR="00D00054">
        <w:rPr>
          <w:rFonts w:eastAsiaTheme="minorHAnsi"/>
          <w:lang w:eastAsia="en-US"/>
        </w:rPr>
        <w:t>rum och kök</w:t>
      </w:r>
      <w:r w:rsidRPr="003954D9">
        <w:rPr>
          <w:rFonts w:eastAsiaTheme="minorHAnsi"/>
          <w:lang w:eastAsia="en-US"/>
        </w:rPr>
        <w:t xml:space="preserve"> och 5 </w:t>
      </w:r>
      <w:r w:rsidR="00155ABC">
        <w:rPr>
          <w:rFonts w:eastAsiaTheme="minorHAnsi"/>
          <w:lang w:eastAsia="en-US"/>
        </w:rPr>
        <w:t>rum och kök eller större</w:t>
      </w:r>
      <w:r w:rsidRPr="003954D9">
        <w:rPr>
          <w:rFonts w:eastAsiaTheme="minorHAnsi"/>
          <w:lang w:eastAsia="en-US"/>
        </w:rPr>
        <w:t>) är störst i Ö</w:t>
      </w:r>
      <w:r w:rsidR="00FD3008" w:rsidRPr="003954D9">
        <w:rPr>
          <w:rFonts w:eastAsiaTheme="minorHAnsi"/>
          <w:lang w:eastAsia="en-US"/>
        </w:rPr>
        <w:t>r</w:t>
      </w:r>
      <w:r w:rsidRPr="003954D9">
        <w:rPr>
          <w:rFonts w:eastAsiaTheme="minorHAnsi"/>
          <w:lang w:eastAsia="en-US"/>
        </w:rPr>
        <w:t>gryte-Härlanda, Västra Hisingen och Norra Hisingen (</w:t>
      </w:r>
      <w:r w:rsidR="00365C66" w:rsidRPr="003954D9">
        <w:rPr>
          <w:rFonts w:eastAsiaTheme="minorHAnsi"/>
          <w:lang w:eastAsia="en-US"/>
        </w:rPr>
        <w:t>19,5–19</w:t>
      </w:r>
      <w:r w:rsidRPr="003954D9">
        <w:rPr>
          <w:rFonts w:eastAsiaTheme="minorHAnsi"/>
          <w:lang w:eastAsia="en-US"/>
        </w:rPr>
        <w:t xml:space="preserve"> procent) och minst i Majorna-</w:t>
      </w:r>
      <w:r w:rsidR="006C00AA" w:rsidRPr="003954D9">
        <w:rPr>
          <w:rFonts w:eastAsiaTheme="minorHAnsi"/>
          <w:lang w:eastAsia="en-US"/>
        </w:rPr>
        <w:t>Linnéstaden</w:t>
      </w:r>
      <w:r w:rsidRPr="003954D9">
        <w:rPr>
          <w:rFonts w:eastAsiaTheme="minorHAnsi"/>
          <w:lang w:eastAsia="en-US"/>
        </w:rPr>
        <w:t xml:space="preserve">, Östra Göteborg och Centrum (12,6, 11,0 och 9,6 procent). </w:t>
      </w:r>
    </w:p>
    <w:p w14:paraId="22F8DAA9" w14:textId="66F912DD" w:rsidR="00A87742" w:rsidRPr="003954D9" w:rsidRDefault="00A87742" w:rsidP="00D00054">
      <w:pPr>
        <w:spacing w:before="120"/>
        <w:rPr>
          <w:rFonts w:eastAsiaTheme="minorHAnsi"/>
          <w:lang w:eastAsia="en-US"/>
        </w:rPr>
      </w:pPr>
      <w:r w:rsidRPr="003954D9">
        <w:rPr>
          <w:rFonts w:eastAsiaTheme="minorHAnsi"/>
          <w:lang w:eastAsia="en-US"/>
        </w:rPr>
        <w:t>Andelen lägenheter i mellanstorlekarna 2 r</w:t>
      </w:r>
      <w:r w:rsidR="00155ABC">
        <w:rPr>
          <w:rFonts w:eastAsiaTheme="minorHAnsi"/>
          <w:lang w:eastAsia="en-US"/>
        </w:rPr>
        <w:t>um och kök</w:t>
      </w:r>
      <w:r w:rsidRPr="003954D9">
        <w:rPr>
          <w:rFonts w:eastAsiaTheme="minorHAnsi"/>
          <w:lang w:eastAsia="en-US"/>
        </w:rPr>
        <w:t xml:space="preserve"> och 3 </w:t>
      </w:r>
      <w:r w:rsidR="00155ABC">
        <w:rPr>
          <w:rFonts w:eastAsiaTheme="minorHAnsi"/>
          <w:lang w:eastAsia="en-US"/>
        </w:rPr>
        <w:t>rum och kök</w:t>
      </w:r>
      <w:r w:rsidRPr="003954D9">
        <w:rPr>
          <w:rFonts w:eastAsiaTheme="minorHAnsi"/>
          <w:lang w:eastAsia="en-US"/>
        </w:rPr>
        <w:t xml:space="preserve"> återfinns framför allt i stadsdelarna Angered, Västra och Östra Göteborg samt Västra Hisingen 73,7 procent-71,6 procent inkl. 2 r</w:t>
      </w:r>
      <w:r w:rsidR="00155ABC">
        <w:rPr>
          <w:rFonts w:eastAsiaTheme="minorHAnsi"/>
          <w:lang w:eastAsia="en-US"/>
        </w:rPr>
        <w:t>um och kokvrå</w:t>
      </w:r>
      <w:r w:rsidRPr="003954D9">
        <w:rPr>
          <w:rFonts w:eastAsiaTheme="minorHAnsi"/>
          <w:lang w:eastAsia="en-US"/>
        </w:rPr>
        <w:t>. Lägst är andelarna i Örgryte-Härlanda och Lundby (54,2 respektive 39,8 procent). Treorna är särskilt vanliga i Askim-Frölunda-Högsbo och Angered (41,8 procent respektive 40,3 procent). Lägsta andelen finns Majorna-</w:t>
      </w:r>
      <w:r w:rsidR="006C00AA" w:rsidRPr="003954D9">
        <w:rPr>
          <w:rFonts w:eastAsiaTheme="minorHAnsi"/>
          <w:lang w:eastAsia="en-US"/>
        </w:rPr>
        <w:t>Linnéstaden</w:t>
      </w:r>
      <w:r w:rsidRPr="003954D9">
        <w:rPr>
          <w:rFonts w:eastAsiaTheme="minorHAnsi"/>
          <w:lang w:eastAsia="en-US"/>
        </w:rPr>
        <w:t xml:space="preserve"> och Lundby (20,5 procent respektive 7,9 procent).  </w:t>
      </w:r>
    </w:p>
    <w:p w14:paraId="3FE93EA4" w14:textId="5FD19783" w:rsidR="00A87742" w:rsidRPr="003954D9" w:rsidRDefault="00A87742" w:rsidP="00D00054">
      <w:pPr>
        <w:spacing w:before="120"/>
        <w:rPr>
          <w:rFonts w:eastAsiaTheme="minorHAnsi"/>
          <w:lang w:eastAsia="en-US"/>
        </w:rPr>
      </w:pPr>
      <w:r w:rsidRPr="003954D9">
        <w:rPr>
          <w:rFonts w:eastAsiaTheme="minorHAnsi"/>
          <w:lang w:eastAsia="en-US"/>
        </w:rPr>
        <w:t xml:space="preserve">Se bilaga </w:t>
      </w:r>
      <w:r w:rsidR="008E76FC" w:rsidRPr="003954D9">
        <w:rPr>
          <w:rFonts w:eastAsiaTheme="minorHAnsi"/>
          <w:lang w:eastAsia="en-US"/>
        </w:rPr>
        <w:t>6:2</w:t>
      </w:r>
      <w:r w:rsidR="00155ABC">
        <w:rPr>
          <w:rFonts w:eastAsiaTheme="minorHAnsi"/>
          <w:lang w:eastAsia="en-US"/>
        </w:rPr>
        <w:t xml:space="preserve"> i tabellbilagan.</w:t>
      </w:r>
    </w:p>
    <w:p w14:paraId="7214EAB9" w14:textId="77777777" w:rsidR="00A87742" w:rsidRPr="003954D9" w:rsidRDefault="00A87742" w:rsidP="00D00054">
      <w:pPr>
        <w:spacing w:before="120"/>
        <w:rPr>
          <w:rFonts w:eastAsiaTheme="minorHAnsi"/>
          <w:lang w:eastAsia="en-US"/>
        </w:rPr>
      </w:pPr>
      <w:r w:rsidRPr="003954D9">
        <w:rPr>
          <w:rFonts w:eastAsiaTheme="minorHAnsi"/>
          <w:lang w:eastAsia="en-US"/>
        </w:rPr>
        <w:t xml:space="preserve">Det är inte ovanligt att lägenhetsfördelningen förändras i samband med ombyggnad och det är då framför allt de minsta lägenheterna som brukar minska i antal. Det är beklagligt eftersom det finns en stor efterfrågan på mindre och billiga lägenheter. </w:t>
      </w:r>
    </w:p>
    <w:p w14:paraId="52EB4097" w14:textId="1395B555" w:rsidR="001E1C0E" w:rsidRPr="003954D9" w:rsidRDefault="001E29E0" w:rsidP="001E29E0">
      <w:pPr>
        <w:pStyle w:val="Rubrik1"/>
      </w:pPr>
      <w:bookmarkStart w:id="390" w:name="_Toc333173918"/>
      <w:bookmarkStart w:id="391" w:name="_Toc333217087"/>
      <w:bookmarkStart w:id="392" w:name="_Toc333772916"/>
      <w:bookmarkStart w:id="393" w:name="_Toc333796009"/>
      <w:bookmarkStart w:id="394" w:name="_Toc333796269"/>
      <w:bookmarkStart w:id="395" w:name="_Toc333800797"/>
      <w:bookmarkStart w:id="396" w:name="_Toc333800915"/>
      <w:bookmarkStart w:id="397" w:name="_Toc463184469"/>
      <w:bookmarkStart w:id="398" w:name="_Toc464828477"/>
      <w:bookmarkStart w:id="399" w:name="_Toc467818488"/>
      <w:bookmarkStart w:id="400" w:name="_Toc468614374"/>
      <w:bookmarkStart w:id="401" w:name="_Toc333217241"/>
      <w:bookmarkStart w:id="402" w:name="_Toc333217336"/>
      <w:r w:rsidRPr="003954D9">
        <w:t>1</w:t>
      </w:r>
      <w:r w:rsidR="00176DF0" w:rsidRPr="003954D9">
        <w:t>3</w:t>
      </w:r>
      <w:r w:rsidR="00184AC8" w:rsidRPr="003954D9">
        <w:t xml:space="preserve">. </w:t>
      </w:r>
      <w:r w:rsidR="001E1C0E" w:rsidRPr="003954D9">
        <w:t>Om rapporten</w:t>
      </w:r>
      <w:bookmarkEnd w:id="390"/>
      <w:bookmarkEnd w:id="391"/>
      <w:bookmarkEnd w:id="392"/>
      <w:bookmarkEnd w:id="393"/>
      <w:bookmarkEnd w:id="394"/>
      <w:bookmarkEnd w:id="395"/>
      <w:bookmarkEnd w:id="396"/>
      <w:bookmarkEnd w:id="397"/>
      <w:bookmarkEnd w:id="398"/>
      <w:bookmarkEnd w:id="399"/>
      <w:bookmarkEnd w:id="400"/>
      <w:r w:rsidR="001E1C0E" w:rsidRPr="003954D9">
        <w:t xml:space="preserve"> </w:t>
      </w:r>
    </w:p>
    <w:p w14:paraId="2619B11B" w14:textId="77777777" w:rsidR="001E1C0E" w:rsidRPr="003954D9" w:rsidRDefault="001E1C0E" w:rsidP="001E29E0">
      <w:pPr>
        <w:pStyle w:val="Rubrik2"/>
      </w:pPr>
      <w:bookmarkStart w:id="403" w:name="_Toc333796010"/>
      <w:bookmarkStart w:id="404" w:name="_Toc333796270"/>
      <w:bookmarkStart w:id="405" w:name="_Toc333800798"/>
      <w:bookmarkStart w:id="406" w:name="_Toc333800916"/>
      <w:bookmarkStart w:id="407" w:name="_Toc463184470"/>
      <w:bookmarkStart w:id="408" w:name="_Toc464828478"/>
      <w:bookmarkStart w:id="409" w:name="_Toc333217089"/>
      <w:bookmarkStart w:id="410" w:name="_Toc333772918"/>
      <w:r w:rsidRPr="003954D9">
        <w:t>Urval</w:t>
      </w:r>
      <w:bookmarkEnd w:id="403"/>
      <w:bookmarkEnd w:id="404"/>
      <w:bookmarkEnd w:id="405"/>
      <w:bookmarkEnd w:id="406"/>
      <w:bookmarkEnd w:id="407"/>
      <w:bookmarkEnd w:id="408"/>
      <w:r w:rsidRPr="003954D9">
        <w:t xml:space="preserve"> </w:t>
      </w:r>
      <w:bookmarkEnd w:id="409"/>
      <w:bookmarkEnd w:id="410"/>
    </w:p>
    <w:p w14:paraId="76C2937E" w14:textId="78132EF6" w:rsidR="000C3C63" w:rsidRPr="003954D9" w:rsidRDefault="000C3C63" w:rsidP="00155ABC">
      <w:pPr>
        <w:spacing w:before="120"/>
      </w:pPr>
      <w:r w:rsidRPr="003954D9">
        <w:t>Fastigheter med byggår, värdeår och ombyggnadsår som är äldre än 1975 har valts ut från Hyresgästföreningens hyresdatabas. Urvalet har sedan justerats för de fastigheter som ingå</w:t>
      </w:r>
      <w:r w:rsidR="00EA01C2">
        <w:t>r i Hyresgästföreningen Region v</w:t>
      </w:r>
      <w:r w:rsidRPr="003954D9">
        <w:t xml:space="preserve">ästra Sveriges fil över ombyggnationer. Ombyggnationsfilen innehåller de fastigheter som är i en process av ombyggnation och där Hyresgästföreningen antingen har en dialog med fastighetsägaren kring ombyggnationen eller har fått kännedom från fastighetsägaren om att ombyggnation kommer att starta under </w:t>
      </w:r>
      <w:r w:rsidR="00365C66" w:rsidRPr="003954D9">
        <w:t>2016–2017</w:t>
      </w:r>
      <w:r w:rsidRPr="003954D9">
        <w:t xml:space="preserve">. </w:t>
      </w:r>
    </w:p>
    <w:p w14:paraId="69DBFF13" w14:textId="77777777" w:rsidR="000C3C63" w:rsidRPr="003954D9" w:rsidRDefault="001E1C0E" w:rsidP="00155ABC">
      <w:pPr>
        <w:spacing w:before="120"/>
      </w:pPr>
      <w:r w:rsidRPr="003954D9">
        <w:t xml:space="preserve">Av integritetsskäl </w:t>
      </w:r>
      <w:r w:rsidR="000C3C63" w:rsidRPr="003954D9">
        <w:t xml:space="preserve">har det justerade urvalet av fastigheter därefter begränsats ytterligare till att bara inkludera fastigheter med 100 lägenheter eller fler. </w:t>
      </w:r>
      <w:r w:rsidRPr="003954D9">
        <w:t xml:space="preserve">Det betyder att mindre fastigheter, </w:t>
      </w:r>
      <w:r w:rsidRPr="003954D9">
        <w:lastRenderedPageBreak/>
        <w:t xml:space="preserve">som framför allt finns i centrala Göteborg och i det privatägda beståndet, är underrepresenterade. </w:t>
      </w:r>
    </w:p>
    <w:p w14:paraId="42AC20E4" w14:textId="37D57716" w:rsidR="001E1C0E" w:rsidRPr="003954D9" w:rsidRDefault="001E1C0E" w:rsidP="00155ABC">
      <w:pPr>
        <w:spacing w:before="120"/>
      </w:pPr>
      <w:r w:rsidRPr="003954D9">
        <w:t xml:space="preserve">Fastigheterna har därefter fördelats på de olika stadsdelsnämndsområdena i Göteborg: Angered, Askim-Frölunda-Högsbo, Centrum, Lundby, Majorna-Linné, Norra Hisingen, Västra Göteborg, Västra Hisingen, Örgryte-Härlanda och Östra Göteborg. </w:t>
      </w:r>
    </w:p>
    <w:p w14:paraId="6DD87409" w14:textId="45629ED4" w:rsidR="00CA6794" w:rsidRDefault="00960ADE" w:rsidP="00155ABC">
      <w:pPr>
        <w:spacing w:before="120"/>
      </w:pPr>
      <w:r w:rsidRPr="003954D9">
        <w:t xml:space="preserve">De uppgifter som använts i SCB:s körningar är </w:t>
      </w:r>
      <w:r w:rsidR="001E1C0E" w:rsidRPr="003954D9">
        <w:t xml:space="preserve">fastighetsbeteckning, adress, lägenhetstyper samt deras medelhyra (månads- och årshyra) samt medelyta i datafiler. Uppgifterna avser år 2014. </w:t>
      </w:r>
    </w:p>
    <w:p w14:paraId="73740693" w14:textId="77777777" w:rsidR="00235596" w:rsidRPr="003954D9" w:rsidRDefault="00235596" w:rsidP="00A00C46"/>
    <w:p w14:paraId="29059E00" w14:textId="1951E383" w:rsidR="00CA6794" w:rsidRPr="003954D9" w:rsidRDefault="00CA6794" w:rsidP="00CA6794">
      <w:pPr>
        <w:pStyle w:val="Rubrik2"/>
      </w:pPr>
      <w:bookmarkStart w:id="411" w:name="_Toc333796012"/>
      <w:bookmarkStart w:id="412" w:name="_Toc333796272"/>
      <w:bookmarkStart w:id="413" w:name="_Toc333800800"/>
      <w:bookmarkStart w:id="414" w:name="_Toc333800918"/>
      <w:bookmarkStart w:id="415" w:name="_Toc463184472"/>
      <w:bookmarkStart w:id="416" w:name="_Toc464828479"/>
      <w:r w:rsidRPr="003954D9">
        <w:t xml:space="preserve">SCB:s </w:t>
      </w:r>
      <w:r w:rsidR="00365C66" w:rsidRPr="003954D9">
        <w:t>lägenhetsregisterfolkbokförd</w:t>
      </w:r>
      <w:r w:rsidRPr="003954D9">
        <w:t xml:space="preserve"> på bostad</w:t>
      </w:r>
      <w:bookmarkEnd w:id="411"/>
      <w:bookmarkEnd w:id="412"/>
      <w:bookmarkEnd w:id="413"/>
      <w:bookmarkEnd w:id="414"/>
      <w:bookmarkEnd w:id="415"/>
      <w:bookmarkEnd w:id="416"/>
    </w:p>
    <w:p w14:paraId="578B22D7" w14:textId="09E4538F" w:rsidR="00CA6794" w:rsidRPr="003954D9" w:rsidRDefault="00CA6794" w:rsidP="00CA6794">
      <w:pPr>
        <w:rPr>
          <w:sz w:val="23"/>
          <w:szCs w:val="23"/>
        </w:rPr>
      </w:pPr>
      <w:r w:rsidRPr="003954D9">
        <w:rPr>
          <w:sz w:val="23"/>
          <w:szCs w:val="23"/>
        </w:rPr>
        <w:t xml:space="preserve">SCB:s lägenhetsregister öppnades för externt bruk i juni 2014. Genom det kan man få fram data med en helt annan kvalitet än i tidigare undersökningar av boendet. I lägenhetsregistret är varje folkbokförd person knuten till en specifik bostad även i flerbostadshus. Tidigare fanns dessa uppgifter enbart för småhus och för flerbostadshus kunde personer bara knytas till en viss adress.  </w:t>
      </w:r>
    </w:p>
    <w:p w14:paraId="0FC47ED4" w14:textId="5A7A0A8A" w:rsidR="00CA6794" w:rsidRPr="003954D9" w:rsidRDefault="00CA6794" w:rsidP="00CA6794">
      <w:pPr>
        <w:rPr>
          <w:sz w:val="23"/>
          <w:szCs w:val="23"/>
        </w:rPr>
      </w:pPr>
      <w:r w:rsidRPr="003954D9">
        <w:rPr>
          <w:sz w:val="23"/>
          <w:szCs w:val="23"/>
        </w:rPr>
        <w:t xml:space="preserve">Med lägenhetsregistret kan man få fram en heltäckande bild av hushållens boende och bostadsutnyttjande och kombinera dessa med uppgifter om olika bakgrundsvariabler hämtade från andra register. </w:t>
      </w:r>
    </w:p>
    <w:p w14:paraId="2D28F33F" w14:textId="77777777" w:rsidR="00B15394" w:rsidRPr="003954D9" w:rsidRDefault="00B15394" w:rsidP="00CA6794">
      <w:pPr>
        <w:rPr>
          <w:sz w:val="23"/>
          <w:szCs w:val="23"/>
        </w:rPr>
      </w:pPr>
    </w:p>
    <w:p w14:paraId="6C230FC4" w14:textId="77777777" w:rsidR="001E1C0E" w:rsidRPr="003954D9" w:rsidRDefault="001E1C0E" w:rsidP="001E29E0">
      <w:pPr>
        <w:pStyle w:val="Rubrik2"/>
      </w:pPr>
      <w:bookmarkStart w:id="417" w:name="_Toc333796011"/>
      <w:bookmarkStart w:id="418" w:name="_Toc333796271"/>
      <w:bookmarkStart w:id="419" w:name="_Toc333800799"/>
      <w:bookmarkStart w:id="420" w:name="_Toc333800917"/>
      <w:bookmarkStart w:id="421" w:name="_Toc463184471"/>
      <w:bookmarkStart w:id="422" w:name="_Toc464828480"/>
      <w:r w:rsidRPr="003954D9">
        <w:t>Metod</w:t>
      </w:r>
      <w:bookmarkEnd w:id="417"/>
      <w:bookmarkEnd w:id="418"/>
      <w:bookmarkEnd w:id="419"/>
      <w:bookmarkEnd w:id="420"/>
      <w:bookmarkEnd w:id="421"/>
      <w:bookmarkEnd w:id="422"/>
    </w:p>
    <w:p w14:paraId="1820CFDC" w14:textId="77777777" w:rsidR="001E1C0E" w:rsidRPr="003954D9" w:rsidRDefault="001E1C0E" w:rsidP="00A00C46">
      <w:pPr>
        <w:tabs>
          <w:tab w:val="left" w:pos="8789"/>
        </w:tabs>
      </w:pPr>
      <w:r w:rsidRPr="003954D9">
        <w:t>Från SCB:s lägenhetsregister hämtas alla lägenheter med folkbokförd person/er i de selekterade fastigheterna. För var och en av dessa lägenheter bildas ett folkbokföringshushåll. Uppgifter om aktuell medelhyra i den lägenhetstyp i fastigheten som hushållet bor i hämtas från Hyresgästföreningens hyresdatabas och används i de fortsatta beräkningarna (Hyresgästföreningens hyresdatabas tillåter inte en direkt koppling till SCB:s Lägenhetsregister).  För varje folkbokföringshushåll tar SCB fram uppgift om disponibel inkomst för år 2014 samt kostnaden för en skälig levnadsnivå för hushållstypen.</w:t>
      </w:r>
    </w:p>
    <w:p w14:paraId="6131581E" w14:textId="49ADBC8C" w:rsidR="001E1C0E" w:rsidRPr="003954D9" w:rsidRDefault="001E1C0E" w:rsidP="00155ABC">
      <w:pPr>
        <w:spacing w:before="120"/>
      </w:pPr>
      <w:r w:rsidRPr="003954D9">
        <w:t xml:space="preserve">Hushållens disponibla inkomst minus hyra redovisas för år 2014, om hyran stiger med 5 procent, med 25 procent och med 50 procent. Utfallet ställs mot SCB:s norm för en skälig levnadsnivå och resultatet visar hur stor andel av hushållen i de olika kategorierna som efter hyreshöjningen har en disponibel inkomst när hyran är betald som är lägre än skälig levnadsnivå. Resultaten visar på </w:t>
      </w:r>
      <w:r w:rsidR="00CA6794" w:rsidRPr="003954D9">
        <w:t xml:space="preserve">risken för hushållen att </w:t>
      </w:r>
      <w:r w:rsidRPr="003954D9">
        <w:t xml:space="preserve">tvingas flytta. </w:t>
      </w:r>
    </w:p>
    <w:p w14:paraId="572C5D9E" w14:textId="71D4BC6B" w:rsidR="000C3C63" w:rsidRPr="003954D9" w:rsidRDefault="000C3C63" w:rsidP="00155ABC">
      <w:pPr>
        <w:spacing w:before="120"/>
      </w:pPr>
      <w:r w:rsidRPr="003954D9">
        <w:t xml:space="preserve">För de utvalda fastigheterna redovisas uppgifter om fastighetsbeteckning, adress, lägenhetstyper samt deras medelhyra (månads- och årshyra) samt medelyta i datafiler. Uppgifterna om disponibel inkomst, skälig levnadsnivå har </w:t>
      </w:r>
      <w:r w:rsidR="00365C66" w:rsidRPr="003954D9">
        <w:t>hämtats</w:t>
      </w:r>
      <w:r w:rsidRPr="003954D9">
        <w:t xml:space="preserve"> från SCB:s register. Uppgifterna avser år 2014. </w:t>
      </w:r>
    </w:p>
    <w:p w14:paraId="5C10545B" w14:textId="77777777" w:rsidR="000C3C63" w:rsidRPr="003954D9" w:rsidRDefault="000C3C63" w:rsidP="000C3C63"/>
    <w:p w14:paraId="25DB2CC2" w14:textId="27C2B6B3" w:rsidR="001E1C0E" w:rsidRPr="003954D9" w:rsidRDefault="000C3C63" w:rsidP="001E29E0">
      <w:pPr>
        <w:pStyle w:val="Rubrik2"/>
      </w:pPr>
      <w:bookmarkStart w:id="423" w:name="_Toc333217242"/>
      <w:bookmarkStart w:id="424" w:name="_Toc333217337"/>
      <w:bookmarkStart w:id="425" w:name="_Toc333796013"/>
      <w:bookmarkStart w:id="426" w:name="_Toc333796273"/>
      <w:bookmarkStart w:id="427" w:name="_Toc333800801"/>
      <w:bookmarkStart w:id="428" w:name="_Toc333800919"/>
      <w:bookmarkStart w:id="429" w:name="_Toc463184473"/>
      <w:bookmarkStart w:id="430" w:name="_Toc464828481"/>
      <w:bookmarkEnd w:id="401"/>
      <w:bookmarkEnd w:id="402"/>
      <w:r w:rsidRPr="003954D9">
        <w:t>T</w:t>
      </w:r>
      <w:r w:rsidR="001E1C0E" w:rsidRPr="003954D9">
        <w:t>illförlitlighet</w:t>
      </w:r>
      <w:bookmarkEnd w:id="423"/>
      <w:bookmarkEnd w:id="424"/>
      <w:bookmarkEnd w:id="425"/>
      <w:bookmarkEnd w:id="426"/>
      <w:bookmarkEnd w:id="427"/>
      <w:bookmarkEnd w:id="428"/>
      <w:bookmarkEnd w:id="429"/>
      <w:bookmarkEnd w:id="430"/>
    </w:p>
    <w:p w14:paraId="6EAC6BF8" w14:textId="77777777" w:rsidR="0086297C" w:rsidRPr="003954D9" w:rsidRDefault="0086297C" w:rsidP="00155ABC">
      <w:pPr>
        <w:spacing w:before="120"/>
      </w:pPr>
      <w:r w:rsidRPr="003954D9">
        <w:t xml:space="preserve">SCB:s lägenhetsregister omfattar alla folkbokförda personer i hela befolkningen och rapporten omfattar därför alla personer i gruppen folkbokförda boende i de fastigheter som ingår i denna undersökning. Den är alltså vad som brukar kallas en totalundersökning. </w:t>
      </w:r>
    </w:p>
    <w:p w14:paraId="704A5504" w14:textId="67B6EA20" w:rsidR="0086297C" w:rsidRPr="003954D9" w:rsidRDefault="0086297C" w:rsidP="00155ABC">
      <w:pPr>
        <w:spacing w:before="120"/>
      </w:pPr>
      <w:r w:rsidRPr="003954D9">
        <w:t xml:space="preserve">Tillförlitligheten är hög och i paritet med Folk- och Bostadsräkningen (FoB) som lades ned efter den sista rapporten 1990. Alltsedan FoB:s avskaffande har boendeundersökningar baserats på framskrivningar av äldre data och urvalsundersökningar. I urvalsundersökningar undersöker man en mindre grupp personer utvalda för att vara representativa för hela den undersökta gruppen. Det ger upphov till slumpfel och frågor om urvalets representativitet och </w:t>
      </w:r>
      <w:r w:rsidRPr="003954D9">
        <w:lastRenderedPageBreak/>
        <w:t xml:space="preserve">tillförlitlighet. Den typen av problem finns inte denna undersökning, som trots möjliga brister och felkällor har högre representativitet och tillförlitlighet än en undersökning byggd på ett statistiskt urval. </w:t>
      </w:r>
    </w:p>
    <w:p w14:paraId="585B8CB0" w14:textId="1FB2C2E7" w:rsidR="001E1C0E" w:rsidRPr="003954D9" w:rsidRDefault="001E1C0E" w:rsidP="00155ABC">
      <w:pPr>
        <w:spacing w:before="120"/>
      </w:pPr>
      <w:r w:rsidRPr="003954D9">
        <w:t xml:space="preserve">Även om det finns ett mycket starkt samband mellan folkbokföring och faktiskt boende, finns ändå avvikelser. Personer kan bo i en annan bostad än den där de är folkbokförda, vilket torde vara mera vanligt bland yngre personer som t.ex. studenter, som är skrivna i föräldrahemmet men bor i en annan bostad. Personer kan vara folkbokförda i en kommun eller på en viss adress, men bo i en annan kommun eller i utlandet. </w:t>
      </w:r>
    </w:p>
    <w:p w14:paraId="38649F34" w14:textId="274C5270" w:rsidR="001E1C0E" w:rsidRPr="003954D9" w:rsidRDefault="001E1C0E" w:rsidP="00155ABC">
      <w:pPr>
        <w:spacing w:before="120"/>
      </w:pPr>
      <w:r w:rsidRPr="003954D9">
        <w:t xml:space="preserve">För </w:t>
      </w:r>
      <w:r w:rsidR="0085410A" w:rsidRPr="003954D9">
        <w:t xml:space="preserve">att få </w:t>
      </w:r>
      <w:r w:rsidRPr="003954D9">
        <w:t xml:space="preserve">det statliga etableringsstödet för </w:t>
      </w:r>
      <w:proofErr w:type="gramStart"/>
      <w:r w:rsidRPr="003954D9">
        <w:t>nyanlända</w:t>
      </w:r>
      <w:proofErr w:type="gramEnd"/>
      <w:r w:rsidRPr="003954D9">
        <w:t xml:space="preserve"> invandrare krävs en permanent adress</w:t>
      </w:r>
      <w:r w:rsidR="0085410A" w:rsidRPr="003954D9">
        <w:t xml:space="preserve">. </w:t>
      </w:r>
      <w:r w:rsidRPr="003954D9">
        <w:t xml:space="preserve">Därför kan det förekomma </w:t>
      </w:r>
      <w:r w:rsidR="00CA6794" w:rsidRPr="003954D9">
        <w:t xml:space="preserve">att </w:t>
      </w:r>
      <w:r w:rsidRPr="003954D9">
        <w:t xml:space="preserve">personer </w:t>
      </w:r>
      <w:r w:rsidR="00CA6794" w:rsidRPr="003954D9">
        <w:t xml:space="preserve">är </w:t>
      </w:r>
      <w:r w:rsidRPr="003954D9">
        <w:t xml:space="preserve">skrivna på samma lägenhet, </w:t>
      </w:r>
      <w:r w:rsidR="00CA6794" w:rsidRPr="003954D9">
        <w:t xml:space="preserve">men </w:t>
      </w:r>
      <w:r w:rsidRPr="003954D9">
        <w:t xml:space="preserve">i praktiken bor någon annanstans. </w:t>
      </w:r>
      <w:r w:rsidR="00CA6794" w:rsidRPr="003954D9">
        <w:t xml:space="preserve">Det kan </w:t>
      </w:r>
      <w:r w:rsidRPr="003954D9">
        <w:t>ge en överdriven bild av kontraktsinnehavarnas disponibla inkomster och av kostnaderna för skälig levnadsnivå för hushåll</w:t>
      </w:r>
      <w:r w:rsidR="00CA6794" w:rsidRPr="003954D9">
        <w:t>et, men det</w:t>
      </w:r>
      <w:r w:rsidR="0085410A" w:rsidRPr="003954D9">
        <w:t xml:space="preserve"> kan också slå åt andra hållet o</w:t>
      </w:r>
      <w:r w:rsidR="00CA6794" w:rsidRPr="003954D9">
        <w:t xml:space="preserve">m personer i hushållet </w:t>
      </w:r>
      <w:r w:rsidRPr="003954D9">
        <w:t xml:space="preserve">inte har några inkomster. </w:t>
      </w:r>
      <w:r w:rsidR="0086297C" w:rsidRPr="003954D9">
        <w:t xml:space="preserve">Uppgifterna i rapporten gäller 2014, det vill säga före den stora flyktinginvandringen. </w:t>
      </w:r>
      <w:r w:rsidR="0085410A" w:rsidRPr="003954D9">
        <w:t>E</w:t>
      </w:r>
      <w:r w:rsidRPr="003954D9">
        <w:t>nligt SCB är hushåll med extremt många skrivna på en viss lägenhet i de fastigheter som ingår här så få att det inte påverkar resultaten.</w:t>
      </w:r>
    </w:p>
    <w:p w14:paraId="33F63387" w14:textId="0AB68568" w:rsidR="00F34AB3" w:rsidRPr="003954D9" w:rsidRDefault="00F34AB3" w:rsidP="00155ABC">
      <w:pPr>
        <w:spacing w:before="120"/>
      </w:pPr>
      <w:r w:rsidRPr="003954D9">
        <w:t xml:space="preserve">Observera att uppgifterna avser år 2014 och att en del förhållanden kan ha ändrats i dessa fastigheter sedan dess. Hushåll kan ha flyttat, hyrorna har höjts något och </w:t>
      </w:r>
      <w:r w:rsidR="00A00C46">
        <w:t xml:space="preserve">enskilda hushålls inkomster </w:t>
      </w:r>
      <w:r w:rsidRPr="003954D9">
        <w:t xml:space="preserve">kan ha förändrats. </w:t>
      </w:r>
      <w:r w:rsidR="00A00C46">
        <w:t>Mellan åren 2014 och 2015 steg hyrorna något</w:t>
      </w:r>
      <w:r w:rsidRPr="003954D9">
        <w:t>, inkomster</w:t>
      </w:r>
      <w:r w:rsidR="00A00C46">
        <w:t>na steg något</w:t>
      </w:r>
      <w:r w:rsidRPr="003954D9">
        <w:t xml:space="preserve"> och </w:t>
      </w:r>
      <w:r w:rsidR="00A00C46">
        <w:t>kommun- och landstingsskatten steg också. S</w:t>
      </w:r>
      <w:r w:rsidRPr="003954D9">
        <w:t xml:space="preserve">ammantaget </w:t>
      </w:r>
      <w:r w:rsidR="00A00C46">
        <w:t xml:space="preserve">har </w:t>
      </w:r>
      <w:r w:rsidRPr="003954D9">
        <w:t>förändringar</w:t>
      </w:r>
      <w:r w:rsidR="00A00C46">
        <w:t>na</w:t>
      </w:r>
      <w:r w:rsidRPr="003954D9">
        <w:t xml:space="preserve"> varit små. </w:t>
      </w:r>
    </w:p>
    <w:p w14:paraId="54B26686" w14:textId="77777777" w:rsidR="00F34AB3" w:rsidRPr="003954D9" w:rsidRDefault="00F34AB3" w:rsidP="00176DF0"/>
    <w:p w14:paraId="5546DBE2" w14:textId="77777777" w:rsidR="00B51E9C" w:rsidRPr="003954D9" w:rsidRDefault="00B51E9C" w:rsidP="00B51E9C">
      <w:pPr>
        <w:pStyle w:val="Rubrik2"/>
      </w:pPr>
      <w:bookmarkStart w:id="431" w:name="_Toc333217091"/>
      <w:bookmarkStart w:id="432" w:name="_Toc333772920"/>
      <w:bookmarkStart w:id="433" w:name="_Toc333796014"/>
      <w:bookmarkStart w:id="434" w:name="_Toc333796274"/>
      <w:bookmarkStart w:id="435" w:name="_Toc333800802"/>
      <w:bookmarkStart w:id="436" w:name="_Toc333800920"/>
      <w:bookmarkStart w:id="437" w:name="_Toc463184474"/>
      <w:bookmarkStart w:id="438" w:name="_Toc464828482"/>
      <w:r w:rsidRPr="003954D9">
        <w:t>Rapportförfattarna</w:t>
      </w:r>
      <w:bookmarkEnd w:id="431"/>
      <w:bookmarkEnd w:id="432"/>
      <w:bookmarkEnd w:id="433"/>
      <w:bookmarkEnd w:id="434"/>
      <w:bookmarkEnd w:id="435"/>
      <w:bookmarkEnd w:id="436"/>
      <w:bookmarkEnd w:id="437"/>
      <w:bookmarkEnd w:id="438"/>
      <w:r w:rsidRPr="003954D9">
        <w:t xml:space="preserve"> </w:t>
      </w:r>
    </w:p>
    <w:p w14:paraId="1A6E4A51" w14:textId="33C0E5B3" w:rsidR="00B51E9C" w:rsidRDefault="00B51E9C" w:rsidP="00A00C46">
      <w:r w:rsidRPr="003954D9">
        <w:t xml:space="preserve">Sven Bergenstråhle är sociolog och bostadsforskare med ett förflutet bland annat på Stockholms universitet, SCB och Hyresgästföreningen, där han tog fram rapporter om bostadsefterfrågan, värderingar i boendet, hyror och hyressättning samt rapporter i olika bostadssociala frågor. </w:t>
      </w:r>
      <w:r w:rsidR="0017599F">
        <w:t xml:space="preserve">Han är ordförande i den internationella hyresgästorganisationen IUT och </w:t>
      </w:r>
    </w:p>
    <w:p w14:paraId="7842B14D" w14:textId="0A38D481" w:rsidR="0017599F" w:rsidRPr="003954D9" w:rsidRDefault="0017599F" w:rsidP="00A00C46">
      <w:r w:rsidRPr="0017599F">
        <w:t>medlem i European Network for Housing Research</w:t>
      </w:r>
    </w:p>
    <w:p w14:paraId="1425B768" w14:textId="77777777" w:rsidR="00B51E9C" w:rsidRPr="003954D9" w:rsidRDefault="00B51E9C" w:rsidP="00155ABC">
      <w:pPr>
        <w:spacing w:before="120"/>
      </w:pPr>
      <w:r w:rsidRPr="003954D9">
        <w:t xml:space="preserve">Peder Palmstierna är konsult bland annat i bostadspolitiska frågor och har tagit fram rapporter för bland andra PRO, HSB, Riksbyggen, Villaägarna och TMF. Peder Palmstierna var tidigare journalist och därefter presschef på Hyresgästföreningen. </w:t>
      </w:r>
    </w:p>
    <w:p w14:paraId="05F9CA2E" w14:textId="77777777" w:rsidR="00B51E9C" w:rsidRPr="003954D9" w:rsidRDefault="00B51E9C" w:rsidP="00155ABC">
      <w:pPr>
        <w:spacing w:before="120"/>
      </w:pPr>
      <w:r w:rsidRPr="003954D9">
        <w:t>Tillsammans tog Sven Bergenstråhle och Peder Palmstierna 2012 fram en rapport för Malmö stad om vad statlig bostadspolitik kunde göra för att underlätta bostadssituationen i staden. 2015 gjorde de en analys för Hyresgästföreningen Riksförbundet med uppgifter från SCB:s Lägenhetsregister och andra databanker om hur bostäderna i Stockholms stad används i olika upplåtelseformer, lägenhetsstorlekar och stadsdelar samt de boendes inkomster.</w:t>
      </w:r>
    </w:p>
    <w:p w14:paraId="745460E8" w14:textId="77777777" w:rsidR="00B51E9C" w:rsidRPr="003954D9" w:rsidRDefault="00B51E9C" w:rsidP="008E36C2">
      <w:pPr>
        <w:pStyle w:val="Rubrik2"/>
      </w:pPr>
      <w:bookmarkStart w:id="439" w:name="_Toc333217090"/>
      <w:bookmarkStart w:id="440" w:name="_Toc333772919"/>
      <w:bookmarkStart w:id="441" w:name="_Toc333796015"/>
      <w:bookmarkStart w:id="442" w:name="_Toc333796275"/>
      <w:bookmarkStart w:id="443" w:name="_Toc333800803"/>
      <w:bookmarkStart w:id="444" w:name="_Toc333800921"/>
      <w:bookmarkStart w:id="445" w:name="_Toc463184475"/>
      <w:bookmarkStart w:id="446" w:name="_Toc464828483"/>
      <w:r w:rsidRPr="003954D9">
        <w:t>Uppdragsgivare</w:t>
      </w:r>
      <w:bookmarkEnd w:id="439"/>
      <w:bookmarkEnd w:id="440"/>
      <w:bookmarkEnd w:id="441"/>
      <w:bookmarkEnd w:id="442"/>
      <w:bookmarkEnd w:id="443"/>
      <w:bookmarkEnd w:id="444"/>
      <w:bookmarkEnd w:id="445"/>
      <w:bookmarkEnd w:id="446"/>
      <w:r w:rsidRPr="003954D9">
        <w:t xml:space="preserve"> </w:t>
      </w:r>
    </w:p>
    <w:p w14:paraId="64168CBB" w14:textId="77777777" w:rsidR="00B51E9C" w:rsidRPr="003954D9" w:rsidRDefault="00B51E9C" w:rsidP="00B51E9C">
      <w:r w:rsidRPr="003954D9">
        <w:t>Uppdragsgivare är Hyresgästföreningen Västra Sverige i Göteborg. Kontaktperson har varit Anna Hamrin.</w:t>
      </w:r>
    </w:p>
    <w:p w14:paraId="606842AA" w14:textId="77777777" w:rsidR="008568D2" w:rsidRDefault="008568D2" w:rsidP="00117C0D">
      <w:pPr>
        <w:pStyle w:val="Rubrik1"/>
      </w:pPr>
      <w:bookmarkStart w:id="447" w:name="_Toc463184476"/>
      <w:bookmarkStart w:id="448" w:name="_Toc464828484"/>
      <w:r>
        <w:br w:type="page"/>
      </w:r>
    </w:p>
    <w:p w14:paraId="64D0E60F" w14:textId="77777777" w:rsidR="00155ABC" w:rsidRDefault="00155ABC" w:rsidP="00117C0D">
      <w:pPr>
        <w:pStyle w:val="Rubrik1"/>
      </w:pPr>
      <w:r>
        <w:lastRenderedPageBreak/>
        <w:br w:type="page"/>
      </w:r>
    </w:p>
    <w:p w14:paraId="3159A583" w14:textId="2C7A2457" w:rsidR="00117C0D" w:rsidRPr="003954D9" w:rsidRDefault="00117C0D" w:rsidP="00117C0D">
      <w:pPr>
        <w:pStyle w:val="Rubrik1"/>
      </w:pPr>
      <w:bookmarkStart w:id="449" w:name="_Toc467818489"/>
      <w:bookmarkStart w:id="450" w:name="_Toc468614375"/>
      <w:r w:rsidRPr="003954D9">
        <w:lastRenderedPageBreak/>
        <w:t>Bilaga 1 - Tabeller</w:t>
      </w:r>
      <w:bookmarkEnd w:id="447"/>
      <w:bookmarkEnd w:id="448"/>
      <w:bookmarkEnd w:id="449"/>
      <w:bookmarkEnd w:id="450"/>
    </w:p>
    <w:p w14:paraId="572F6097" w14:textId="5E5E4471" w:rsidR="00117C0D" w:rsidRPr="003954D9" w:rsidRDefault="00117C0D" w:rsidP="00117C0D">
      <w:pPr>
        <w:pStyle w:val="Rubrik2"/>
      </w:pPr>
      <w:bookmarkStart w:id="451" w:name="_Toc463184477"/>
      <w:bookmarkStart w:id="452" w:name="_Toc464828485"/>
      <w:r w:rsidRPr="003954D9">
        <w:t>Tabellerna 1:</w:t>
      </w:r>
      <w:r w:rsidR="00365C66" w:rsidRPr="003954D9">
        <w:t>1–1</w:t>
      </w:r>
      <w:r w:rsidRPr="003954D9">
        <w:t>:5</w:t>
      </w:r>
      <w:bookmarkEnd w:id="451"/>
      <w:bookmarkEnd w:id="452"/>
    </w:p>
    <w:p w14:paraId="4F995E11" w14:textId="77777777" w:rsidR="00117C0D" w:rsidRPr="003954D9" w:rsidRDefault="00117C0D" w:rsidP="00117C0D">
      <w:pPr>
        <w:keepNext/>
        <w:keepLines/>
        <w:outlineLvl w:val="4"/>
        <w:rPr>
          <w:rFonts w:asciiTheme="majorHAnsi" w:eastAsiaTheme="majorEastAsia" w:hAnsiTheme="majorHAnsi" w:cstheme="majorBidi"/>
          <w:color w:val="243F60" w:themeColor="accent1" w:themeShade="7F"/>
          <w:sz w:val="23"/>
        </w:rPr>
      </w:pPr>
      <w:r w:rsidRPr="003954D9">
        <w:rPr>
          <w:rFonts w:asciiTheme="majorHAnsi" w:eastAsiaTheme="majorEastAsia" w:hAnsiTheme="majorHAnsi" w:cstheme="majorBidi"/>
          <w:color w:val="243F60" w:themeColor="accent1" w:themeShade="7F"/>
          <w:sz w:val="23"/>
        </w:rPr>
        <w:t>Tabell 1: 1 Ökning av antalet hushåll i riskzonen efter hyreshöjning på 50 procent jämfört med idag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851"/>
        <w:gridCol w:w="708"/>
        <w:gridCol w:w="567"/>
      </w:tblGrid>
      <w:tr w:rsidR="00117C0D" w:rsidRPr="003954D9" w14:paraId="598AD39F" w14:textId="77777777" w:rsidTr="00117C0D">
        <w:trPr>
          <w:trHeight w:val="227"/>
        </w:trPr>
        <w:tc>
          <w:tcPr>
            <w:tcW w:w="1873" w:type="dxa"/>
            <w:vMerge w:val="restart"/>
          </w:tcPr>
          <w:p w14:paraId="49BA8A84"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851" w:type="dxa"/>
          </w:tcPr>
          <w:p w14:paraId="1460C9B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Idag</w:t>
            </w:r>
          </w:p>
        </w:tc>
        <w:tc>
          <w:tcPr>
            <w:tcW w:w="1275" w:type="dxa"/>
            <w:gridSpan w:val="2"/>
          </w:tcPr>
          <w:p w14:paraId="60272A33" w14:textId="705730AA"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Ökning </w:t>
            </w:r>
            <w:r w:rsidR="003954D9" w:rsidRPr="003954D9">
              <w:rPr>
                <w:rFonts w:ascii="Calibri" w:hAnsi="Calibri" w:cs="Calibri"/>
                <w:b/>
                <w:bCs/>
                <w:color w:val="000000"/>
                <w:sz w:val="16"/>
                <w:szCs w:val="16"/>
              </w:rPr>
              <w:t>vid 50</w:t>
            </w:r>
            <w:r w:rsidRPr="003954D9">
              <w:rPr>
                <w:rFonts w:ascii="Calibri" w:hAnsi="Calibri" w:cs="Calibri"/>
                <w:b/>
                <w:bCs/>
                <w:color w:val="000000"/>
                <w:sz w:val="16"/>
                <w:szCs w:val="16"/>
              </w:rPr>
              <w:t xml:space="preserve"> </w:t>
            </w:r>
            <w:r w:rsidR="00F32099" w:rsidRPr="003954D9">
              <w:rPr>
                <w:rFonts w:ascii="Calibri" w:hAnsi="Calibri" w:cs="Calibri"/>
                <w:b/>
                <w:bCs/>
                <w:color w:val="000000"/>
                <w:sz w:val="16"/>
                <w:szCs w:val="16"/>
              </w:rPr>
              <w:t>%</w:t>
            </w:r>
          </w:p>
        </w:tc>
      </w:tr>
      <w:tr w:rsidR="00117C0D" w:rsidRPr="003954D9" w14:paraId="74A23EFB" w14:textId="77777777" w:rsidTr="00117C0D">
        <w:trPr>
          <w:trHeight w:val="227"/>
        </w:trPr>
        <w:tc>
          <w:tcPr>
            <w:tcW w:w="1873" w:type="dxa"/>
            <w:vMerge/>
          </w:tcPr>
          <w:p w14:paraId="3DE56695"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p>
        </w:tc>
        <w:tc>
          <w:tcPr>
            <w:tcW w:w="851" w:type="dxa"/>
          </w:tcPr>
          <w:p w14:paraId="249D4A95"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708" w:type="dxa"/>
          </w:tcPr>
          <w:p w14:paraId="4142F18C"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567" w:type="dxa"/>
          </w:tcPr>
          <w:p w14:paraId="40396346" w14:textId="2CCFB632" w:rsidR="00117C0D" w:rsidRPr="003954D9" w:rsidRDefault="00F32099"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w:t>
            </w:r>
          </w:p>
        </w:tc>
      </w:tr>
      <w:tr w:rsidR="00117C0D" w:rsidRPr="003954D9" w14:paraId="161A6661" w14:textId="77777777" w:rsidTr="00117C0D">
        <w:trPr>
          <w:trHeight w:val="227"/>
        </w:trPr>
        <w:tc>
          <w:tcPr>
            <w:tcW w:w="1873" w:type="dxa"/>
          </w:tcPr>
          <w:p w14:paraId="0F57192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51" w:type="dxa"/>
          </w:tcPr>
          <w:p w14:paraId="1B6B908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862</w:t>
            </w:r>
          </w:p>
        </w:tc>
        <w:tc>
          <w:tcPr>
            <w:tcW w:w="708" w:type="dxa"/>
          </w:tcPr>
          <w:p w14:paraId="0893815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959</w:t>
            </w:r>
          </w:p>
        </w:tc>
        <w:tc>
          <w:tcPr>
            <w:tcW w:w="567" w:type="dxa"/>
          </w:tcPr>
          <w:p w14:paraId="1DD52C8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111</w:t>
            </w:r>
          </w:p>
        </w:tc>
      </w:tr>
      <w:tr w:rsidR="00117C0D" w:rsidRPr="003954D9" w14:paraId="034AA25B" w14:textId="77777777" w:rsidTr="00117C0D">
        <w:trPr>
          <w:trHeight w:val="227"/>
        </w:trPr>
        <w:tc>
          <w:tcPr>
            <w:tcW w:w="1873" w:type="dxa"/>
          </w:tcPr>
          <w:p w14:paraId="0DD64C3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851" w:type="dxa"/>
          </w:tcPr>
          <w:p w14:paraId="71369D9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636</w:t>
            </w:r>
          </w:p>
        </w:tc>
        <w:tc>
          <w:tcPr>
            <w:tcW w:w="708" w:type="dxa"/>
          </w:tcPr>
          <w:p w14:paraId="5747975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748</w:t>
            </w:r>
          </w:p>
        </w:tc>
        <w:tc>
          <w:tcPr>
            <w:tcW w:w="567" w:type="dxa"/>
          </w:tcPr>
          <w:p w14:paraId="7086ED4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118</w:t>
            </w:r>
          </w:p>
        </w:tc>
      </w:tr>
      <w:tr w:rsidR="00117C0D" w:rsidRPr="003954D9" w14:paraId="30EC2E21" w14:textId="77777777" w:rsidTr="00117C0D">
        <w:trPr>
          <w:trHeight w:val="227"/>
        </w:trPr>
        <w:tc>
          <w:tcPr>
            <w:tcW w:w="1873" w:type="dxa"/>
          </w:tcPr>
          <w:p w14:paraId="6143287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51" w:type="dxa"/>
          </w:tcPr>
          <w:p w14:paraId="6873576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434</w:t>
            </w:r>
          </w:p>
        </w:tc>
        <w:tc>
          <w:tcPr>
            <w:tcW w:w="708" w:type="dxa"/>
          </w:tcPr>
          <w:p w14:paraId="2BED384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601</w:t>
            </w:r>
          </w:p>
        </w:tc>
        <w:tc>
          <w:tcPr>
            <w:tcW w:w="567" w:type="dxa"/>
          </w:tcPr>
          <w:p w14:paraId="4693D8A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w:t>
            </w:r>
          </w:p>
        </w:tc>
      </w:tr>
      <w:tr w:rsidR="00117C0D" w:rsidRPr="003954D9" w14:paraId="71737BC4" w14:textId="77777777" w:rsidTr="00117C0D">
        <w:trPr>
          <w:trHeight w:val="227"/>
        </w:trPr>
        <w:tc>
          <w:tcPr>
            <w:tcW w:w="1873" w:type="dxa"/>
          </w:tcPr>
          <w:p w14:paraId="6FB2743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51" w:type="dxa"/>
          </w:tcPr>
          <w:p w14:paraId="2C204B3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708" w:type="dxa"/>
          </w:tcPr>
          <w:p w14:paraId="6DF2B83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491</w:t>
            </w:r>
          </w:p>
        </w:tc>
        <w:tc>
          <w:tcPr>
            <w:tcW w:w="567" w:type="dxa"/>
          </w:tcPr>
          <w:p w14:paraId="13925FD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r>
      <w:tr w:rsidR="00117C0D" w:rsidRPr="003954D9" w14:paraId="63E1CAC6" w14:textId="77777777" w:rsidTr="00117C0D">
        <w:trPr>
          <w:trHeight w:val="227"/>
        </w:trPr>
        <w:tc>
          <w:tcPr>
            <w:tcW w:w="1873" w:type="dxa"/>
          </w:tcPr>
          <w:p w14:paraId="7660050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851" w:type="dxa"/>
          </w:tcPr>
          <w:p w14:paraId="5CAE2D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289</w:t>
            </w:r>
          </w:p>
        </w:tc>
        <w:tc>
          <w:tcPr>
            <w:tcW w:w="708" w:type="dxa"/>
          </w:tcPr>
          <w:p w14:paraId="211EB00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567" w:type="dxa"/>
          </w:tcPr>
          <w:p w14:paraId="31534D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129</w:t>
            </w:r>
          </w:p>
        </w:tc>
      </w:tr>
      <w:tr w:rsidR="00117C0D" w:rsidRPr="003954D9" w14:paraId="1181BE8D" w14:textId="77777777" w:rsidTr="00117C0D">
        <w:trPr>
          <w:trHeight w:val="227"/>
        </w:trPr>
        <w:tc>
          <w:tcPr>
            <w:tcW w:w="1873" w:type="dxa"/>
          </w:tcPr>
          <w:p w14:paraId="682CFEE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Pr>
          <w:p w14:paraId="213C7A4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255</w:t>
            </w:r>
          </w:p>
        </w:tc>
        <w:tc>
          <w:tcPr>
            <w:tcW w:w="708" w:type="dxa"/>
          </w:tcPr>
          <w:p w14:paraId="282BC7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342</w:t>
            </w:r>
          </w:p>
        </w:tc>
        <w:tc>
          <w:tcPr>
            <w:tcW w:w="567" w:type="dxa"/>
          </w:tcPr>
          <w:p w14:paraId="329B791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134</w:t>
            </w:r>
          </w:p>
        </w:tc>
      </w:tr>
      <w:tr w:rsidR="00117C0D" w:rsidRPr="003954D9" w14:paraId="242D46C5" w14:textId="77777777" w:rsidTr="00117C0D">
        <w:trPr>
          <w:trHeight w:val="227"/>
        </w:trPr>
        <w:tc>
          <w:tcPr>
            <w:tcW w:w="1873" w:type="dxa"/>
          </w:tcPr>
          <w:p w14:paraId="3977F47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851" w:type="dxa"/>
          </w:tcPr>
          <w:p w14:paraId="49EAAA3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708" w:type="dxa"/>
          </w:tcPr>
          <w:p w14:paraId="4A90B4C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314</w:t>
            </w:r>
          </w:p>
        </w:tc>
        <w:tc>
          <w:tcPr>
            <w:tcW w:w="567" w:type="dxa"/>
          </w:tcPr>
          <w:p w14:paraId="2C751ED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131</w:t>
            </w:r>
          </w:p>
        </w:tc>
      </w:tr>
      <w:tr w:rsidR="00117C0D" w:rsidRPr="003954D9" w14:paraId="4C109382" w14:textId="77777777" w:rsidTr="00117C0D">
        <w:trPr>
          <w:trHeight w:val="227"/>
        </w:trPr>
        <w:tc>
          <w:tcPr>
            <w:tcW w:w="1873" w:type="dxa"/>
          </w:tcPr>
          <w:p w14:paraId="7800C88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51" w:type="dxa"/>
          </w:tcPr>
          <w:p w14:paraId="511A08D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193</w:t>
            </w:r>
          </w:p>
        </w:tc>
        <w:tc>
          <w:tcPr>
            <w:tcW w:w="708" w:type="dxa"/>
          </w:tcPr>
          <w:p w14:paraId="6ED2B8B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232</w:t>
            </w:r>
          </w:p>
        </w:tc>
        <w:tc>
          <w:tcPr>
            <w:tcW w:w="567" w:type="dxa"/>
          </w:tcPr>
          <w:p w14:paraId="2505015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120</w:t>
            </w:r>
          </w:p>
        </w:tc>
      </w:tr>
      <w:tr w:rsidR="00117C0D" w:rsidRPr="003954D9" w14:paraId="7A31227A" w14:textId="77777777" w:rsidTr="00117C0D">
        <w:trPr>
          <w:trHeight w:val="227"/>
        </w:trPr>
        <w:tc>
          <w:tcPr>
            <w:tcW w:w="1873" w:type="dxa"/>
          </w:tcPr>
          <w:p w14:paraId="32F7D19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51" w:type="dxa"/>
          </w:tcPr>
          <w:p w14:paraId="682FA4B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708" w:type="dxa"/>
          </w:tcPr>
          <w:p w14:paraId="06CF79D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113</w:t>
            </w:r>
          </w:p>
        </w:tc>
        <w:tc>
          <w:tcPr>
            <w:tcW w:w="567" w:type="dxa"/>
          </w:tcPr>
          <w:p w14:paraId="60821A2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90</w:t>
            </w:r>
          </w:p>
        </w:tc>
      </w:tr>
      <w:tr w:rsidR="00117C0D" w:rsidRPr="003954D9" w14:paraId="49F0CD9F" w14:textId="77777777" w:rsidTr="00117C0D">
        <w:trPr>
          <w:trHeight w:val="227"/>
        </w:trPr>
        <w:tc>
          <w:tcPr>
            <w:tcW w:w="1873" w:type="dxa"/>
          </w:tcPr>
          <w:p w14:paraId="4A048EE4"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51" w:type="dxa"/>
          </w:tcPr>
          <w:p w14:paraId="2BEAA25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708" w:type="dxa"/>
          </w:tcPr>
          <w:p w14:paraId="6361969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47</w:t>
            </w:r>
          </w:p>
        </w:tc>
        <w:tc>
          <w:tcPr>
            <w:tcW w:w="567" w:type="dxa"/>
          </w:tcPr>
          <w:p w14:paraId="31DB6CF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181</w:t>
            </w:r>
          </w:p>
        </w:tc>
      </w:tr>
    </w:tbl>
    <w:p w14:paraId="360D30F1" w14:textId="77777777" w:rsidR="00117C0D" w:rsidRPr="003954D9" w:rsidRDefault="00117C0D" w:rsidP="00117C0D">
      <w:pPr>
        <w:rPr>
          <w:b/>
          <w:sz w:val="23"/>
        </w:rPr>
      </w:pPr>
    </w:p>
    <w:p w14:paraId="331B61C5" w14:textId="77777777" w:rsidR="00117C0D" w:rsidRPr="003954D9" w:rsidRDefault="00117C0D" w:rsidP="00117C0D">
      <w:pPr>
        <w:keepNext/>
        <w:keepLines/>
        <w:outlineLvl w:val="4"/>
        <w:rPr>
          <w:rFonts w:asciiTheme="majorHAnsi" w:eastAsiaTheme="majorEastAsia" w:hAnsiTheme="majorHAnsi" w:cstheme="majorBidi"/>
          <w:color w:val="243F60" w:themeColor="accent1" w:themeShade="7F"/>
          <w:sz w:val="23"/>
        </w:rPr>
      </w:pPr>
      <w:r w:rsidRPr="003954D9">
        <w:rPr>
          <w:rFonts w:asciiTheme="majorHAnsi" w:eastAsiaTheme="majorEastAsia" w:hAnsiTheme="majorHAnsi" w:cstheme="majorBidi"/>
          <w:color w:val="243F60" w:themeColor="accent1" w:themeShade="7F"/>
          <w:sz w:val="23"/>
        </w:rPr>
        <w:t xml:space="preserve">Tabell 1:2 Hushåll som ligger i riskzonen vid 25 och 50 procents hyreshöjning </w:t>
      </w:r>
    </w:p>
    <w:tbl>
      <w:tblPr>
        <w:tblW w:w="0" w:type="auto"/>
        <w:tblInd w:w="70" w:type="dxa"/>
        <w:tblLayout w:type="fixed"/>
        <w:tblCellMar>
          <w:left w:w="70" w:type="dxa"/>
          <w:right w:w="70" w:type="dxa"/>
        </w:tblCellMar>
        <w:tblLook w:val="0000" w:firstRow="0" w:lastRow="0" w:firstColumn="0" w:lastColumn="0" w:noHBand="0" w:noVBand="0"/>
      </w:tblPr>
      <w:tblGrid>
        <w:gridCol w:w="2014"/>
        <w:gridCol w:w="1046"/>
        <w:gridCol w:w="1080"/>
        <w:gridCol w:w="1452"/>
      </w:tblGrid>
      <w:tr w:rsidR="00117C0D" w:rsidRPr="003954D9" w14:paraId="41AD6278" w14:textId="77777777" w:rsidTr="00F32099">
        <w:trPr>
          <w:trHeight w:val="227"/>
        </w:trPr>
        <w:tc>
          <w:tcPr>
            <w:tcW w:w="2014" w:type="dxa"/>
            <w:vMerge w:val="restart"/>
            <w:tcBorders>
              <w:top w:val="single" w:sz="6" w:space="0" w:color="auto"/>
              <w:left w:val="single" w:sz="6" w:space="0" w:color="auto"/>
              <w:right w:val="single" w:sz="6" w:space="0" w:color="auto"/>
            </w:tcBorders>
          </w:tcPr>
          <w:p w14:paraId="3C82A2B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1046" w:type="dxa"/>
            <w:tcBorders>
              <w:top w:val="single" w:sz="6" w:space="0" w:color="auto"/>
              <w:left w:val="single" w:sz="6" w:space="0" w:color="auto"/>
              <w:bottom w:val="single" w:sz="6" w:space="0" w:color="auto"/>
              <w:right w:val="single" w:sz="6" w:space="0" w:color="auto"/>
            </w:tcBorders>
          </w:tcPr>
          <w:p w14:paraId="7AA88896" w14:textId="5F277AAF"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Höjning </w:t>
            </w:r>
            <w:r w:rsidR="003954D9" w:rsidRPr="003954D9">
              <w:rPr>
                <w:rFonts w:ascii="Calibri" w:hAnsi="Calibri" w:cs="Calibri"/>
                <w:b/>
                <w:bCs/>
                <w:color w:val="000000"/>
                <w:sz w:val="16"/>
                <w:szCs w:val="16"/>
              </w:rPr>
              <w:t>25 %</w:t>
            </w:r>
          </w:p>
        </w:tc>
        <w:tc>
          <w:tcPr>
            <w:tcW w:w="1080" w:type="dxa"/>
            <w:tcBorders>
              <w:top w:val="single" w:sz="6" w:space="0" w:color="auto"/>
              <w:left w:val="single" w:sz="6" w:space="0" w:color="auto"/>
              <w:bottom w:val="single" w:sz="6" w:space="0" w:color="auto"/>
              <w:right w:val="single" w:sz="6" w:space="0" w:color="auto"/>
            </w:tcBorders>
          </w:tcPr>
          <w:p w14:paraId="2E8CE159" w14:textId="38F8BDDC"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Höjning </w:t>
            </w:r>
            <w:r w:rsidR="003954D9" w:rsidRPr="003954D9">
              <w:rPr>
                <w:rFonts w:ascii="Calibri" w:hAnsi="Calibri" w:cs="Calibri"/>
                <w:b/>
                <w:bCs/>
                <w:color w:val="000000"/>
                <w:sz w:val="16"/>
                <w:szCs w:val="16"/>
              </w:rPr>
              <w:t>50 %</w:t>
            </w:r>
          </w:p>
        </w:tc>
        <w:tc>
          <w:tcPr>
            <w:tcW w:w="1452" w:type="dxa"/>
            <w:tcBorders>
              <w:top w:val="single" w:sz="6" w:space="0" w:color="auto"/>
              <w:left w:val="single" w:sz="6" w:space="0" w:color="auto"/>
              <w:bottom w:val="single" w:sz="6" w:space="0" w:color="auto"/>
              <w:right w:val="single" w:sz="6" w:space="0" w:color="auto"/>
            </w:tcBorders>
          </w:tcPr>
          <w:p w14:paraId="6DADDABC" w14:textId="6A5D6CAF" w:rsidR="00117C0D"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Höjning </w:t>
            </w:r>
            <w:r w:rsidR="003954D9" w:rsidRPr="003954D9">
              <w:rPr>
                <w:rFonts w:ascii="Calibri" w:hAnsi="Calibri" w:cs="Calibri"/>
                <w:b/>
                <w:bCs/>
                <w:color w:val="000000"/>
                <w:sz w:val="16"/>
                <w:szCs w:val="16"/>
              </w:rPr>
              <w:t>25 % t</w:t>
            </w:r>
            <w:r w:rsidR="00117C0D" w:rsidRPr="003954D9">
              <w:rPr>
                <w:rFonts w:ascii="Calibri" w:hAnsi="Calibri" w:cs="Calibri"/>
                <w:b/>
                <w:bCs/>
                <w:color w:val="000000"/>
                <w:sz w:val="16"/>
                <w:szCs w:val="16"/>
              </w:rPr>
              <w:t>/</w:t>
            </w:r>
            <w:r w:rsidRPr="003954D9">
              <w:rPr>
                <w:rFonts w:ascii="Calibri" w:hAnsi="Calibri" w:cs="Calibri"/>
                <w:b/>
                <w:bCs/>
                <w:color w:val="000000"/>
                <w:sz w:val="16"/>
                <w:szCs w:val="16"/>
              </w:rPr>
              <w:t xml:space="preserve">Höjning </w:t>
            </w:r>
            <w:r w:rsidR="003954D9" w:rsidRPr="003954D9">
              <w:rPr>
                <w:rFonts w:ascii="Calibri" w:hAnsi="Calibri" w:cs="Calibri"/>
                <w:b/>
                <w:bCs/>
                <w:color w:val="000000"/>
                <w:sz w:val="16"/>
                <w:szCs w:val="16"/>
              </w:rPr>
              <w:t>50 %</w:t>
            </w:r>
          </w:p>
        </w:tc>
      </w:tr>
      <w:tr w:rsidR="00117C0D" w:rsidRPr="003954D9" w14:paraId="346E4B8C" w14:textId="77777777" w:rsidTr="00F32099">
        <w:trPr>
          <w:trHeight w:val="227"/>
        </w:trPr>
        <w:tc>
          <w:tcPr>
            <w:tcW w:w="2014" w:type="dxa"/>
            <w:vMerge/>
            <w:tcBorders>
              <w:left w:val="single" w:sz="6" w:space="0" w:color="auto"/>
              <w:bottom w:val="single" w:sz="6" w:space="0" w:color="auto"/>
              <w:right w:val="single" w:sz="6" w:space="0" w:color="auto"/>
            </w:tcBorders>
          </w:tcPr>
          <w:p w14:paraId="33A77F52" w14:textId="77777777" w:rsidR="00117C0D" w:rsidRPr="003954D9" w:rsidRDefault="00117C0D" w:rsidP="00117C0D">
            <w:pPr>
              <w:autoSpaceDE w:val="0"/>
              <w:autoSpaceDN w:val="0"/>
              <w:adjustRightInd w:val="0"/>
              <w:jc w:val="right"/>
              <w:rPr>
                <w:rFonts w:ascii="Calibri" w:hAnsi="Calibri" w:cs="Calibri"/>
                <w:color w:val="000000"/>
                <w:sz w:val="22"/>
                <w:szCs w:val="22"/>
              </w:rPr>
            </w:pPr>
          </w:p>
        </w:tc>
        <w:tc>
          <w:tcPr>
            <w:tcW w:w="1046" w:type="dxa"/>
            <w:tcBorders>
              <w:top w:val="single" w:sz="6" w:space="0" w:color="auto"/>
              <w:left w:val="single" w:sz="6" w:space="0" w:color="auto"/>
              <w:bottom w:val="single" w:sz="6" w:space="0" w:color="auto"/>
              <w:right w:val="single" w:sz="6" w:space="0" w:color="auto"/>
            </w:tcBorders>
          </w:tcPr>
          <w:p w14:paraId="3BCC2B94"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1080" w:type="dxa"/>
            <w:tcBorders>
              <w:top w:val="single" w:sz="6" w:space="0" w:color="auto"/>
              <w:left w:val="single" w:sz="6" w:space="0" w:color="auto"/>
              <w:bottom w:val="single" w:sz="6" w:space="0" w:color="auto"/>
              <w:right w:val="single" w:sz="6" w:space="0" w:color="auto"/>
            </w:tcBorders>
          </w:tcPr>
          <w:p w14:paraId="22B0AED9"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1452" w:type="dxa"/>
            <w:tcBorders>
              <w:top w:val="single" w:sz="6" w:space="0" w:color="auto"/>
              <w:left w:val="single" w:sz="6" w:space="0" w:color="auto"/>
              <w:bottom w:val="single" w:sz="6" w:space="0" w:color="auto"/>
              <w:right w:val="single" w:sz="6" w:space="0" w:color="auto"/>
            </w:tcBorders>
          </w:tcPr>
          <w:p w14:paraId="6F308BC1" w14:textId="59A8DA85" w:rsidR="00117C0D" w:rsidRPr="003954D9" w:rsidRDefault="00F32099"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w:t>
            </w:r>
          </w:p>
        </w:tc>
      </w:tr>
      <w:tr w:rsidR="00117C0D" w:rsidRPr="003954D9" w14:paraId="1DB4D209" w14:textId="77777777" w:rsidTr="00F32099">
        <w:trPr>
          <w:trHeight w:val="227"/>
        </w:trPr>
        <w:tc>
          <w:tcPr>
            <w:tcW w:w="2014" w:type="dxa"/>
            <w:tcBorders>
              <w:top w:val="single" w:sz="6" w:space="0" w:color="auto"/>
              <w:left w:val="single" w:sz="6" w:space="0" w:color="auto"/>
              <w:bottom w:val="single" w:sz="6" w:space="0" w:color="auto"/>
              <w:right w:val="single" w:sz="6" w:space="0" w:color="auto"/>
            </w:tcBorders>
          </w:tcPr>
          <w:p w14:paraId="06550B0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1046" w:type="dxa"/>
            <w:tcBorders>
              <w:top w:val="single" w:sz="6" w:space="0" w:color="auto"/>
              <w:left w:val="single" w:sz="6" w:space="0" w:color="auto"/>
              <w:bottom w:val="single" w:sz="6" w:space="0" w:color="auto"/>
              <w:right w:val="single" w:sz="6" w:space="0" w:color="auto"/>
            </w:tcBorders>
          </w:tcPr>
          <w:p w14:paraId="07941AB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1385</w:t>
            </w:r>
          </w:p>
        </w:tc>
        <w:tc>
          <w:tcPr>
            <w:tcW w:w="1080" w:type="dxa"/>
            <w:tcBorders>
              <w:top w:val="single" w:sz="6" w:space="0" w:color="auto"/>
              <w:left w:val="single" w:sz="6" w:space="0" w:color="auto"/>
              <w:bottom w:val="single" w:sz="6" w:space="0" w:color="auto"/>
              <w:right w:val="single" w:sz="6" w:space="0" w:color="auto"/>
            </w:tcBorders>
          </w:tcPr>
          <w:p w14:paraId="57D1301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1 821</w:t>
            </w:r>
          </w:p>
        </w:tc>
        <w:tc>
          <w:tcPr>
            <w:tcW w:w="1452" w:type="dxa"/>
            <w:tcBorders>
              <w:top w:val="single" w:sz="6" w:space="0" w:color="auto"/>
              <w:left w:val="single" w:sz="6" w:space="0" w:color="auto"/>
              <w:bottom w:val="single" w:sz="6" w:space="0" w:color="auto"/>
              <w:right w:val="single" w:sz="6" w:space="0" w:color="auto"/>
            </w:tcBorders>
          </w:tcPr>
          <w:p w14:paraId="0F2F1E9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76</w:t>
            </w:r>
          </w:p>
        </w:tc>
      </w:tr>
      <w:tr w:rsidR="00117C0D" w:rsidRPr="003954D9" w14:paraId="03B393EF" w14:textId="77777777" w:rsidTr="00F32099">
        <w:trPr>
          <w:trHeight w:val="227"/>
        </w:trPr>
        <w:tc>
          <w:tcPr>
            <w:tcW w:w="2014" w:type="dxa"/>
            <w:tcBorders>
              <w:top w:val="single" w:sz="6" w:space="0" w:color="auto"/>
              <w:left w:val="single" w:sz="6" w:space="0" w:color="auto"/>
              <w:bottom w:val="single" w:sz="6" w:space="0" w:color="auto"/>
              <w:right w:val="single" w:sz="6" w:space="0" w:color="auto"/>
            </w:tcBorders>
          </w:tcPr>
          <w:p w14:paraId="3CEA549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1046" w:type="dxa"/>
            <w:tcBorders>
              <w:top w:val="single" w:sz="6" w:space="0" w:color="auto"/>
              <w:left w:val="single" w:sz="6" w:space="0" w:color="auto"/>
              <w:bottom w:val="single" w:sz="6" w:space="0" w:color="auto"/>
              <w:right w:val="single" w:sz="6" w:space="0" w:color="auto"/>
            </w:tcBorders>
          </w:tcPr>
          <w:p w14:paraId="04BB52D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178</w:t>
            </w:r>
          </w:p>
        </w:tc>
        <w:tc>
          <w:tcPr>
            <w:tcW w:w="1080" w:type="dxa"/>
            <w:tcBorders>
              <w:top w:val="single" w:sz="6" w:space="0" w:color="auto"/>
              <w:left w:val="single" w:sz="6" w:space="0" w:color="auto"/>
              <w:bottom w:val="single" w:sz="6" w:space="0" w:color="auto"/>
              <w:right w:val="single" w:sz="6" w:space="0" w:color="auto"/>
            </w:tcBorders>
          </w:tcPr>
          <w:p w14:paraId="2164AD0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238</w:t>
            </w:r>
          </w:p>
        </w:tc>
        <w:tc>
          <w:tcPr>
            <w:tcW w:w="1452" w:type="dxa"/>
            <w:tcBorders>
              <w:top w:val="single" w:sz="6" w:space="0" w:color="auto"/>
              <w:left w:val="single" w:sz="6" w:space="0" w:color="auto"/>
              <w:bottom w:val="single" w:sz="6" w:space="0" w:color="auto"/>
              <w:right w:val="single" w:sz="6" w:space="0" w:color="auto"/>
            </w:tcBorders>
          </w:tcPr>
          <w:p w14:paraId="2E4E0F7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75</w:t>
            </w:r>
          </w:p>
        </w:tc>
      </w:tr>
      <w:tr w:rsidR="00117C0D" w:rsidRPr="003954D9" w14:paraId="509AEE26" w14:textId="77777777" w:rsidTr="00F32099">
        <w:trPr>
          <w:trHeight w:val="227"/>
        </w:trPr>
        <w:tc>
          <w:tcPr>
            <w:tcW w:w="2014" w:type="dxa"/>
            <w:tcBorders>
              <w:top w:val="single" w:sz="6" w:space="0" w:color="auto"/>
              <w:left w:val="single" w:sz="6" w:space="0" w:color="auto"/>
              <w:bottom w:val="single" w:sz="6" w:space="0" w:color="auto"/>
              <w:right w:val="single" w:sz="6" w:space="0" w:color="auto"/>
            </w:tcBorders>
          </w:tcPr>
          <w:p w14:paraId="1B3EF38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1046" w:type="dxa"/>
            <w:tcBorders>
              <w:top w:val="single" w:sz="6" w:space="0" w:color="auto"/>
              <w:left w:val="single" w:sz="6" w:space="0" w:color="auto"/>
              <w:bottom w:val="single" w:sz="6" w:space="0" w:color="auto"/>
              <w:right w:val="single" w:sz="6" w:space="0" w:color="auto"/>
            </w:tcBorders>
          </w:tcPr>
          <w:p w14:paraId="5911EC6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1028</w:t>
            </w:r>
          </w:p>
        </w:tc>
        <w:tc>
          <w:tcPr>
            <w:tcW w:w="1080" w:type="dxa"/>
            <w:tcBorders>
              <w:top w:val="single" w:sz="6" w:space="0" w:color="auto"/>
              <w:left w:val="single" w:sz="6" w:space="0" w:color="auto"/>
              <w:bottom w:val="single" w:sz="6" w:space="0" w:color="auto"/>
              <w:right w:val="single" w:sz="6" w:space="0" w:color="auto"/>
            </w:tcBorders>
          </w:tcPr>
          <w:p w14:paraId="1FA7A54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1 384</w:t>
            </w:r>
          </w:p>
        </w:tc>
        <w:tc>
          <w:tcPr>
            <w:tcW w:w="1452" w:type="dxa"/>
            <w:tcBorders>
              <w:top w:val="single" w:sz="6" w:space="0" w:color="auto"/>
              <w:left w:val="single" w:sz="6" w:space="0" w:color="auto"/>
              <w:bottom w:val="single" w:sz="6" w:space="0" w:color="auto"/>
              <w:right w:val="single" w:sz="6" w:space="0" w:color="auto"/>
            </w:tcBorders>
          </w:tcPr>
          <w:p w14:paraId="7D7D726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74</w:t>
            </w:r>
          </w:p>
        </w:tc>
      </w:tr>
      <w:tr w:rsidR="00117C0D" w:rsidRPr="003954D9" w14:paraId="01B184D0" w14:textId="77777777" w:rsidTr="00F32099">
        <w:trPr>
          <w:trHeight w:val="227"/>
        </w:trPr>
        <w:tc>
          <w:tcPr>
            <w:tcW w:w="2014" w:type="dxa"/>
            <w:tcBorders>
              <w:top w:val="single" w:sz="6" w:space="0" w:color="auto"/>
              <w:left w:val="single" w:sz="6" w:space="0" w:color="auto"/>
              <w:bottom w:val="single" w:sz="6" w:space="0" w:color="auto"/>
              <w:right w:val="single" w:sz="6" w:space="0" w:color="auto"/>
            </w:tcBorders>
          </w:tcPr>
          <w:p w14:paraId="62AF171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1046" w:type="dxa"/>
            <w:tcBorders>
              <w:top w:val="single" w:sz="6" w:space="0" w:color="auto"/>
              <w:left w:val="single" w:sz="6" w:space="0" w:color="auto"/>
              <w:bottom w:val="single" w:sz="6" w:space="0" w:color="auto"/>
              <w:right w:val="single" w:sz="6" w:space="0" w:color="auto"/>
            </w:tcBorders>
          </w:tcPr>
          <w:p w14:paraId="721503A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480</w:t>
            </w:r>
          </w:p>
        </w:tc>
        <w:tc>
          <w:tcPr>
            <w:tcW w:w="1080" w:type="dxa"/>
            <w:tcBorders>
              <w:top w:val="single" w:sz="6" w:space="0" w:color="auto"/>
              <w:left w:val="single" w:sz="6" w:space="0" w:color="auto"/>
              <w:bottom w:val="single" w:sz="6" w:space="0" w:color="auto"/>
              <w:right w:val="single" w:sz="6" w:space="0" w:color="auto"/>
            </w:tcBorders>
          </w:tcPr>
          <w:p w14:paraId="2B38F52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662</w:t>
            </w:r>
          </w:p>
        </w:tc>
        <w:tc>
          <w:tcPr>
            <w:tcW w:w="1452" w:type="dxa"/>
            <w:tcBorders>
              <w:top w:val="single" w:sz="6" w:space="0" w:color="auto"/>
              <w:left w:val="single" w:sz="6" w:space="0" w:color="auto"/>
              <w:bottom w:val="single" w:sz="6" w:space="0" w:color="auto"/>
              <w:right w:val="single" w:sz="6" w:space="0" w:color="auto"/>
            </w:tcBorders>
          </w:tcPr>
          <w:p w14:paraId="4321C5E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w:t>
            </w:r>
          </w:p>
        </w:tc>
      </w:tr>
      <w:tr w:rsidR="00117C0D" w:rsidRPr="003954D9" w14:paraId="1A7746CD" w14:textId="77777777" w:rsidTr="00F32099">
        <w:trPr>
          <w:trHeight w:val="227"/>
        </w:trPr>
        <w:tc>
          <w:tcPr>
            <w:tcW w:w="2014" w:type="dxa"/>
            <w:tcBorders>
              <w:top w:val="single" w:sz="6" w:space="0" w:color="auto"/>
              <w:left w:val="single" w:sz="6" w:space="0" w:color="auto"/>
              <w:bottom w:val="single" w:sz="6" w:space="0" w:color="auto"/>
              <w:right w:val="single" w:sz="6" w:space="0" w:color="auto"/>
            </w:tcBorders>
          </w:tcPr>
          <w:p w14:paraId="1240CFE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1046" w:type="dxa"/>
            <w:tcBorders>
              <w:top w:val="single" w:sz="6" w:space="0" w:color="auto"/>
              <w:left w:val="single" w:sz="6" w:space="0" w:color="auto"/>
              <w:bottom w:val="single" w:sz="6" w:space="0" w:color="auto"/>
              <w:right w:val="single" w:sz="6" w:space="0" w:color="auto"/>
            </w:tcBorders>
          </w:tcPr>
          <w:p w14:paraId="5B743DB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306</w:t>
            </w:r>
          </w:p>
        </w:tc>
        <w:tc>
          <w:tcPr>
            <w:tcW w:w="1080" w:type="dxa"/>
            <w:tcBorders>
              <w:top w:val="single" w:sz="6" w:space="0" w:color="auto"/>
              <w:left w:val="single" w:sz="6" w:space="0" w:color="auto"/>
              <w:bottom w:val="single" w:sz="6" w:space="0" w:color="auto"/>
              <w:right w:val="single" w:sz="6" w:space="0" w:color="auto"/>
            </w:tcBorders>
          </w:tcPr>
          <w:p w14:paraId="1571595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425</w:t>
            </w:r>
          </w:p>
        </w:tc>
        <w:tc>
          <w:tcPr>
            <w:tcW w:w="1452" w:type="dxa"/>
            <w:tcBorders>
              <w:top w:val="single" w:sz="6" w:space="0" w:color="auto"/>
              <w:left w:val="single" w:sz="6" w:space="0" w:color="auto"/>
              <w:bottom w:val="single" w:sz="6" w:space="0" w:color="auto"/>
              <w:right w:val="single" w:sz="6" w:space="0" w:color="auto"/>
            </w:tcBorders>
          </w:tcPr>
          <w:p w14:paraId="387C7A9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w:t>
            </w:r>
          </w:p>
        </w:tc>
      </w:tr>
      <w:tr w:rsidR="00117C0D" w:rsidRPr="003954D9" w14:paraId="264DD7B7" w14:textId="77777777" w:rsidTr="00F32099">
        <w:trPr>
          <w:trHeight w:val="227"/>
        </w:trPr>
        <w:tc>
          <w:tcPr>
            <w:tcW w:w="2014" w:type="dxa"/>
            <w:tcBorders>
              <w:top w:val="single" w:sz="6" w:space="0" w:color="auto"/>
              <w:left w:val="single" w:sz="6" w:space="0" w:color="auto"/>
              <w:bottom w:val="single" w:sz="6" w:space="0" w:color="auto"/>
              <w:right w:val="single" w:sz="6" w:space="0" w:color="auto"/>
            </w:tcBorders>
          </w:tcPr>
          <w:p w14:paraId="6CE3E17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1046" w:type="dxa"/>
            <w:tcBorders>
              <w:top w:val="single" w:sz="6" w:space="0" w:color="auto"/>
              <w:left w:val="single" w:sz="6" w:space="0" w:color="auto"/>
              <w:bottom w:val="single" w:sz="6" w:space="0" w:color="auto"/>
              <w:right w:val="single" w:sz="6" w:space="0" w:color="auto"/>
            </w:tcBorders>
          </w:tcPr>
          <w:p w14:paraId="7D4C840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579</w:t>
            </w:r>
          </w:p>
        </w:tc>
        <w:tc>
          <w:tcPr>
            <w:tcW w:w="1080" w:type="dxa"/>
            <w:tcBorders>
              <w:top w:val="single" w:sz="6" w:space="0" w:color="auto"/>
              <w:left w:val="single" w:sz="6" w:space="0" w:color="auto"/>
              <w:bottom w:val="single" w:sz="6" w:space="0" w:color="auto"/>
              <w:right w:val="single" w:sz="6" w:space="0" w:color="auto"/>
            </w:tcBorders>
          </w:tcPr>
          <w:p w14:paraId="7B7170E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813</w:t>
            </w:r>
          </w:p>
        </w:tc>
        <w:tc>
          <w:tcPr>
            <w:tcW w:w="1452" w:type="dxa"/>
            <w:tcBorders>
              <w:top w:val="single" w:sz="6" w:space="0" w:color="auto"/>
              <w:left w:val="single" w:sz="6" w:space="0" w:color="auto"/>
              <w:bottom w:val="single" w:sz="6" w:space="0" w:color="auto"/>
              <w:right w:val="single" w:sz="6" w:space="0" w:color="auto"/>
            </w:tcBorders>
          </w:tcPr>
          <w:p w14:paraId="4A04697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71</w:t>
            </w:r>
          </w:p>
        </w:tc>
      </w:tr>
      <w:tr w:rsidR="00117C0D" w:rsidRPr="003954D9" w14:paraId="6CEF44C6" w14:textId="77777777" w:rsidTr="00F32099">
        <w:trPr>
          <w:trHeight w:val="227"/>
        </w:trPr>
        <w:tc>
          <w:tcPr>
            <w:tcW w:w="2014" w:type="dxa"/>
            <w:tcBorders>
              <w:top w:val="single" w:sz="6" w:space="0" w:color="auto"/>
              <w:left w:val="single" w:sz="6" w:space="0" w:color="auto"/>
              <w:bottom w:val="single" w:sz="6" w:space="0" w:color="auto"/>
              <w:right w:val="single" w:sz="6" w:space="0" w:color="auto"/>
            </w:tcBorders>
          </w:tcPr>
          <w:p w14:paraId="13593BC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1046" w:type="dxa"/>
            <w:tcBorders>
              <w:top w:val="single" w:sz="6" w:space="0" w:color="auto"/>
              <w:left w:val="single" w:sz="6" w:space="0" w:color="auto"/>
              <w:bottom w:val="single" w:sz="6" w:space="0" w:color="auto"/>
              <w:right w:val="single" w:sz="6" w:space="0" w:color="auto"/>
            </w:tcBorders>
          </w:tcPr>
          <w:p w14:paraId="6157394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727</w:t>
            </w:r>
          </w:p>
        </w:tc>
        <w:tc>
          <w:tcPr>
            <w:tcW w:w="1080" w:type="dxa"/>
            <w:tcBorders>
              <w:top w:val="single" w:sz="6" w:space="0" w:color="auto"/>
              <w:left w:val="single" w:sz="6" w:space="0" w:color="auto"/>
              <w:bottom w:val="single" w:sz="6" w:space="0" w:color="auto"/>
              <w:right w:val="single" w:sz="6" w:space="0" w:color="auto"/>
            </w:tcBorders>
          </w:tcPr>
          <w:p w14:paraId="6A3C450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1 035</w:t>
            </w:r>
          </w:p>
        </w:tc>
        <w:tc>
          <w:tcPr>
            <w:tcW w:w="1452" w:type="dxa"/>
            <w:tcBorders>
              <w:top w:val="single" w:sz="6" w:space="0" w:color="auto"/>
              <w:left w:val="single" w:sz="6" w:space="0" w:color="auto"/>
              <w:bottom w:val="single" w:sz="6" w:space="0" w:color="auto"/>
              <w:right w:val="single" w:sz="6" w:space="0" w:color="auto"/>
            </w:tcBorders>
          </w:tcPr>
          <w:p w14:paraId="25313C9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r>
      <w:tr w:rsidR="00117C0D" w:rsidRPr="003954D9" w14:paraId="76B6AFBC" w14:textId="77777777" w:rsidTr="00F32099">
        <w:trPr>
          <w:trHeight w:val="227"/>
        </w:trPr>
        <w:tc>
          <w:tcPr>
            <w:tcW w:w="2014" w:type="dxa"/>
            <w:tcBorders>
              <w:top w:val="single" w:sz="6" w:space="0" w:color="auto"/>
              <w:left w:val="single" w:sz="6" w:space="0" w:color="auto"/>
              <w:bottom w:val="single" w:sz="6" w:space="0" w:color="auto"/>
              <w:right w:val="single" w:sz="6" w:space="0" w:color="auto"/>
            </w:tcBorders>
          </w:tcPr>
          <w:p w14:paraId="322E55C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1046" w:type="dxa"/>
            <w:tcBorders>
              <w:top w:val="single" w:sz="6" w:space="0" w:color="auto"/>
              <w:left w:val="single" w:sz="6" w:space="0" w:color="auto"/>
              <w:bottom w:val="single" w:sz="6" w:space="0" w:color="auto"/>
              <w:right w:val="single" w:sz="6" w:space="0" w:color="auto"/>
            </w:tcBorders>
          </w:tcPr>
          <w:p w14:paraId="369E1BF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401</w:t>
            </w:r>
          </w:p>
        </w:tc>
        <w:tc>
          <w:tcPr>
            <w:tcW w:w="1080" w:type="dxa"/>
            <w:tcBorders>
              <w:top w:val="single" w:sz="6" w:space="0" w:color="auto"/>
              <w:left w:val="single" w:sz="6" w:space="0" w:color="auto"/>
              <w:bottom w:val="single" w:sz="6" w:space="0" w:color="auto"/>
              <w:right w:val="single" w:sz="6" w:space="0" w:color="auto"/>
            </w:tcBorders>
          </w:tcPr>
          <w:p w14:paraId="6AA2EC8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597</w:t>
            </w:r>
          </w:p>
        </w:tc>
        <w:tc>
          <w:tcPr>
            <w:tcW w:w="1452" w:type="dxa"/>
            <w:tcBorders>
              <w:top w:val="single" w:sz="6" w:space="0" w:color="auto"/>
              <w:left w:val="single" w:sz="6" w:space="0" w:color="auto"/>
              <w:bottom w:val="single" w:sz="6" w:space="0" w:color="auto"/>
              <w:right w:val="single" w:sz="6" w:space="0" w:color="auto"/>
            </w:tcBorders>
          </w:tcPr>
          <w:p w14:paraId="0758DA2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67</w:t>
            </w:r>
          </w:p>
        </w:tc>
      </w:tr>
      <w:tr w:rsidR="00117C0D" w:rsidRPr="003954D9" w14:paraId="4BFA71AC" w14:textId="77777777" w:rsidTr="00F32099">
        <w:trPr>
          <w:trHeight w:val="227"/>
        </w:trPr>
        <w:tc>
          <w:tcPr>
            <w:tcW w:w="2014" w:type="dxa"/>
            <w:tcBorders>
              <w:top w:val="single" w:sz="6" w:space="0" w:color="auto"/>
              <w:left w:val="single" w:sz="6" w:space="0" w:color="auto"/>
              <w:bottom w:val="single" w:sz="6" w:space="0" w:color="auto"/>
              <w:right w:val="single" w:sz="6" w:space="0" w:color="auto"/>
            </w:tcBorders>
          </w:tcPr>
          <w:p w14:paraId="5980B2C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1046" w:type="dxa"/>
            <w:tcBorders>
              <w:top w:val="single" w:sz="6" w:space="0" w:color="auto"/>
              <w:left w:val="single" w:sz="6" w:space="0" w:color="auto"/>
              <w:bottom w:val="single" w:sz="6" w:space="0" w:color="auto"/>
              <w:right w:val="single" w:sz="6" w:space="0" w:color="auto"/>
            </w:tcBorders>
          </w:tcPr>
          <w:p w14:paraId="3956B93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w:t>
            </w:r>
          </w:p>
        </w:tc>
        <w:tc>
          <w:tcPr>
            <w:tcW w:w="1080" w:type="dxa"/>
            <w:tcBorders>
              <w:top w:val="single" w:sz="6" w:space="0" w:color="auto"/>
              <w:left w:val="single" w:sz="6" w:space="0" w:color="auto"/>
              <w:bottom w:val="single" w:sz="6" w:space="0" w:color="auto"/>
              <w:right w:val="single" w:sz="6" w:space="0" w:color="auto"/>
            </w:tcBorders>
          </w:tcPr>
          <w:p w14:paraId="4F0CF6D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73</w:t>
            </w:r>
          </w:p>
        </w:tc>
        <w:tc>
          <w:tcPr>
            <w:tcW w:w="1452" w:type="dxa"/>
            <w:tcBorders>
              <w:top w:val="single" w:sz="6" w:space="0" w:color="auto"/>
              <w:left w:val="single" w:sz="6" w:space="0" w:color="auto"/>
              <w:bottom w:val="single" w:sz="6" w:space="0" w:color="auto"/>
              <w:right w:val="single" w:sz="6" w:space="0" w:color="auto"/>
            </w:tcBorders>
          </w:tcPr>
          <w:p w14:paraId="3F66208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67</w:t>
            </w:r>
          </w:p>
        </w:tc>
      </w:tr>
      <w:tr w:rsidR="00117C0D" w:rsidRPr="003954D9" w14:paraId="7696F327" w14:textId="77777777" w:rsidTr="00F32099">
        <w:trPr>
          <w:trHeight w:val="227"/>
        </w:trPr>
        <w:tc>
          <w:tcPr>
            <w:tcW w:w="2014" w:type="dxa"/>
            <w:tcBorders>
              <w:top w:val="single" w:sz="6" w:space="0" w:color="auto"/>
              <w:left w:val="single" w:sz="6" w:space="0" w:color="auto"/>
              <w:bottom w:val="single" w:sz="6" w:space="0" w:color="auto"/>
              <w:right w:val="single" w:sz="6" w:space="0" w:color="auto"/>
            </w:tcBorders>
          </w:tcPr>
          <w:p w14:paraId="61E7A7C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1046" w:type="dxa"/>
            <w:tcBorders>
              <w:top w:val="single" w:sz="6" w:space="0" w:color="auto"/>
              <w:left w:val="single" w:sz="6" w:space="0" w:color="auto"/>
              <w:bottom w:val="single" w:sz="6" w:space="0" w:color="auto"/>
              <w:right w:val="single" w:sz="6" w:space="0" w:color="auto"/>
            </w:tcBorders>
          </w:tcPr>
          <w:p w14:paraId="0F1C646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1080" w:type="dxa"/>
            <w:tcBorders>
              <w:top w:val="single" w:sz="6" w:space="0" w:color="auto"/>
              <w:left w:val="single" w:sz="6" w:space="0" w:color="auto"/>
              <w:bottom w:val="single" w:sz="6" w:space="0" w:color="auto"/>
              <w:right w:val="single" w:sz="6" w:space="0" w:color="auto"/>
            </w:tcBorders>
          </w:tcPr>
          <w:p w14:paraId="4F444E2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553</w:t>
            </w:r>
          </w:p>
        </w:tc>
        <w:tc>
          <w:tcPr>
            <w:tcW w:w="1452" w:type="dxa"/>
            <w:tcBorders>
              <w:top w:val="single" w:sz="6" w:space="0" w:color="auto"/>
              <w:left w:val="single" w:sz="6" w:space="0" w:color="auto"/>
              <w:bottom w:val="single" w:sz="6" w:space="0" w:color="auto"/>
              <w:right w:val="single" w:sz="6" w:space="0" w:color="auto"/>
            </w:tcBorders>
          </w:tcPr>
          <w:p w14:paraId="0A76473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w:t>
            </w:r>
          </w:p>
        </w:tc>
      </w:tr>
    </w:tbl>
    <w:p w14:paraId="17FB07C5" w14:textId="77777777" w:rsidR="00117C0D" w:rsidRPr="003954D9" w:rsidRDefault="00117C0D" w:rsidP="00117C0D">
      <w:pPr>
        <w:rPr>
          <w:b/>
          <w:sz w:val="23"/>
        </w:rPr>
      </w:pPr>
    </w:p>
    <w:p w14:paraId="1465D9ED" w14:textId="77777777" w:rsidR="00117C0D" w:rsidRPr="003954D9" w:rsidRDefault="00117C0D" w:rsidP="00117C0D">
      <w:pPr>
        <w:keepNext/>
        <w:keepLines/>
        <w:outlineLvl w:val="4"/>
        <w:rPr>
          <w:rFonts w:asciiTheme="majorHAnsi" w:eastAsiaTheme="majorEastAsia" w:hAnsiTheme="majorHAnsi" w:cstheme="majorBidi"/>
          <w:color w:val="243F60" w:themeColor="accent1" w:themeShade="7F"/>
          <w:sz w:val="23"/>
        </w:rPr>
      </w:pPr>
      <w:r w:rsidRPr="003954D9">
        <w:rPr>
          <w:rFonts w:asciiTheme="majorHAnsi" w:eastAsiaTheme="majorEastAsia" w:hAnsiTheme="majorHAnsi" w:cstheme="majorBidi"/>
          <w:color w:val="243F60" w:themeColor="accent1" w:themeShade="7F"/>
          <w:sz w:val="23"/>
        </w:rPr>
        <w:t>Tabell 1:3 Ökning av antalet hushåll i riskzonen efter hyreshöjning på 25 procent jämfört med idag</w:t>
      </w:r>
    </w:p>
    <w:tbl>
      <w:tblPr>
        <w:tblW w:w="0" w:type="auto"/>
        <w:tblInd w:w="-38" w:type="dxa"/>
        <w:tblLayout w:type="fixed"/>
        <w:tblCellMar>
          <w:left w:w="70" w:type="dxa"/>
          <w:right w:w="70" w:type="dxa"/>
        </w:tblCellMar>
        <w:tblLook w:val="0000" w:firstRow="0" w:lastRow="0" w:firstColumn="0" w:lastColumn="0" w:noHBand="0" w:noVBand="0"/>
      </w:tblPr>
      <w:tblGrid>
        <w:gridCol w:w="1873"/>
        <w:gridCol w:w="709"/>
        <w:gridCol w:w="709"/>
        <w:gridCol w:w="567"/>
      </w:tblGrid>
      <w:tr w:rsidR="00117C0D" w:rsidRPr="003954D9" w14:paraId="579F706D" w14:textId="77777777" w:rsidTr="00117C0D">
        <w:trPr>
          <w:trHeight w:val="227"/>
        </w:trPr>
        <w:tc>
          <w:tcPr>
            <w:tcW w:w="1873" w:type="dxa"/>
            <w:tcBorders>
              <w:top w:val="single" w:sz="6" w:space="0" w:color="auto"/>
              <w:left w:val="single" w:sz="6" w:space="0" w:color="auto"/>
              <w:bottom w:val="nil"/>
              <w:right w:val="single" w:sz="6" w:space="0" w:color="auto"/>
            </w:tcBorders>
          </w:tcPr>
          <w:p w14:paraId="226605E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709" w:type="dxa"/>
            <w:tcBorders>
              <w:top w:val="single" w:sz="6" w:space="0" w:color="auto"/>
              <w:left w:val="single" w:sz="6" w:space="0" w:color="auto"/>
              <w:bottom w:val="single" w:sz="6" w:space="0" w:color="auto"/>
              <w:right w:val="single" w:sz="6" w:space="0" w:color="auto"/>
            </w:tcBorders>
          </w:tcPr>
          <w:p w14:paraId="3EFD609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Idag</w:t>
            </w:r>
          </w:p>
        </w:tc>
        <w:tc>
          <w:tcPr>
            <w:tcW w:w="1276" w:type="dxa"/>
            <w:gridSpan w:val="2"/>
            <w:tcBorders>
              <w:top w:val="single" w:sz="6" w:space="0" w:color="auto"/>
              <w:left w:val="single" w:sz="6" w:space="0" w:color="auto"/>
              <w:bottom w:val="single" w:sz="6" w:space="0" w:color="auto"/>
              <w:right w:val="single" w:sz="6" w:space="0" w:color="auto"/>
            </w:tcBorders>
          </w:tcPr>
          <w:p w14:paraId="196F2307" w14:textId="5855833A"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Ökning </w:t>
            </w:r>
            <w:r w:rsidR="003954D9" w:rsidRPr="003954D9">
              <w:rPr>
                <w:rFonts w:ascii="Calibri" w:hAnsi="Calibri" w:cs="Calibri"/>
                <w:b/>
                <w:bCs/>
                <w:color w:val="000000"/>
                <w:sz w:val="16"/>
                <w:szCs w:val="16"/>
              </w:rPr>
              <w:t>vid 50</w:t>
            </w:r>
            <w:r w:rsidRPr="003954D9">
              <w:rPr>
                <w:rFonts w:ascii="Calibri" w:hAnsi="Calibri" w:cs="Calibri"/>
                <w:b/>
                <w:bCs/>
                <w:color w:val="000000"/>
                <w:sz w:val="16"/>
                <w:szCs w:val="16"/>
              </w:rPr>
              <w:t xml:space="preserve"> </w:t>
            </w:r>
            <w:r w:rsidR="00F32099" w:rsidRPr="003954D9">
              <w:rPr>
                <w:rFonts w:ascii="Calibri" w:hAnsi="Calibri" w:cs="Calibri"/>
                <w:b/>
                <w:bCs/>
                <w:color w:val="000000"/>
                <w:sz w:val="16"/>
                <w:szCs w:val="16"/>
              </w:rPr>
              <w:t>%</w:t>
            </w:r>
          </w:p>
        </w:tc>
      </w:tr>
      <w:tr w:rsidR="00117C0D" w:rsidRPr="003954D9" w14:paraId="5EA3D0DD" w14:textId="77777777" w:rsidTr="00117C0D">
        <w:trPr>
          <w:trHeight w:val="227"/>
        </w:trPr>
        <w:tc>
          <w:tcPr>
            <w:tcW w:w="1873" w:type="dxa"/>
            <w:tcBorders>
              <w:top w:val="nil"/>
              <w:left w:val="single" w:sz="6" w:space="0" w:color="auto"/>
              <w:bottom w:val="single" w:sz="6" w:space="0" w:color="auto"/>
              <w:right w:val="single" w:sz="6" w:space="0" w:color="auto"/>
            </w:tcBorders>
          </w:tcPr>
          <w:p w14:paraId="1AA8D7DF" w14:textId="77777777" w:rsidR="00117C0D" w:rsidRPr="003954D9" w:rsidRDefault="00117C0D" w:rsidP="00117C0D">
            <w:pPr>
              <w:autoSpaceDE w:val="0"/>
              <w:autoSpaceDN w:val="0"/>
              <w:adjustRightInd w:val="0"/>
              <w:jc w:val="right"/>
              <w:rPr>
                <w:rFonts w:ascii="Calibri" w:hAnsi="Calibri" w:cs="Calibr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5A6E4A6C"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709" w:type="dxa"/>
            <w:tcBorders>
              <w:top w:val="single" w:sz="6" w:space="0" w:color="auto"/>
              <w:left w:val="single" w:sz="6" w:space="0" w:color="auto"/>
              <w:bottom w:val="single" w:sz="6" w:space="0" w:color="auto"/>
              <w:right w:val="single" w:sz="6" w:space="0" w:color="auto"/>
            </w:tcBorders>
          </w:tcPr>
          <w:p w14:paraId="5429E4DA"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663D744E" w14:textId="478A8C6F" w:rsidR="00117C0D" w:rsidRPr="003954D9" w:rsidRDefault="00F32099"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w:t>
            </w:r>
          </w:p>
        </w:tc>
      </w:tr>
      <w:tr w:rsidR="00117C0D" w:rsidRPr="003954D9" w14:paraId="6F564258"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4D90AA24"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709" w:type="dxa"/>
            <w:tcBorders>
              <w:top w:val="single" w:sz="6" w:space="0" w:color="auto"/>
              <w:left w:val="single" w:sz="6" w:space="0" w:color="auto"/>
              <w:bottom w:val="single" w:sz="6" w:space="0" w:color="auto"/>
              <w:right w:val="single" w:sz="6" w:space="0" w:color="auto"/>
            </w:tcBorders>
          </w:tcPr>
          <w:p w14:paraId="41DC0A9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862</w:t>
            </w:r>
          </w:p>
        </w:tc>
        <w:tc>
          <w:tcPr>
            <w:tcW w:w="709" w:type="dxa"/>
            <w:tcBorders>
              <w:top w:val="single" w:sz="6" w:space="0" w:color="auto"/>
              <w:left w:val="single" w:sz="6" w:space="0" w:color="auto"/>
              <w:bottom w:val="single" w:sz="6" w:space="0" w:color="auto"/>
              <w:right w:val="single" w:sz="6" w:space="0" w:color="auto"/>
            </w:tcBorders>
          </w:tcPr>
          <w:p w14:paraId="318ED85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959</w:t>
            </w:r>
          </w:p>
        </w:tc>
        <w:tc>
          <w:tcPr>
            <w:tcW w:w="567" w:type="dxa"/>
            <w:tcBorders>
              <w:top w:val="single" w:sz="6" w:space="0" w:color="auto"/>
              <w:left w:val="single" w:sz="6" w:space="0" w:color="auto"/>
              <w:bottom w:val="single" w:sz="6" w:space="0" w:color="auto"/>
              <w:right w:val="single" w:sz="6" w:space="0" w:color="auto"/>
            </w:tcBorders>
          </w:tcPr>
          <w:p w14:paraId="500F204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111</w:t>
            </w:r>
          </w:p>
        </w:tc>
      </w:tr>
      <w:tr w:rsidR="00117C0D" w:rsidRPr="003954D9" w14:paraId="07B06C24"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5B3C222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709" w:type="dxa"/>
            <w:tcBorders>
              <w:top w:val="single" w:sz="6" w:space="0" w:color="auto"/>
              <w:left w:val="single" w:sz="6" w:space="0" w:color="auto"/>
              <w:bottom w:val="single" w:sz="6" w:space="0" w:color="auto"/>
              <w:right w:val="single" w:sz="6" w:space="0" w:color="auto"/>
            </w:tcBorders>
          </w:tcPr>
          <w:p w14:paraId="2CF7197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636</w:t>
            </w:r>
          </w:p>
        </w:tc>
        <w:tc>
          <w:tcPr>
            <w:tcW w:w="709" w:type="dxa"/>
            <w:tcBorders>
              <w:top w:val="single" w:sz="6" w:space="0" w:color="auto"/>
              <w:left w:val="single" w:sz="6" w:space="0" w:color="auto"/>
              <w:bottom w:val="single" w:sz="6" w:space="0" w:color="auto"/>
              <w:right w:val="single" w:sz="6" w:space="0" w:color="auto"/>
            </w:tcBorders>
          </w:tcPr>
          <w:p w14:paraId="1E99E31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748</w:t>
            </w:r>
          </w:p>
        </w:tc>
        <w:tc>
          <w:tcPr>
            <w:tcW w:w="567" w:type="dxa"/>
            <w:tcBorders>
              <w:top w:val="single" w:sz="6" w:space="0" w:color="auto"/>
              <w:left w:val="single" w:sz="6" w:space="0" w:color="auto"/>
              <w:bottom w:val="single" w:sz="6" w:space="0" w:color="auto"/>
              <w:right w:val="single" w:sz="6" w:space="0" w:color="auto"/>
            </w:tcBorders>
          </w:tcPr>
          <w:p w14:paraId="10AAE8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118</w:t>
            </w:r>
          </w:p>
        </w:tc>
      </w:tr>
      <w:tr w:rsidR="00117C0D" w:rsidRPr="003954D9" w14:paraId="3391752A"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163158C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09" w:type="dxa"/>
            <w:tcBorders>
              <w:top w:val="single" w:sz="6" w:space="0" w:color="auto"/>
              <w:left w:val="single" w:sz="6" w:space="0" w:color="auto"/>
              <w:bottom w:val="single" w:sz="6" w:space="0" w:color="auto"/>
              <w:right w:val="single" w:sz="6" w:space="0" w:color="auto"/>
            </w:tcBorders>
          </w:tcPr>
          <w:p w14:paraId="7E26960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434</w:t>
            </w:r>
          </w:p>
        </w:tc>
        <w:tc>
          <w:tcPr>
            <w:tcW w:w="709" w:type="dxa"/>
            <w:tcBorders>
              <w:top w:val="single" w:sz="6" w:space="0" w:color="auto"/>
              <w:left w:val="single" w:sz="6" w:space="0" w:color="auto"/>
              <w:bottom w:val="single" w:sz="6" w:space="0" w:color="auto"/>
              <w:right w:val="single" w:sz="6" w:space="0" w:color="auto"/>
            </w:tcBorders>
          </w:tcPr>
          <w:p w14:paraId="2955F03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601</w:t>
            </w:r>
          </w:p>
        </w:tc>
        <w:tc>
          <w:tcPr>
            <w:tcW w:w="567" w:type="dxa"/>
            <w:tcBorders>
              <w:top w:val="single" w:sz="6" w:space="0" w:color="auto"/>
              <w:left w:val="single" w:sz="6" w:space="0" w:color="auto"/>
              <w:bottom w:val="single" w:sz="6" w:space="0" w:color="auto"/>
              <w:right w:val="single" w:sz="6" w:space="0" w:color="auto"/>
            </w:tcBorders>
          </w:tcPr>
          <w:p w14:paraId="60EE5DC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w:t>
            </w:r>
          </w:p>
        </w:tc>
      </w:tr>
      <w:tr w:rsidR="00117C0D" w:rsidRPr="003954D9" w14:paraId="28BC1C71"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6E48911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09" w:type="dxa"/>
            <w:tcBorders>
              <w:top w:val="single" w:sz="6" w:space="0" w:color="auto"/>
              <w:left w:val="single" w:sz="6" w:space="0" w:color="auto"/>
              <w:bottom w:val="single" w:sz="6" w:space="0" w:color="auto"/>
              <w:right w:val="single" w:sz="6" w:space="0" w:color="auto"/>
            </w:tcBorders>
          </w:tcPr>
          <w:p w14:paraId="70F402F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709" w:type="dxa"/>
            <w:tcBorders>
              <w:top w:val="single" w:sz="6" w:space="0" w:color="auto"/>
              <w:left w:val="single" w:sz="6" w:space="0" w:color="auto"/>
              <w:bottom w:val="single" w:sz="6" w:space="0" w:color="auto"/>
              <w:right w:val="single" w:sz="6" w:space="0" w:color="auto"/>
            </w:tcBorders>
          </w:tcPr>
          <w:p w14:paraId="5C229A4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491</w:t>
            </w:r>
          </w:p>
        </w:tc>
        <w:tc>
          <w:tcPr>
            <w:tcW w:w="567" w:type="dxa"/>
            <w:tcBorders>
              <w:top w:val="single" w:sz="6" w:space="0" w:color="auto"/>
              <w:left w:val="single" w:sz="6" w:space="0" w:color="auto"/>
              <w:bottom w:val="single" w:sz="6" w:space="0" w:color="auto"/>
              <w:right w:val="single" w:sz="6" w:space="0" w:color="auto"/>
            </w:tcBorders>
          </w:tcPr>
          <w:p w14:paraId="3685092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r>
      <w:tr w:rsidR="00117C0D" w:rsidRPr="003954D9" w14:paraId="49D5BBC5"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539BF2A4"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709" w:type="dxa"/>
            <w:tcBorders>
              <w:top w:val="single" w:sz="6" w:space="0" w:color="auto"/>
              <w:left w:val="single" w:sz="6" w:space="0" w:color="auto"/>
              <w:bottom w:val="single" w:sz="6" w:space="0" w:color="auto"/>
              <w:right w:val="single" w:sz="6" w:space="0" w:color="auto"/>
            </w:tcBorders>
          </w:tcPr>
          <w:p w14:paraId="20B8646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289</w:t>
            </w:r>
          </w:p>
        </w:tc>
        <w:tc>
          <w:tcPr>
            <w:tcW w:w="709" w:type="dxa"/>
            <w:tcBorders>
              <w:top w:val="single" w:sz="6" w:space="0" w:color="auto"/>
              <w:left w:val="single" w:sz="6" w:space="0" w:color="auto"/>
              <w:bottom w:val="single" w:sz="6" w:space="0" w:color="auto"/>
              <w:right w:val="single" w:sz="6" w:space="0" w:color="auto"/>
            </w:tcBorders>
          </w:tcPr>
          <w:p w14:paraId="5CEFBF2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567" w:type="dxa"/>
            <w:tcBorders>
              <w:top w:val="single" w:sz="6" w:space="0" w:color="auto"/>
              <w:left w:val="single" w:sz="6" w:space="0" w:color="auto"/>
              <w:bottom w:val="single" w:sz="6" w:space="0" w:color="auto"/>
              <w:right w:val="single" w:sz="6" w:space="0" w:color="auto"/>
            </w:tcBorders>
          </w:tcPr>
          <w:p w14:paraId="7485BDF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129</w:t>
            </w:r>
          </w:p>
        </w:tc>
      </w:tr>
      <w:tr w:rsidR="00117C0D" w:rsidRPr="003954D9" w14:paraId="62572942"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279144F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709" w:type="dxa"/>
            <w:tcBorders>
              <w:top w:val="single" w:sz="6" w:space="0" w:color="auto"/>
              <w:left w:val="single" w:sz="6" w:space="0" w:color="auto"/>
              <w:bottom w:val="single" w:sz="6" w:space="0" w:color="auto"/>
              <w:right w:val="single" w:sz="6" w:space="0" w:color="auto"/>
            </w:tcBorders>
          </w:tcPr>
          <w:p w14:paraId="0B0F8DC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255</w:t>
            </w:r>
          </w:p>
        </w:tc>
        <w:tc>
          <w:tcPr>
            <w:tcW w:w="709" w:type="dxa"/>
            <w:tcBorders>
              <w:top w:val="single" w:sz="6" w:space="0" w:color="auto"/>
              <w:left w:val="single" w:sz="6" w:space="0" w:color="auto"/>
              <w:bottom w:val="single" w:sz="6" w:space="0" w:color="auto"/>
              <w:right w:val="single" w:sz="6" w:space="0" w:color="auto"/>
            </w:tcBorders>
          </w:tcPr>
          <w:p w14:paraId="6EBDC64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342</w:t>
            </w:r>
          </w:p>
        </w:tc>
        <w:tc>
          <w:tcPr>
            <w:tcW w:w="567" w:type="dxa"/>
            <w:tcBorders>
              <w:top w:val="single" w:sz="6" w:space="0" w:color="auto"/>
              <w:left w:val="single" w:sz="6" w:space="0" w:color="auto"/>
              <w:bottom w:val="single" w:sz="6" w:space="0" w:color="auto"/>
              <w:right w:val="single" w:sz="6" w:space="0" w:color="auto"/>
            </w:tcBorders>
          </w:tcPr>
          <w:p w14:paraId="016D8A1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134</w:t>
            </w:r>
          </w:p>
        </w:tc>
      </w:tr>
      <w:tr w:rsidR="00117C0D" w:rsidRPr="003954D9" w14:paraId="7E540E42"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44D6BCD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9" w:type="dxa"/>
            <w:tcBorders>
              <w:top w:val="single" w:sz="6" w:space="0" w:color="auto"/>
              <w:left w:val="single" w:sz="6" w:space="0" w:color="auto"/>
              <w:bottom w:val="single" w:sz="6" w:space="0" w:color="auto"/>
              <w:right w:val="single" w:sz="6" w:space="0" w:color="auto"/>
            </w:tcBorders>
          </w:tcPr>
          <w:p w14:paraId="7D167C2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709" w:type="dxa"/>
            <w:tcBorders>
              <w:top w:val="single" w:sz="6" w:space="0" w:color="auto"/>
              <w:left w:val="single" w:sz="6" w:space="0" w:color="auto"/>
              <w:bottom w:val="single" w:sz="6" w:space="0" w:color="auto"/>
              <w:right w:val="single" w:sz="6" w:space="0" w:color="auto"/>
            </w:tcBorders>
          </w:tcPr>
          <w:p w14:paraId="62A7043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314</w:t>
            </w:r>
          </w:p>
        </w:tc>
        <w:tc>
          <w:tcPr>
            <w:tcW w:w="567" w:type="dxa"/>
            <w:tcBorders>
              <w:top w:val="single" w:sz="6" w:space="0" w:color="auto"/>
              <w:left w:val="single" w:sz="6" w:space="0" w:color="auto"/>
              <w:bottom w:val="single" w:sz="6" w:space="0" w:color="auto"/>
              <w:right w:val="single" w:sz="6" w:space="0" w:color="auto"/>
            </w:tcBorders>
          </w:tcPr>
          <w:p w14:paraId="3C5AB16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131</w:t>
            </w:r>
          </w:p>
        </w:tc>
      </w:tr>
      <w:tr w:rsidR="00117C0D" w:rsidRPr="003954D9" w14:paraId="776DE728"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79B3FE5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09" w:type="dxa"/>
            <w:tcBorders>
              <w:top w:val="single" w:sz="6" w:space="0" w:color="auto"/>
              <w:left w:val="single" w:sz="6" w:space="0" w:color="auto"/>
              <w:bottom w:val="single" w:sz="6" w:space="0" w:color="auto"/>
              <w:right w:val="single" w:sz="6" w:space="0" w:color="auto"/>
            </w:tcBorders>
          </w:tcPr>
          <w:p w14:paraId="0932813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193</w:t>
            </w:r>
          </w:p>
        </w:tc>
        <w:tc>
          <w:tcPr>
            <w:tcW w:w="709" w:type="dxa"/>
            <w:tcBorders>
              <w:top w:val="single" w:sz="6" w:space="0" w:color="auto"/>
              <w:left w:val="single" w:sz="6" w:space="0" w:color="auto"/>
              <w:bottom w:val="single" w:sz="6" w:space="0" w:color="auto"/>
              <w:right w:val="single" w:sz="6" w:space="0" w:color="auto"/>
            </w:tcBorders>
          </w:tcPr>
          <w:p w14:paraId="7193FAD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232</w:t>
            </w:r>
          </w:p>
        </w:tc>
        <w:tc>
          <w:tcPr>
            <w:tcW w:w="567" w:type="dxa"/>
            <w:tcBorders>
              <w:top w:val="single" w:sz="6" w:space="0" w:color="auto"/>
              <w:left w:val="single" w:sz="6" w:space="0" w:color="auto"/>
              <w:bottom w:val="single" w:sz="6" w:space="0" w:color="auto"/>
              <w:right w:val="single" w:sz="6" w:space="0" w:color="auto"/>
            </w:tcBorders>
          </w:tcPr>
          <w:p w14:paraId="5509E39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120</w:t>
            </w:r>
          </w:p>
        </w:tc>
      </w:tr>
      <w:tr w:rsidR="00117C0D" w:rsidRPr="003954D9" w14:paraId="6AEB40B2"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4E49E3A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709" w:type="dxa"/>
            <w:tcBorders>
              <w:top w:val="single" w:sz="6" w:space="0" w:color="auto"/>
              <w:left w:val="single" w:sz="6" w:space="0" w:color="auto"/>
              <w:bottom w:val="single" w:sz="6" w:space="0" w:color="auto"/>
              <w:right w:val="single" w:sz="6" w:space="0" w:color="auto"/>
            </w:tcBorders>
          </w:tcPr>
          <w:p w14:paraId="03AFCD9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709" w:type="dxa"/>
            <w:tcBorders>
              <w:top w:val="single" w:sz="6" w:space="0" w:color="auto"/>
              <w:left w:val="single" w:sz="6" w:space="0" w:color="auto"/>
              <w:bottom w:val="single" w:sz="6" w:space="0" w:color="auto"/>
              <w:right w:val="single" w:sz="6" w:space="0" w:color="auto"/>
            </w:tcBorders>
          </w:tcPr>
          <w:p w14:paraId="0A6F1C1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113</w:t>
            </w:r>
          </w:p>
        </w:tc>
        <w:tc>
          <w:tcPr>
            <w:tcW w:w="567" w:type="dxa"/>
            <w:tcBorders>
              <w:top w:val="single" w:sz="6" w:space="0" w:color="auto"/>
              <w:left w:val="single" w:sz="6" w:space="0" w:color="auto"/>
              <w:bottom w:val="single" w:sz="6" w:space="0" w:color="auto"/>
              <w:right w:val="single" w:sz="6" w:space="0" w:color="auto"/>
            </w:tcBorders>
          </w:tcPr>
          <w:p w14:paraId="63951FA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90</w:t>
            </w:r>
          </w:p>
        </w:tc>
      </w:tr>
      <w:tr w:rsidR="00117C0D" w:rsidRPr="003954D9" w14:paraId="5A8B7EC3"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5E1DEB5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709" w:type="dxa"/>
            <w:tcBorders>
              <w:top w:val="single" w:sz="6" w:space="0" w:color="auto"/>
              <w:left w:val="single" w:sz="6" w:space="0" w:color="auto"/>
              <w:bottom w:val="single" w:sz="6" w:space="0" w:color="auto"/>
              <w:right w:val="single" w:sz="6" w:space="0" w:color="auto"/>
            </w:tcBorders>
          </w:tcPr>
          <w:p w14:paraId="3CDB54F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709" w:type="dxa"/>
            <w:tcBorders>
              <w:top w:val="single" w:sz="6" w:space="0" w:color="auto"/>
              <w:left w:val="single" w:sz="6" w:space="0" w:color="auto"/>
              <w:bottom w:val="single" w:sz="6" w:space="0" w:color="auto"/>
              <w:right w:val="single" w:sz="6" w:space="0" w:color="auto"/>
            </w:tcBorders>
          </w:tcPr>
          <w:p w14:paraId="4558073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47</w:t>
            </w:r>
          </w:p>
        </w:tc>
        <w:tc>
          <w:tcPr>
            <w:tcW w:w="567" w:type="dxa"/>
            <w:tcBorders>
              <w:top w:val="single" w:sz="6" w:space="0" w:color="auto"/>
              <w:left w:val="single" w:sz="6" w:space="0" w:color="auto"/>
              <w:bottom w:val="single" w:sz="6" w:space="0" w:color="auto"/>
              <w:right w:val="single" w:sz="6" w:space="0" w:color="auto"/>
            </w:tcBorders>
          </w:tcPr>
          <w:p w14:paraId="5D1A71C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181</w:t>
            </w:r>
          </w:p>
        </w:tc>
      </w:tr>
    </w:tbl>
    <w:p w14:paraId="4F50C9BE" w14:textId="77777777" w:rsidR="00117C0D" w:rsidRPr="003954D9" w:rsidRDefault="00117C0D" w:rsidP="00117C0D">
      <w:pPr>
        <w:rPr>
          <w:b/>
          <w:sz w:val="23"/>
        </w:rPr>
      </w:pPr>
    </w:p>
    <w:p w14:paraId="4AEF1EA6" w14:textId="77777777" w:rsidR="008568D2" w:rsidRDefault="008568D2" w:rsidP="00117C0D">
      <w:pPr>
        <w:keepNext/>
        <w:keepLines/>
        <w:outlineLvl w:val="4"/>
        <w:rPr>
          <w:rFonts w:asciiTheme="majorHAnsi" w:eastAsiaTheme="majorEastAsia" w:hAnsiTheme="majorHAnsi" w:cstheme="majorBidi"/>
          <w:color w:val="243F60" w:themeColor="accent1" w:themeShade="7F"/>
          <w:sz w:val="23"/>
        </w:rPr>
      </w:pPr>
      <w:r>
        <w:rPr>
          <w:rFonts w:asciiTheme="majorHAnsi" w:eastAsiaTheme="majorEastAsia" w:hAnsiTheme="majorHAnsi" w:cstheme="majorBidi"/>
          <w:color w:val="243F60" w:themeColor="accent1" w:themeShade="7F"/>
          <w:sz w:val="23"/>
        </w:rPr>
        <w:br w:type="page"/>
      </w:r>
    </w:p>
    <w:p w14:paraId="69585B4F" w14:textId="4EF93EE8" w:rsidR="00117C0D" w:rsidRPr="003954D9" w:rsidRDefault="00117C0D" w:rsidP="00117C0D">
      <w:pPr>
        <w:keepNext/>
        <w:keepLines/>
        <w:outlineLvl w:val="4"/>
        <w:rPr>
          <w:rFonts w:asciiTheme="majorHAnsi" w:eastAsiaTheme="majorEastAsia" w:hAnsiTheme="majorHAnsi" w:cstheme="majorBidi"/>
          <w:color w:val="243F60" w:themeColor="accent1" w:themeShade="7F"/>
          <w:sz w:val="23"/>
        </w:rPr>
      </w:pPr>
      <w:r w:rsidRPr="003954D9">
        <w:rPr>
          <w:rFonts w:asciiTheme="majorHAnsi" w:eastAsiaTheme="majorEastAsia" w:hAnsiTheme="majorHAnsi" w:cstheme="majorBidi"/>
          <w:color w:val="243F60" w:themeColor="accent1" w:themeShade="7F"/>
          <w:sz w:val="23"/>
        </w:rPr>
        <w:lastRenderedPageBreak/>
        <w:t xml:space="preserve">Tabell 1:4 Hushåll som ligger i riskzonen vid 5 och 25 procents hyreshöjning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8"/>
        <w:gridCol w:w="988"/>
        <w:gridCol w:w="992"/>
        <w:gridCol w:w="1039"/>
      </w:tblGrid>
      <w:tr w:rsidR="00117C0D" w:rsidRPr="003954D9" w14:paraId="0A8AE810" w14:textId="77777777" w:rsidTr="00F32099">
        <w:trPr>
          <w:trHeight w:val="227"/>
        </w:trPr>
        <w:tc>
          <w:tcPr>
            <w:tcW w:w="1868" w:type="dxa"/>
            <w:vMerge w:val="restart"/>
          </w:tcPr>
          <w:p w14:paraId="7DB3C50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988" w:type="dxa"/>
          </w:tcPr>
          <w:p w14:paraId="7499B95C" w14:textId="77BD76D9" w:rsidR="00117C0D" w:rsidRPr="003954D9" w:rsidRDefault="00117C0D" w:rsidP="003954D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Höjning </w:t>
            </w:r>
            <w:r w:rsidR="00CD1C48" w:rsidRPr="003954D9">
              <w:rPr>
                <w:rFonts w:ascii="Calibri" w:hAnsi="Calibri" w:cs="Calibri"/>
                <w:b/>
                <w:bCs/>
                <w:color w:val="000000"/>
                <w:sz w:val="16"/>
                <w:szCs w:val="16"/>
              </w:rPr>
              <w:t>5</w:t>
            </w:r>
            <w:r w:rsidR="00CD1C48">
              <w:rPr>
                <w:rFonts w:ascii="Calibri" w:hAnsi="Calibri" w:cs="Calibri"/>
                <w:b/>
                <w:bCs/>
                <w:color w:val="000000"/>
                <w:sz w:val="16"/>
                <w:szCs w:val="16"/>
              </w:rPr>
              <w:t xml:space="preserve"> %</w:t>
            </w:r>
          </w:p>
        </w:tc>
        <w:tc>
          <w:tcPr>
            <w:tcW w:w="992" w:type="dxa"/>
          </w:tcPr>
          <w:p w14:paraId="48690452" w14:textId="058F2306" w:rsidR="00117C0D" w:rsidRPr="003954D9" w:rsidRDefault="00117C0D" w:rsidP="003954D9">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Höjning 25</w:t>
            </w:r>
            <w:r w:rsidR="003954D9">
              <w:rPr>
                <w:rFonts w:ascii="Calibri" w:hAnsi="Calibri" w:cs="Calibri"/>
                <w:b/>
                <w:bCs/>
                <w:color w:val="000000"/>
                <w:sz w:val="16"/>
                <w:szCs w:val="16"/>
              </w:rPr>
              <w:t xml:space="preserve"> %</w:t>
            </w:r>
          </w:p>
        </w:tc>
        <w:tc>
          <w:tcPr>
            <w:tcW w:w="1039" w:type="dxa"/>
          </w:tcPr>
          <w:p w14:paraId="1FBDC69A" w14:textId="1A15AFCB" w:rsidR="00F32099"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Höjning</w:t>
            </w:r>
            <w:r w:rsidR="003954D9">
              <w:rPr>
                <w:rFonts w:ascii="Calibri" w:hAnsi="Calibri" w:cs="Calibri"/>
                <w:b/>
                <w:bCs/>
                <w:color w:val="000000"/>
                <w:sz w:val="16"/>
                <w:szCs w:val="16"/>
              </w:rPr>
              <w:t xml:space="preserve"> </w:t>
            </w:r>
            <w:r w:rsidR="00CD1C48" w:rsidRPr="003954D9">
              <w:rPr>
                <w:rFonts w:ascii="Calibri" w:hAnsi="Calibri" w:cs="Calibri"/>
                <w:b/>
                <w:bCs/>
                <w:color w:val="000000"/>
                <w:sz w:val="16"/>
                <w:szCs w:val="16"/>
              </w:rPr>
              <w:t>5 %</w:t>
            </w:r>
          </w:p>
          <w:p w14:paraId="7FD7880A" w14:textId="6B082691" w:rsidR="00117C0D"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Höjning </w:t>
            </w:r>
            <w:r w:rsidR="00CD1C48" w:rsidRPr="003954D9">
              <w:rPr>
                <w:rFonts w:ascii="Calibri" w:hAnsi="Calibri" w:cs="Calibri"/>
                <w:b/>
                <w:bCs/>
                <w:color w:val="000000"/>
                <w:sz w:val="16"/>
                <w:szCs w:val="16"/>
              </w:rPr>
              <w:t>25 %</w:t>
            </w:r>
          </w:p>
        </w:tc>
      </w:tr>
      <w:tr w:rsidR="00117C0D" w:rsidRPr="003954D9" w14:paraId="721E3594" w14:textId="77777777" w:rsidTr="00F32099">
        <w:trPr>
          <w:trHeight w:val="227"/>
        </w:trPr>
        <w:tc>
          <w:tcPr>
            <w:tcW w:w="1868" w:type="dxa"/>
            <w:vMerge/>
          </w:tcPr>
          <w:p w14:paraId="0DF56E2E" w14:textId="77777777" w:rsidR="00117C0D" w:rsidRPr="003954D9" w:rsidRDefault="00117C0D" w:rsidP="00117C0D">
            <w:pPr>
              <w:autoSpaceDE w:val="0"/>
              <w:autoSpaceDN w:val="0"/>
              <w:adjustRightInd w:val="0"/>
              <w:jc w:val="right"/>
              <w:rPr>
                <w:rFonts w:ascii="Calibri" w:hAnsi="Calibri" w:cs="Calibri"/>
                <w:b/>
                <w:bCs/>
                <w:color w:val="000000"/>
                <w:sz w:val="22"/>
                <w:szCs w:val="22"/>
              </w:rPr>
            </w:pPr>
          </w:p>
        </w:tc>
        <w:tc>
          <w:tcPr>
            <w:tcW w:w="988" w:type="dxa"/>
          </w:tcPr>
          <w:p w14:paraId="1B908F50"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992" w:type="dxa"/>
          </w:tcPr>
          <w:p w14:paraId="13D6B72C"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1039" w:type="dxa"/>
          </w:tcPr>
          <w:p w14:paraId="2F3DD4EC" w14:textId="47D11EC1" w:rsidR="00117C0D" w:rsidRPr="003954D9" w:rsidRDefault="00F32099"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w:t>
            </w:r>
          </w:p>
        </w:tc>
      </w:tr>
      <w:tr w:rsidR="00117C0D" w:rsidRPr="003954D9" w14:paraId="6EA6C7FB" w14:textId="77777777" w:rsidTr="00F32099">
        <w:trPr>
          <w:trHeight w:val="227"/>
        </w:trPr>
        <w:tc>
          <w:tcPr>
            <w:tcW w:w="1868" w:type="dxa"/>
          </w:tcPr>
          <w:p w14:paraId="0BFA526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988" w:type="dxa"/>
          </w:tcPr>
          <w:p w14:paraId="1D38C33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w:t>
            </w:r>
          </w:p>
        </w:tc>
        <w:tc>
          <w:tcPr>
            <w:tcW w:w="992" w:type="dxa"/>
          </w:tcPr>
          <w:p w14:paraId="25A4ECF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178</w:t>
            </w:r>
          </w:p>
        </w:tc>
        <w:tc>
          <w:tcPr>
            <w:tcW w:w="1039" w:type="dxa"/>
          </w:tcPr>
          <w:p w14:paraId="43249CF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78</w:t>
            </w:r>
          </w:p>
        </w:tc>
      </w:tr>
      <w:tr w:rsidR="00117C0D" w:rsidRPr="003954D9" w14:paraId="45DE4E2E" w14:textId="77777777" w:rsidTr="00F32099">
        <w:trPr>
          <w:trHeight w:val="227"/>
        </w:trPr>
        <w:tc>
          <w:tcPr>
            <w:tcW w:w="1868" w:type="dxa"/>
          </w:tcPr>
          <w:p w14:paraId="0F52EBF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988" w:type="dxa"/>
          </w:tcPr>
          <w:p w14:paraId="7B33E98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219</w:t>
            </w:r>
          </w:p>
        </w:tc>
        <w:tc>
          <w:tcPr>
            <w:tcW w:w="992" w:type="dxa"/>
          </w:tcPr>
          <w:p w14:paraId="1191D43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306</w:t>
            </w:r>
          </w:p>
        </w:tc>
        <w:tc>
          <w:tcPr>
            <w:tcW w:w="1039" w:type="dxa"/>
          </w:tcPr>
          <w:p w14:paraId="2287914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w:t>
            </w:r>
          </w:p>
        </w:tc>
      </w:tr>
      <w:tr w:rsidR="00117C0D" w:rsidRPr="003954D9" w14:paraId="7CD251F0" w14:textId="77777777" w:rsidTr="00F32099">
        <w:trPr>
          <w:trHeight w:val="227"/>
        </w:trPr>
        <w:tc>
          <w:tcPr>
            <w:tcW w:w="1868" w:type="dxa"/>
          </w:tcPr>
          <w:p w14:paraId="7C6A035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988" w:type="dxa"/>
          </w:tcPr>
          <w:p w14:paraId="0A0E14A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727</w:t>
            </w:r>
          </w:p>
        </w:tc>
        <w:tc>
          <w:tcPr>
            <w:tcW w:w="992" w:type="dxa"/>
          </w:tcPr>
          <w:p w14:paraId="593AA5B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1 028</w:t>
            </w:r>
          </w:p>
        </w:tc>
        <w:tc>
          <w:tcPr>
            <w:tcW w:w="1039" w:type="dxa"/>
          </w:tcPr>
          <w:p w14:paraId="39F4BBB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71</w:t>
            </w:r>
          </w:p>
        </w:tc>
      </w:tr>
      <w:tr w:rsidR="00117C0D" w:rsidRPr="003954D9" w14:paraId="63791FEB" w14:textId="77777777" w:rsidTr="00F32099">
        <w:trPr>
          <w:trHeight w:val="227"/>
        </w:trPr>
        <w:tc>
          <w:tcPr>
            <w:tcW w:w="1868" w:type="dxa"/>
          </w:tcPr>
          <w:p w14:paraId="2B9E6B0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88" w:type="dxa"/>
          </w:tcPr>
          <w:p w14:paraId="777DF67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962</w:t>
            </w:r>
          </w:p>
        </w:tc>
        <w:tc>
          <w:tcPr>
            <w:tcW w:w="992" w:type="dxa"/>
          </w:tcPr>
          <w:p w14:paraId="366603A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1 385</w:t>
            </w:r>
          </w:p>
        </w:tc>
        <w:tc>
          <w:tcPr>
            <w:tcW w:w="1039" w:type="dxa"/>
          </w:tcPr>
          <w:p w14:paraId="02A733C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r>
      <w:tr w:rsidR="00117C0D" w:rsidRPr="003954D9" w14:paraId="47747E60" w14:textId="77777777" w:rsidTr="00F32099">
        <w:trPr>
          <w:trHeight w:val="227"/>
        </w:trPr>
        <w:tc>
          <w:tcPr>
            <w:tcW w:w="1868" w:type="dxa"/>
          </w:tcPr>
          <w:p w14:paraId="38CA6C0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988" w:type="dxa"/>
          </w:tcPr>
          <w:p w14:paraId="489F9B2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279</w:t>
            </w:r>
          </w:p>
        </w:tc>
        <w:tc>
          <w:tcPr>
            <w:tcW w:w="992" w:type="dxa"/>
          </w:tcPr>
          <w:p w14:paraId="2E108AC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401</w:t>
            </w:r>
          </w:p>
        </w:tc>
        <w:tc>
          <w:tcPr>
            <w:tcW w:w="1039" w:type="dxa"/>
          </w:tcPr>
          <w:p w14:paraId="4BA9AD9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r>
      <w:tr w:rsidR="00117C0D" w:rsidRPr="003954D9" w14:paraId="1A2B1629" w14:textId="77777777" w:rsidTr="00F32099">
        <w:trPr>
          <w:trHeight w:val="227"/>
        </w:trPr>
        <w:tc>
          <w:tcPr>
            <w:tcW w:w="1868" w:type="dxa"/>
          </w:tcPr>
          <w:p w14:paraId="5B20F58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988" w:type="dxa"/>
          </w:tcPr>
          <w:p w14:paraId="1A780EE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259</w:t>
            </w:r>
          </w:p>
        </w:tc>
        <w:tc>
          <w:tcPr>
            <w:tcW w:w="992" w:type="dxa"/>
          </w:tcPr>
          <w:p w14:paraId="0AE0FCC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1039" w:type="dxa"/>
          </w:tcPr>
          <w:p w14:paraId="744F1D7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69</w:t>
            </w:r>
          </w:p>
        </w:tc>
      </w:tr>
      <w:tr w:rsidR="00117C0D" w:rsidRPr="003954D9" w14:paraId="0FECDE0A" w14:textId="77777777" w:rsidTr="00F32099">
        <w:trPr>
          <w:trHeight w:val="227"/>
        </w:trPr>
        <w:tc>
          <w:tcPr>
            <w:tcW w:w="1868" w:type="dxa"/>
          </w:tcPr>
          <w:p w14:paraId="01FDDCF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988" w:type="dxa"/>
          </w:tcPr>
          <w:p w14:paraId="0312C0C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325</w:t>
            </w:r>
          </w:p>
        </w:tc>
        <w:tc>
          <w:tcPr>
            <w:tcW w:w="992" w:type="dxa"/>
          </w:tcPr>
          <w:p w14:paraId="017B66D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480</w:t>
            </w:r>
          </w:p>
        </w:tc>
        <w:tc>
          <w:tcPr>
            <w:tcW w:w="1039" w:type="dxa"/>
          </w:tcPr>
          <w:p w14:paraId="76254C4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68</w:t>
            </w:r>
          </w:p>
        </w:tc>
      </w:tr>
      <w:tr w:rsidR="00117C0D" w:rsidRPr="003954D9" w14:paraId="78E8DE46" w14:textId="77777777" w:rsidTr="00F32099">
        <w:trPr>
          <w:trHeight w:val="227"/>
        </w:trPr>
        <w:tc>
          <w:tcPr>
            <w:tcW w:w="1868" w:type="dxa"/>
          </w:tcPr>
          <w:p w14:paraId="0D0ED01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988" w:type="dxa"/>
          </w:tcPr>
          <w:p w14:paraId="0C52E85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494</w:t>
            </w:r>
          </w:p>
        </w:tc>
        <w:tc>
          <w:tcPr>
            <w:tcW w:w="992" w:type="dxa"/>
          </w:tcPr>
          <w:p w14:paraId="63A90CF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727</w:t>
            </w:r>
          </w:p>
        </w:tc>
        <w:tc>
          <w:tcPr>
            <w:tcW w:w="1039" w:type="dxa"/>
          </w:tcPr>
          <w:p w14:paraId="6763C0D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68</w:t>
            </w:r>
          </w:p>
        </w:tc>
      </w:tr>
      <w:tr w:rsidR="00117C0D" w:rsidRPr="003954D9" w14:paraId="7C117E71" w14:textId="77777777" w:rsidTr="00F32099">
        <w:trPr>
          <w:trHeight w:val="227"/>
        </w:trPr>
        <w:tc>
          <w:tcPr>
            <w:tcW w:w="1868" w:type="dxa"/>
          </w:tcPr>
          <w:p w14:paraId="18A4272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988" w:type="dxa"/>
          </w:tcPr>
          <w:p w14:paraId="6C7EE99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366</w:t>
            </w:r>
          </w:p>
        </w:tc>
        <w:tc>
          <w:tcPr>
            <w:tcW w:w="992" w:type="dxa"/>
          </w:tcPr>
          <w:p w14:paraId="5BD451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579</w:t>
            </w:r>
          </w:p>
        </w:tc>
        <w:tc>
          <w:tcPr>
            <w:tcW w:w="1039" w:type="dxa"/>
          </w:tcPr>
          <w:p w14:paraId="7B4E0B3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63</w:t>
            </w:r>
          </w:p>
        </w:tc>
      </w:tr>
      <w:tr w:rsidR="00117C0D" w:rsidRPr="003954D9" w14:paraId="4BADC00B" w14:textId="77777777" w:rsidTr="00F32099">
        <w:trPr>
          <w:trHeight w:val="227"/>
        </w:trPr>
        <w:tc>
          <w:tcPr>
            <w:tcW w:w="1868" w:type="dxa"/>
          </w:tcPr>
          <w:p w14:paraId="462CB54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88" w:type="dxa"/>
          </w:tcPr>
          <w:p w14:paraId="3C32505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w:t>
            </w:r>
          </w:p>
        </w:tc>
        <w:tc>
          <w:tcPr>
            <w:tcW w:w="992" w:type="dxa"/>
          </w:tcPr>
          <w:p w14:paraId="7141B9C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w:t>
            </w:r>
          </w:p>
        </w:tc>
        <w:tc>
          <w:tcPr>
            <w:tcW w:w="1039" w:type="dxa"/>
          </w:tcPr>
          <w:p w14:paraId="0180F7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w:t>
            </w:r>
          </w:p>
        </w:tc>
      </w:tr>
    </w:tbl>
    <w:p w14:paraId="70DB0AC9" w14:textId="77777777" w:rsidR="00FA26E0" w:rsidRPr="003954D9" w:rsidRDefault="00FA26E0" w:rsidP="00117C0D">
      <w:pPr>
        <w:keepNext/>
        <w:keepLines/>
        <w:spacing w:line="240" w:lineRule="exact"/>
        <w:outlineLvl w:val="4"/>
        <w:rPr>
          <w:rFonts w:asciiTheme="majorHAnsi" w:eastAsiaTheme="majorEastAsia" w:hAnsiTheme="majorHAnsi" w:cstheme="majorBidi"/>
          <w:color w:val="243F60" w:themeColor="accent1" w:themeShade="7F"/>
          <w:sz w:val="23"/>
        </w:rPr>
      </w:pPr>
    </w:p>
    <w:p w14:paraId="06E743DC" w14:textId="22DC19EB" w:rsidR="00117C0D" w:rsidRPr="003954D9" w:rsidRDefault="00117C0D" w:rsidP="00117C0D">
      <w:pPr>
        <w:keepNext/>
        <w:keepLines/>
        <w:spacing w:line="240" w:lineRule="exact"/>
        <w:outlineLvl w:val="4"/>
        <w:rPr>
          <w:rFonts w:asciiTheme="majorHAnsi" w:eastAsiaTheme="majorEastAsia" w:hAnsiTheme="majorHAnsi" w:cstheme="majorBidi"/>
          <w:color w:val="243F60" w:themeColor="accent1" w:themeShade="7F"/>
          <w:sz w:val="23"/>
        </w:rPr>
      </w:pPr>
      <w:r w:rsidRPr="003954D9">
        <w:rPr>
          <w:rFonts w:asciiTheme="majorHAnsi" w:eastAsiaTheme="majorEastAsia" w:hAnsiTheme="majorHAnsi" w:cstheme="majorBidi"/>
          <w:color w:val="243F60" w:themeColor="accent1" w:themeShade="7F"/>
          <w:sz w:val="23"/>
        </w:rPr>
        <w:t>Tabell 1:5: Ökning av antalet hushåll i riskzonen efter hyreshöjning på 50 procent jämfört med idag</w:t>
      </w:r>
    </w:p>
    <w:tbl>
      <w:tblPr>
        <w:tblW w:w="0" w:type="auto"/>
        <w:tblInd w:w="134" w:type="dxa"/>
        <w:tblLayout w:type="fixed"/>
        <w:tblCellMar>
          <w:left w:w="70" w:type="dxa"/>
          <w:right w:w="70" w:type="dxa"/>
        </w:tblCellMar>
        <w:tblLook w:val="0000" w:firstRow="0" w:lastRow="0" w:firstColumn="0" w:lastColumn="0" w:noHBand="0" w:noVBand="0"/>
      </w:tblPr>
      <w:tblGrid>
        <w:gridCol w:w="1873"/>
        <w:gridCol w:w="709"/>
        <w:gridCol w:w="567"/>
        <w:gridCol w:w="567"/>
        <w:gridCol w:w="7"/>
      </w:tblGrid>
      <w:tr w:rsidR="00117C0D" w:rsidRPr="003954D9" w14:paraId="3FB55953" w14:textId="77777777" w:rsidTr="00117C0D">
        <w:trPr>
          <w:trHeight w:val="227"/>
        </w:trPr>
        <w:tc>
          <w:tcPr>
            <w:tcW w:w="1873" w:type="dxa"/>
            <w:vMerge w:val="restart"/>
            <w:tcBorders>
              <w:top w:val="single" w:sz="6" w:space="0" w:color="auto"/>
              <w:left w:val="single" w:sz="6" w:space="0" w:color="auto"/>
              <w:right w:val="single" w:sz="6" w:space="0" w:color="auto"/>
            </w:tcBorders>
          </w:tcPr>
          <w:p w14:paraId="7122F74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709" w:type="dxa"/>
            <w:tcBorders>
              <w:top w:val="single" w:sz="6" w:space="0" w:color="auto"/>
              <w:left w:val="single" w:sz="6" w:space="0" w:color="auto"/>
              <w:bottom w:val="single" w:sz="6" w:space="0" w:color="auto"/>
              <w:right w:val="single" w:sz="6" w:space="0" w:color="auto"/>
            </w:tcBorders>
          </w:tcPr>
          <w:p w14:paraId="657667D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Idag</w:t>
            </w:r>
          </w:p>
        </w:tc>
        <w:tc>
          <w:tcPr>
            <w:tcW w:w="1141" w:type="dxa"/>
            <w:gridSpan w:val="3"/>
            <w:tcBorders>
              <w:top w:val="single" w:sz="6" w:space="0" w:color="auto"/>
              <w:left w:val="single" w:sz="6" w:space="0" w:color="auto"/>
              <w:bottom w:val="single" w:sz="6" w:space="0" w:color="auto"/>
              <w:right w:val="single" w:sz="6" w:space="0" w:color="auto"/>
            </w:tcBorders>
          </w:tcPr>
          <w:p w14:paraId="0A7B854C" w14:textId="14B500D5" w:rsidR="00117C0D" w:rsidRPr="003954D9" w:rsidRDefault="00117C0D" w:rsidP="00117C0D">
            <w:pPr>
              <w:autoSpaceDE w:val="0"/>
              <w:autoSpaceDN w:val="0"/>
              <w:adjustRightInd w:val="0"/>
              <w:rPr>
                <w:rFonts w:ascii="Calibri" w:hAnsi="Calibri" w:cs="Calibri"/>
                <w:b/>
                <w:bCs/>
                <w:color w:val="000000"/>
                <w:sz w:val="22"/>
                <w:szCs w:val="22"/>
              </w:rPr>
            </w:pPr>
            <w:r w:rsidRPr="003954D9">
              <w:rPr>
                <w:rFonts w:ascii="Calibri" w:hAnsi="Calibri" w:cs="Calibri"/>
                <w:b/>
                <w:bCs/>
                <w:color w:val="000000"/>
                <w:sz w:val="16"/>
                <w:szCs w:val="16"/>
              </w:rPr>
              <w:t xml:space="preserve">Ökning vid 5 </w:t>
            </w:r>
            <w:r w:rsidR="00F32099" w:rsidRPr="003954D9">
              <w:rPr>
                <w:rFonts w:ascii="Calibri" w:hAnsi="Calibri" w:cs="Calibri"/>
                <w:b/>
                <w:bCs/>
                <w:color w:val="000000"/>
                <w:sz w:val="16"/>
                <w:szCs w:val="16"/>
              </w:rPr>
              <w:t>%</w:t>
            </w:r>
          </w:p>
        </w:tc>
      </w:tr>
      <w:tr w:rsidR="00117C0D" w:rsidRPr="003954D9" w14:paraId="2EFFFCCE" w14:textId="77777777" w:rsidTr="00117C0D">
        <w:trPr>
          <w:gridAfter w:val="1"/>
          <w:wAfter w:w="7" w:type="dxa"/>
          <w:trHeight w:val="227"/>
        </w:trPr>
        <w:tc>
          <w:tcPr>
            <w:tcW w:w="1873" w:type="dxa"/>
            <w:vMerge/>
            <w:tcBorders>
              <w:left w:val="single" w:sz="6" w:space="0" w:color="auto"/>
              <w:bottom w:val="single" w:sz="6" w:space="0" w:color="auto"/>
              <w:right w:val="single" w:sz="6" w:space="0" w:color="auto"/>
            </w:tcBorders>
          </w:tcPr>
          <w:p w14:paraId="2B309F25" w14:textId="77777777" w:rsidR="00117C0D" w:rsidRPr="003954D9" w:rsidRDefault="00117C0D" w:rsidP="00117C0D">
            <w:pPr>
              <w:autoSpaceDE w:val="0"/>
              <w:autoSpaceDN w:val="0"/>
              <w:adjustRightInd w:val="0"/>
              <w:jc w:val="right"/>
              <w:rPr>
                <w:rFonts w:ascii="Calibri" w:hAnsi="Calibri" w:cs="Calibri"/>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035607B1"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1671BC16"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244966F8" w14:textId="6B65CF2C" w:rsidR="00117C0D" w:rsidRPr="003954D9" w:rsidRDefault="00F32099" w:rsidP="00117C0D">
            <w:pPr>
              <w:autoSpaceDE w:val="0"/>
              <w:autoSpaceDN w:val="0"/>
              <w:adjustRightInd w:val="0"/>
              <w:jc w:val="right"/>
              <w:rPr>
                <w:rFonts w:ascii="Calibri" w:hAnsi="Calibri" w:cs="Calibri"/>
                <w:b/>
                <w:bCs/>
                <w:color w:val="000000"/>
                <w:sz w:val="16"/>
                <w:szCs w:val="16"/>
              </w:rPr>
            </w:pPr>
            <w:r w:rsidRPr="003954D9">
              <w:rPr>
                <w:rFonts w:ascii="Calibri" w:hAnsi="Calibri" w:cs="Calibri"/>
                <w:b/>
                <w:bCs/>
                <w:color w:val="000000"/>
                <w:sz w:val="16"/>
                <w:szCs w:val="16"/>
              </w:rPr>
              <w:t>%</w:t>
            </w:r>
          </w:p>
        </w:tc>
      </w:tr>
      <w:tr w:rsidR="00117C0D" w:rsidRPr="003954D9" w14:paraId="0C645FA7" w14:textId="77777777" w:rsidTr="00117C0D">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2D9233F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709" w:type="dxa"/>
            <w:tcBorders>
              <w:top w:val="single" w:sz="6" w:space="0" w:color="auto"/>
              <w:left w:val="single" w:sz="6" w:space="0" w:color="auto"/>
              <w:bottom w:val="single" w:sz="6" w:space="0" w:color="auto"/>
              <w:right w:val="single" w:sz="6" w:space="0" w:color="auto"/>
            </w:tcBorders>
          </w:tcPr>
          <w:p w14:paraId="5CE06F5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862</w:t>
            </w:r>
          </w:p>
        </w:tc>
        <w:tc>
          <w:tcPr>
            <w:tcW w:w="567" w:type="dxa"/>
            <w:tcBorders>
              <w:top w:val="single" w:sz="6" w:space="0" w:color="auto"/>
              <w:left w:val="single" w:sz="6" w:space="0" w:color="auto"/>
              <w:bottom w:val="single" w:sz="6" w:space="0" w:color="auto"/>
              <w:right w:val="single" w:sz="6" w:space="0" w:color="auto"/>
            </w:tcBorders>
          </w:tcPr>
          <w:p w14:paraId="291CF41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w:t>
            </w:r>
          </w:p>
        </w:tc>
        <w:tc>
          <w:tcPr>
            <w:tcW w:w="567" w:type="dxa"/>
            <w:tcBorders>
              <w:top w:val="single" w:sz="6" w:space="0" w:color="auto"/>
              <w:left w:val="single" w:sz="6" w:space="0" w:color="auto"/>
              <w:bottom w:val="single" w:sz="6" w:space="0" w:color="auto"/>
              <w:right w:val="single" w:sz="6" w:space="0" w:color="auto"/>
            </w:tcBorders>
          </w:tcPr>
          <w:p w14:paraId="56CCDDC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w:t>
            </w:r>
          </w:p>
        </w:tc>
      </w:tr>
      <w:tr w:rsidR="00117C0D" w:rsidRPr="003954D9" w14:paraId="087AEF6F" w14:textId="77777777" w:rsidTr="00117C0D">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01B64D0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709" w:type="dxa"/>
            <w:tcBorders>
              <w:top w:val="single" w:sz="6" w:space="0" w:color="auto"/>
              <w:left w:val="single" w:sz="6" w:space="0" w:color="auto"/>
              <w:bottom w:val="single" w:sz="6" w:space="0" w:color="auto"/>
              <w:right w:val="single" w:sz="6" w:space="0" w:color="auto"/>
            </w:tcBorders>
          </w:tcPr>
          <w:p w14:paraId="49B5EAB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636</w:t>
            </w:r>
          </w:p>
        </w:tc>
        <w:tc>
          <w:tcPr>
            <w:tcW w:w="567" w:type="dxa"/>
            <w:tcBorders>
              <w:top w:val="single" w:sz="6" w:space="0" w:color="auto"/>
              <w:left w:val="single" w:sz="6" w:space="0" w:color="auto"/>
              <w:bottom w:val="single" w:sz="6" w:space="0" w:color="auto"/>
              <w:right w:val="single" w:sz="6" w:space="0" w:color="auto"/>
            </w:tcBorders>
          </w:tcPr>
          <w:p w14:paraId="62F990B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91</w:t>
            </w:r>
          </w:p>
        </w:tc>
        <w:tc>
          <w:tcPr>
            <w:tcW w:w="567" w:type="dxa"/>
            <w:tcBorders>
              <w:top w:val="single" w:sz="6" w:space="0" w:color="auto"/>
              <w:left w:val="single" w:sz="6" w:space="0" w:color="auto"/>
              <w:bottom w:val="single" w:sz="6" w:space="0" w:color="auto"/>
              <w:right w:val="single" w:sz="6" w:space="0" w:color="auto"/>
            </w:tcBorders>
          </w:tcPr>
          <w:p w14:paraId="1B32D75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w:t>
            </w:r>
          </w:p>
        </w:tc>
      </w:tr>
      <w:tr w:rsidR="00117C0D" w:rsidRPr="003954D9" w14:paraId="3DA6EBF3" w14:textId="77777777" w:rsidTr="00117C0D">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6F4020D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09" w:type="dxa"/>
            <w:tcBorders>
              <w:top w:val="single" w:sz="6" w:space="0" w:color="auto"/>
              <w:left w:val="single" w:sz="6" w:space="0" w:color="auto"/>
              <w:bottom w:val="single" w:sz="6" w:space="0" w:color="auto"/>
              <w:right w:val="single" w:sz="6" w:space="0" w:color="auto"/>
            </w:tcBorders>
          </w:tcPr>
          <w:p w14:paraId="0A395FD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434</w:t>
            </w:r>
          </w:p>
        </w:tc>
        <w:tc>
          <w:tcPr>
            <w:tcW w:w="567" w:type="dxa"/>
            <w:tcBorders>
              <w:top w:val="single" w:sz="6" w:space="0" w:color="auto"/>
              <w:left w:val="single" w:sz="6" w:space="0" w:color="auto"/>
              <w:bottom w:val="single" w:sz="6" w:space="0" w:color="auto"/>
              <w:right w:val="single" w:sz="6" w:space="0" w:color="auto"/>
            </w:tcBorders>
          </w:tcPr>
          <w:p w14:paraId="561F166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60</w:t>
            </w:r>
          </w:p>
        </w:tc>
        <w:tc>
          <w:tcPr>
            <w:tcW w:w="567" w:type="dxa"/>
            <w:tcBorders>
              <w:top w:val="single" w:sz="6" w:space="0" w:color="auto"/>
              <w:left w:val="single" w:sz="6" w:space="0" w:color="auto"/>
              <w:bottom w:val="single" w:sz="6" w:space="0" w:color="auto"/>
              <w:right w:val="single" w:sz="6" w:space="0" w:color="auto"/>
            </w:tcBorders>
          </w:tcPr>
          <w:p w14:paraId="01ABFA1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w:t>
            </w:r>
          </w:p>
        </w:tc>
      </w:tr>
      <w:tr w:rsidR="00117C0D" w:rsidRPr="003954D9" w14:paraId="33BC7CA1" w14:textId="77777777" w:rsidTr="00117C0D">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47B692B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09" w:type="dxa"/>
            <w:tcBorders>
              <w:top w:val="single" w:sz="6" w:space="0" w:color="auto"/>
              <w:left w:val="single" w:sz="6" w:space="0" w:color="auto"/>
              <w:bottom w:val="single" w:sz="6" w:space="0" w:color="auto"/>
              <w:right w:val="single" w:sz="6" w:space="0" w:color="auto"/>
            </w:tcBorders>
          </w:tcPr>
          <w:p w14:paraId="42271AE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567" w:type="dxa"/>
            <w:tcBorders>
              <w:top w:val="single" w:sz="6" w:space="0" w:color="auto"/>
              <w:left w:val="single" w:sz="6" w:space="0" w:color="auto"/>
              <w:bottom w:val="single" w:sz="6" w:space="0" w:color="auto"/>
              <w:right w:val="single" w:sz="6" w:space="0" w:color="auto"/>
            </w:tcBorders>
          </w:tcPr>
          <w:p w14:paraId="713FA7A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44</w:t>
            </w:r>
          </w:p>
        </w:tc>
        <w:tc>
          <w:tcPr>
            <w:tcW w:w="567" w:type="dxa"/>
            <w:tcBorders>
              <w:top w:val="single" w:sz="6" w:space="0" w:color="auto"/>
              <w:left w:val="single" w:sz="6" w:space="0" w:color="auto"/>
              <w:bottom w:val="single" w:sz="6" w:space="0" w:color="auto"/>
              <w:right w:val="single" w:sz="6" w:space="0" w:color="auto"/>
            </w:tcBorders>
          </w:tcPr>
          <w:p w14:paraId="32103B3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w:t>
            </w:r>
          </w:p>
        </w:tc>
      </w:tr>
      <w:tr w:rsidR="00117C0D" w:rsidRPr="003954D9" w14:paraId="344F7225" w14:textId="77777777" w:rsidTr="00117C0D">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6106098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709" w:type="dxa"/>
            <w:tcBorders>
              <w:top w:val="single" w:sz="6" w:space="0" w:color="auto"/>
              <w:left w:val="single" w:sz="6" w:space="0" w:color="auto"/>
              <w:bottom w:val="single" w:sz="6" w:space="0" w:color="auto"/>
              <w:right w:val="single" w:sz="6" w:space="0" w:color="auto"/>
            </w:tcBorders>
          </w:tcPr>
          <w:p w14:paraId="3FA930A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289</w:t>
            </w:r>
          </w:p>
        </w:tc>
        <w:tc>
          <w:tcPr>
            <w:tcW w:w="567" w:type="dxa"/>
            <w:tcBorders>
              <w:top w:val="single" w:sz="6" w:space="0" w:color="auto"/>
              <w:left w:val="single" w:sz="6" w:space="0" w:color="auto"/>
              <w:bottom w:val="single" w:sz="6" w:space="0" w:color="auto"/>
              <w:right w:val="single" w:sz="6" w:space="0" w:color="auto"/>
            </w:tcBorders>
          </w:tcPr>
          <w:p w14:paraId="58BB522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w:t>
            </w:r>
          </w:p>
        </w:tc>
        <w:tc>
          <w:tcPr>
            <w:tcW w:w="567" w:type="dxa"/>
            <w:tcBorders>
              <w:top w:val="single" w:sz="6" w:space="0" w:color="auto"/>
              <w:left w:val="single" w:sz="6" w:space="0" w:color="auto"/>
              <w:bottom w:val="single" w:sz="6" w:space="0" w:color="auto"/>
              <w:right w:val="single" w:sz="6" w:space="0" w:color="auto"/>
            </w:tcBorders>
          </w:tcPr>
          <w:p w14:paraId="254A73F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w:t>
            </w:r>
          </w:p>
        </w:tc>
      </w:tr>
      <w:tr w:rsidR="00117C0D" w:rsidRPr="003954D9" w14:paraId="605B8401" w14:textId="77777777" w:rsidTr="00117C0D">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66DABDB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709" w:type="dxa"/>
            <w:tcBorders>
              <w:top w:val="single" w:sz="6" w:space="0" w:color="auto"/>
              <w:left w:val="single" w:sz="6" w:space="0" w:color="auto"/>
              <w:bottom w:val="single" w:sz="6" w:space="0" w:color="auto"/>
              <w:right w:val="single" w:sz="6" w:space="0" w:color="auto"/>
            </w:tcBorders>
          </w:tcPr>
          <w:p w14:paraId="70AE2D1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255</w:t>
            </w:r>
          </w:p>
        </w:tc>
        <w:tc>
          <w:tcPr>
            <w:tcW w:w="567" w:type="dxa"/>
            <w:tcBorders>
              <w:top w:val="single" w:sz="6" w:space="0" w:color="auto"/>
              <w:left w:val="single" w:sz="6" w:space="0" w:color="auto"/>
              <w:bottom w:val="single" w:sz="6" w:space="0" w:color="auto"/>
              <w:right w:val="single" w:sz="6" w:space="0" w:color="auto"/>
            </w:tcBorders>
          </w:tcPr>
          <w:p w14:paraId="6504A9F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w:t>
            </w:r>
          </w:p>
        </w:tc>
        <w:tc>
          <w:tcPr>
            <w:tcW w:w="567" w:type="dxa"/>
            <w:tcBorders>
              <w:top w:val="single" w:sz="6" w:space="0" w:color="auto"/>
              <w:left w:val="single" w:sz="6" w:space="0" w:color="auto"/>
              <w:bottom w:val="single" w:sz="6" w:space="0" w:color="auto"/>
              <w:right w:val="single" w:sz="6" w:space="0" w:color="auto"/>
            </w:tcBorders>
          </w:tcPr>
          <w:p w14:paraId="7EFA38A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w:t>
            </w:r>
          </w:p>
        </w:tc>
      </w:tr>
      <w:tr w:rsidR="00117C0D" w:rsidRPr="003954D9" w14:paraId="798DD27A" w14:textId="77777777" w:rsidTr="00117C0D">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31E3FC9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9" w:type="dxa"/>
            <w:tcBorders>
              <w:top w:val="single" w:sz="6" w:space="0" w:color="auto"/>
              <w:left w:val="single" w:sz="6" w:space="0" w:color="auto"/>
              <w:bottom w:val="single" w:sz="6" w:space="0" w:color="auto"/>
              <w:right w:val="single" w:sz="6" w:space="0" w:color="auto"/>
            </w:tcBorders>
          </w:tcPr>
          <w:p w14:paraId="125E321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567" w:type="dxa"/>
            <w:tcBorders>
              <w:top w:val="single" w:sz="6" w:space="0" w:color="auto"/>
              <w:left w:val="single" w:sz="6" w:space="0" w:color="auto"/>
              <w:bottom w:val="single" w:sz="6" w:space="0" w:color="auto"/>
              <w:right w:val="single" w:sz="6" w:space="0" w:color="auto"/>
            </w:tcBorders>
          </w:tcPr>
          <w:p w14:paraId="42B4017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w:t>
            </w:r>
          </w:p>
        </w:tc>
        <w:tc>
          <w:tcPr>
            <w:tcW w:w="567" w:type="dxa"/>
            <w:tcBorders>
              <w:top w:val="single" w:sz="6" w:space="0" w:color="auto"/>
              <w:left w:val="single" w:sz="6" w:space="0" w:color="auto"/>
              <w:bottom w:val="single" w:sz="6" w:space="0" w:color="auto"/>
              <w:right w:val="single" w:sz="6" w:space="0" w:color="auto"/>
            </w:tcBorders>
          </w:tcPr>
          <w:p w14:paraId="0EA8B75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w:t>
            </w:r>
          </w:p>
        </w:tc>
      </w:tr>
      <w:tr w:rsidR="00117C0D" w:rsidRPr="003954D9" w14:paraId="536987B8" w14:textId="77777777" w:rsidTr="00117C0D">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50D07EA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09" w:type="dxa"/>
            <w:tcBorders>
              <w:top w:val="single" w:sz="6" w:space="0" w:color="auto"/>
              <w:left w:val="single" w:sz="6" w:space="0" w:color="auto"/>
              <w:bottom w:val="single" w:sz="6" w:space="0" w:color="auto"/>
              <w:right w:val="single" w:sz="6" w:space="0" w:color="auto"/>
            </w:tcBorders>
          </w:tcPr>
          <w:p w14:paraId="699832C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193</w:t>
            </w:r>
          </w:p>
        </w:tc>
        <w:tc>
          <w:tcPr>
            <w:tcW w:w="567" w:type="dxa"/>
            <w:tcBorders>
              <w:top w:val="single" w:sz="6" w:space="0" w:color="auto"/>
              <w:left w:val="single" w:sz="6" w:space="0" w:color="auto"/>
              <w:bottom w:val="single" w:sz="6" w:space="0" w:color="auto"/>
              <w:right w:val="single" w:sz="6" w:space="0" w:color="auto"/>
            </w:tcBorders>
          </w:tcPr>
          <w:p w14:paraId="0EE0A8C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567" w:type="dxa"/>
            <w:tcBorders>
              <w:top w:val="single" w:sz="6" w:space="0" w:color="auto"/>
              <w:left w:val="single" w:sz="6" w:space="0" w:color="auto"/>
              <w:bottom w:val="single" w:sz="6" w:space="0" w:color="auto"/>
              <w:right w:val="single" w:sz="6" w:space="0" w:color="auto"/>
            </w:tcBorders>
          </w:tcPr>
          <w:p w14:paraId="5BB8964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w:t>
            </w:r>
          </w:p>
        </w:tc>
      </w:tr>
      <w:tr w:rsidR="00117C0D" w:rsidRPr="003954D9" w14:paraId="136A91B8" w14:textId="77777777" w:rsidTr="00117C0D">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12886F9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709" w:type="dxa"/>
            <w:tcBorders>
              <w:top w:val="single" w:sz="6" w:space="0" w:color="auto"/>
              <w:left w:val="single" w:sz="6" w:space="0" w:color="auto"/>
              <w:bottom w:val="single" w:sz="6" w:space="0" w:color="auto"/>
              <w:right w:val="single" w:sz="6" w:space="0" w:color="auto"/>
            </w:tcBorders>
          </w:tcPr>
          <w:p w14:paraId="172DD43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567" w:type="dxa"/>
            <w:tcBorders>
              <w:top w:val="single" w:sz="6" w:space="0" w:color="auto"/>
              <w:left w:val="single" w:sz="6" w:space="0" w:color="auto"/>
              <w:bottom w:val="single" w:sz="6" w:space="0" w:color="auto"/>
              <w:right w:val="single" w:sz="6" w:space="0" w:color="auto"/>
            </w:tcBorders>
          </w:tcPr>
          <w:p w14:paraId="54330C1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w:t>
            </w:r>
          </w:p>
        </w:tc>
        <w:tc>
          <w:tcPr>
            <w:tcW w:w="567" w:type="dxa"/>
            <w:tcBorders>
              <w:top w:val="single" w:sz="6" w:space="0" w:color="auto"/>
              <w:left w:val="single" w:sz="6" w:space="0" w:color="auto"/>
              <w:bottom w:val="single" w:sz="6" w:space="0" w:color="auto"/>
              <w:right w:val="single" w:sz="6" w:space="0" w:color="auto"/>
            </w:tcBorders>
          </w:tcPr>
          <w:p w14:paraId="4563741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r>
      <w:tr w:rsidR="00117C0D" w:rsidRPr="003954D9" w14:paraId="6E21D3AB" w14:textId="77777777" w:rsidTr="00117C0D">
        <w:trPr>
          <w:gridAfter w:val="1"/>
          <w:wAfter w:w="7" w:type="dxa"/>
          <w:trHeight w:val="227"/>
        </w:trPr>
        <w:tc>
          <w:tcPr>
            <w:tcW w:w="1873" w:type="dxa"/>
            <w:tcBorders>
              <w:top w:val="single" w:sz="6" w:space="0" w:color="auto"/>
              <w:left w:val="single" w:sz="6" w:space="0" w:color="auto"/>
              <w:bottom w:val="single" w:sz="6" w:space="0" w:color="auto"/>
              <w:right w:val="single" w:sz="6" w:space="0" w:color="auto"/>
            </w:tcBorders>
          </w:tcPr>
          <w:p w14:paraId="7A650C1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709" w:type="dxa"/>
            <w:tcBorders>
              <w:top w:val="single" w:sz="6" w:space="0" w:color="auto"/>
              <w:left w:val="single" w:sz="6" w:space="0" w:color="auto"/>
              <w:bottom w:val="single" w:sz="6" w:space="0" w:color="auto"/>
              <w:right w:val="single" w:sz="6" w:space="0" w:color="auto"/>
            </w:tcBorders>
          </w:tcPr>
          <w:p w14:paraId="118ED7A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567" w:type="dxa"/>
            <w:tcBorders>
              <w:top w:val="single" w:sz="6" w:space="0" w:color="auto"/>
              <w:left w:val="single" w:sz="6" w:space="0" w:color="auto"/>
              <w:bottom w:val="single" w:sz="6" w:space="0" w:color="auto"/>
              <w:right w:val="single" w:sz="6" w:space="0" w:color="auto"/>
            </w:tcBorders>
          </w:tcPr>
          <w:p w14:paraId="2FF40C2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40829F3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w:t>
            </w:r>
          </w:p>
        </w:tc>
      </w:tr>
    </w:tbl>
    <w:p w14:paraId="22C24228" w14:textId="12648B40" w:rsidR="00117C0D" w:rsidRPr="003954D9" w:rsidRDefault="00117C0D" w:rsidP="00117C0D">
      <w:pPr>
        <w:pStyle w:val="Rubrik2"/>
      </w:pPr>
      <w:bookmarkStart w:id="453" w:name="_Toc463184478"/>
      <w:bookmarkStart w:id="454" w:name="_Toc464828486"/>
      <w:r w:rsidRPr="003954D9">
        <w:t>Tabellerna 3:</w:t>
      </w:r>
      <w:r w:rsidR="00365C66" w:rsidRPr="003954D9">
        <w:t>1–3</w:t>
      </w:r>
      <w:r w:rsidRPr="003954D9">
        <w:t>:3</w:t>
      </w:r>
      <w:bookmarkEnd w:id="453"/>
      <w:bookmarkEnd w:id="454"/>
    </w:p>
    <w:p w14:paraId="1170B5E7"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3:1: Disponibel inkomst per månad och person, hushållstyp och stadsdel – medelvärden i kronor</w:t>
      </w:r>
    </w:p>
    <w:tbl>
      <w:tblPr>
        <w:tblW w:w="9528" w:type="dxa"/>
        <w:tblInd w:w="40" w:type="dxa"/>
        <w:tblLayout w:type="fixed"/>
        <w:tblCellMar>
          <w:left w:w="70" w:type="dxa"/>
          <w:right w:w="70" w:type="dxa"/>
        </w:tblCellMar>
        <w:tblLook w:val="0000" w:firstRow="0" w:lastRow="0" w:firstColumn="0" w:lastColumn="0" w:noHBand="0" w:noVBand="0"/>
      </w:tblPr>
      <w:tblGrid>
        <w:gridCol w:w="1032"/>
        <w:gridCol w:w="950"/>
        <w:gridCol w:w="821"/>
        <w:gridCol w:w="742"/>
        <w:gridCol w:w="880"/>
        <w:gridCol w:w="837"/>
        <w:gridCol w:w="855"/>
        <w:gridCol w:w="854"/>
        <w:gridCol w:w="838"/>
        <w:gridCol w:w="868"/>
        <w:gridCol w:w="851"/>
      </w:tblGrid>
      <w:tr w:rsidR="00117C0D" w:rsidRPr="003954D9" w14:paraId="723672C1"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2BFF0954"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Stadsdel</w:t>
            </w:r>
          </w:p>
        </w:tc>
        <w:tc>
          <w:tcPr>
            <w:tcW w:w="950" w:type="dxa"/>
            <w:tcBorders>
              <w:top w:val="single" w:sz="6" w:space="0" w:color="auto"/>
              <w:left w:val="single" w:sz="6" w:space="0" w:color="auto"/>
              <w:bottom w:val="single" w:sz="6" w:space="0" w:color="auto"/>
              <w:right w:val="single" w:sz="6" w:space="0" w:color="auto"/>
            </w:tcBorders>
          </w:tcPr>
          <w:p w14:paraId="7215AE02" w14:textId="5C50A0FA"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821" w:type="dxa"/>
            <w:tcBorders>
              <w:top w:val="single" w:sz="6" w:space="0" w:color="auto"/>
              <w:left w:val="single" w:sz="6" w:space="0" w:color="auto"/>
              <w:bottom w:val="single" w:sz="6" w:space="0" w:color="auto"/>
              <w:right w:val="single" w:sz="6" w:space="0" w:color="auto"/>
            </w:tcBorders>
          </w:tcPr>
          <w:p w14:paraId="44C18268" w14:textId="21F33D5E"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Ensambo u. barn </w:t>
            </w:r>
            <w:r w:rsidR="00365C66" w:rsidRPr="003954D9">
              <w:rPr>
                <w:rFonts w:ascii="Calibri" w:hAnsi="Calibri" w:cs="Calibri"/>
                <w:b/>
                <w:color w:val="000000"/>
                <w:sz w:val="16"/>
                <w:szCs w:val="16"/>
              </w:rPr>
              <w:t>65-år</w:t>
            </w:r>
          </w:p>
        </w:tc>
        <w:tc>
          <w:tcPr>
            <w:tcW w:w="742" w:type="dxa"/>
            <w:tcBorders>
              <w:top w:val="single" w:sz="6" w:space="0" w:color="auto"/>
              <w:left w:val="single" w:sz="6" w:space="0" w:color="auto"/>
              <w:bottom w:val="single" w:sz="6" w:space="0" w:color="auto"/>
              <w:right w:val="single" w:sz="6" w:space="0" w:color="auto"/>
            </w:tcBorders>
          </w:tcPr>
          <w:p w14:paraId="4EB4970A" w14:textId="0511C479"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Ensamst. m.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80" w:type="dxa"/>
            <w:tcBorders>
              <w:top w:val="single" w:sz="6" w:space="0" w:color="auto"/>
              <w:left w:val="single" w:sz="6" w:space="0" w:color="auto"/>
              <w:bottom w:val="single" w:sz="6" w:space="0" w:color="auto"/>
              <w:right w:val="single" w:sz="6" w:space="0" w:color="auto"/>
            </w:tcBorders>
          </w:tcPr>
          <w:p w14:paraId="01132A83" w14:textId="17E38ADE"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18–64</w:t>
            </w:r>
            <w:r w:rsidRPr="003954D9">
              <w:rPr>
                <w:rFonts w:ascii="Calibri" w:hAnsi="Calibri" w:cs="Calibri"/>
                <w:b/>
                <w:color w:val="000000"/>
                <w:sz w:val="16"/>
                <w:szCs w:val="16"/>
              </w:rPr>
              <w:t xml:space="preserve"> år</w:t>
            </w:r>
          </w:p>
        </w:tc>
        <w:tc>
          <w:tcPr>
            <w:tcW w:w="837" w:type="dxa"/>
            <w:tcBorders>
              <w:top w:val="single" w:sz="6" w:space="0" w:color="auto"/>
              <w:left w:val="single" w:sz="6" w:space="0" w:color="auto"/>
              <w:bottom w:val="single" w:sz="6" w:space="0" w:color="auto"/>
              <w:right w:val="single" w:sz="6" w:space="0" w:color="auto"/>
            </w:tcBorders>
          </w:tcPr>
          <w:p w14:paraId="575288D4" w14:textId="1F2B0761"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u. barn </w:t>
            </w:r>
            <w:r w:rsidR="00365C66" w:rsidRPr="003954D9">
              <w:rPr>
                <w:rFonts w:ascii="Calibri" w:hAnsi="Calibri" w:cs="Calibri"/>
                <w:b/>
                <w:color w:val="000000"/>
                <w:sz w:val="16"/>
                <w:szCs w:val="16"/>
              </w:rPr>
              <w:t>65-år</w:t>
            </w:r>
          </w:p>
        </w:tc>
        <w:tc>
          <w:tcPr>
            <w:tcW w:w="855" w:type="dxa"/>
            <w:tcBorders>
              <w:top w:val="single" w:sz="6" w:space="0" w:color="auto"/>
              <w:left w:val="single" w:sz="6" w:space="0" w:color="auto"/>
              <w:bottom w:val="single" w:sz="6" w:space="0" w:color="auto"/>
              <w:right w:val="single" w:sz="6" w:space="0" w:color="auto"/>
            </w:tcBorders>
          </w:tcPr>
          <w:p w14:paraId="1458116C" w14:textId="50FAF4A4"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1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54" w:type="dxa"/>
            <w:tcBorders>
              <w:top w:val="single" w:sz="6" w:space="0" w:color="auto"/>
              <w:left w:val="single" w:sz="6" w:space="0" w:color="auto"/>
              <w:bottom w:val="single" w:sz="6" w:space="0" w:color="auto"/>
              <w:right w:val="single" w:sz="6" w:space="0" w:color="auto"/>
            </w:tcBorders>
          </w:tcPr>
          <w:p w14:paraId="11A12A76" w14:textId="297CF90E"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Sambo m. 2 barn </w:t>
            </w:r>
            <w:r w:rsidR="00365C66" w:rsidRPr="003954D9">
              <w:rPr>
                <w:rFonts w:ascii="Calibri" w:hAnsi="Calibri" w:cs="Calibri"/>
                <w:b/>
                <w:color w:val="000000"/>
                <w:sz w:val="16"/>
                <w:szCs w:val="16"/>
              </w:rPr>
              <w:t>0–19</w:t>
            </w:r>
            <w:r w:rsidRPr="003954D9">
              <w:rPr>
                <w:rFonts w:ascii="Calibri" w:hAnsi="Calibri" w:cs="Calibri"/>
                <w:b/>
                <w:color w:val="000000"/>
                <w:sz w:val="16"/>
                <w:szCs w:val="16"/>
              </w:rPr>
              <w:t xml:space="preserve"> år</w:t>
            </w:r>
          </w:p>
        </w:tc>
        <w:tc>
          <w:tcPr>
            <w:tcW w:w="838" w:type="dxa"/>
            <w:tcBorders>
              <w:top w:val="single" w:sz="6" w:space="0" w:color="auto"/>
              <w:left w:val="single" w:sz="6" w:space="0" w:color="auto"/>
              <w:bottom w:val="single" w:sz="6" w:space="0" w:color="auto"/>
              <w:right w:val="single" w:sz="6" w:space="0" w:color="auto"/>
            </w:tcBorders>
          </w:tcPr>
          <w:p w14:paraId="6EE6BC9E" w14:textId="13E59F3D" w:rsidR="00117C0D" w:rsidRPr="003954D9" w:rsidRDefault="00D37D9E" w:rsidP="00117C0D">
            <w:pPr>
              <w:autoSpaceDE w:val="0"/>
              <w:autoSpaceDN w:val="0"/>
              <w:adjustRightInd w:val="0"/>
              <w:rPr>
                <w:rFonts w:ascii="Calibri" w:hAnsi="Calibri" w:cs="Calibri"/>
                <w:b/>
                <w:color w:val="000000"/>
                <w:sz w:val="16"/>
                <w:szCs w:val="16"/>
              </w:rPr>
            </w:pPr>
            <w:r>
              <w:rPr>
                <w:rFonts w:ascii="Calibri" w:hAnsi="Calibri" w:cs="Calibri"/>
                <w:b/>
                <w:color w:val="000000"/>
                <w:sz w:val="16"/>
                <w:szCs w:val="16"/>
              </w:rPr>
              <w:t>Sambo m. 3</w:t>
            </w:r>
            <w:r w:rsidR="00117C0D" w:rsidRPr="003954D9">
              <w:rPr>
                <w:rFonts w:ascii="Calibri" w:hAnsi="Calibri" w:cs="Calibri"/>
                <w:b/>
                <w:color w:val="000000"/>
                <w:sz w:val="16"/>
                <w:szCs w:val="16"/>
              </w:rPr>
              <w:t xml:space="preserve">- barn </w:t>
            </w:r>
            <w:r w:rsidR="00365C66" w:rsidRPr="003954D9">
              <w:rPr>
                <w:rFonts w:ascii="Calibri" w:hAnsi="Calibri" w:cs="Calibri"/>
                <w:b/>
                <w:color w:val="000000"/>
                <w:sz w:val="16"/>
                <w:szCs w:val="16"/>
              </w:rPr>
              <w:t>0–19</w:t>
            </w:r>
            <w:r w:rsidR="00117C0D" w:rsidRPr="003954D9">
              <w:rPr>
                <w:rFonts w:ascii="Calibri" w:hAnsi="Calibri" w:cs="Calibri"/>
                <w:b/>
                <w:color w:val="000000"/>
                <w:sz w:val="16"/>
                <w:szCs w:val="16"/>
              </w:rPr>
              <w:t xml:space="preserve"> år</w:t>
            </w:r>
          </w:p>
        </w:tc>
        <w:tc>
          <w:tcPr>
            <w:tcW w:w="868" w:type="dxa"/>
            <w:tcBorders>
              <w:top w:val="single" w:sz="6" w:space="0" w:color="auto"/>
              <w:left w:val="single" w:sz="6" w:space="0" w:color="auto"/>
              <w:bottom w:val="single" w:sz="6" w:space="0" w:color="auto"/>
              <w:right w:val="single" w:sz="6" w:space="0" w:color="auto"/>
            </w:tcBorders>
          </w:tcPr>
          <w:p w14:paraId="24DEEBBE"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Övr. hushåll u. barn </w:t>
            </w:r>
          </w:p>
        </w:tc>
        <w:tc>
          <w:tcPr>
            <w:tcW w:w="851" w:type="dxa"/>
            <w:tcBorders>
              <w:top w:val="single" w:sz="6" w:space="0" w:color="auto"/>
              <w:left w:val="single" w:sz="6" w:space="0" w:color="auto"/>
              <w:bottom w:val="single" w:sz="6" w:space="0" w:color="auto"/>
              <w:right w:val="single" w:sz="6" w:space="0" w:color="auto"/>
            </w:tcBorders>
          </w:tcPr>
          <w:p w14:paraId="170692B2"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Övr. hushåll m. barn</w:t>
            </w:r>
          </w:p>
        </w:tc>
      </w:tr>
      <w:tr w:rsidR="00117C0D" w:rsidRPr="003954D9" w14:paraId="72545E65"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2DDD49E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50" w:type="dxa"/>
            <w:tcBorders>
              <w:top w:val="single" w:sz="6" w:space="0" w:color="auto"/>
              <w:left w:val="single" w:sz="6" w:space="0" w:color="auto"/>
              <w:bottom w:val="single" w:sz="6" w:space="0" w:color="auto"/>
              <w:right w:val="single" w:sz="6" w:space="0" w:color="auto"/>
            </w:tcBorders>
            <w:vAlign w:val="center"/>
          </w:tcPr>
          <w:p w14:paraId="1D6808A5"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13 539</w:t>
            </w:r>
          </w:p>
        </w:tc>
        <w:tc>
          <w:tcPr>
            <w:tcW w:w="821" w:type="dxa"/>
            <w:tcBorders>
              <w:top w:val="single" w:sz="6" w:space="0" w:color="auto"/>
              <w:left w:val="single" w:sz="6" w:space="0" w:color="auto"/>
              <w:bottom w:val="single" w:sz="6" w:space="0" w:color="auto"/>
              <w:right w:val="single" w:sz="6" w:space="0" w:color="auto"/>
            </w:tcBorders>
            <w:vAlign w:val="center"/>
          </w:tcPr>
          <w:p w14:paraId="3B20557E"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11 861</w:t>
            </w:r>
          </w:p>
        </w:tc>
        <w:tc>
          <w:tcPr>
            <w:tcW w:w="742" w:type="dxa"/>
            <w:tcBorders>
              <w:top w:val="single" w:sz="6" w:space="0" w:color="auto"/>
              <w:left w:val="single" w:sz="6" w:space="0" w:color="auto"/>
              <w:bottom w:val="single" w:sz="6" w:space="0" w:color="auto"/>
              <w:right w:val="single" w:sz="6" w:space="0" w:color="auto"/>
            </w:tcBorders>
            <w:vAlign w:val="center"/>
          </w:tcPr>
          <w:p w14:paraId="627C9B69"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6 173</w:t>
            </w:r>
          </w:p>
        </w:tc>
        <w:tc>
          <w:tcPr>
            <w:tcW w:w="880" w:type="dxa"/>
            <w:tcBorders>
              <w:top w:val="single" w:sz="6" w:space="0" w:color="auto"/>
              <w:left w:val="single" w:sz="6" w:space="0" w:color="auto"/>
              <w:bottom w:val="single" w:sz="6" w:space="0" w:color="auto"/>
              <w:right w:val="single" w:sz="6" w:space="0" w:color="auto"/>
            </w:tcBorders>
            <w:vAlign w:val="center"/>
          </w:tcPr>
          <w:p w14:paraId="616306C6"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11 867</w:t>
            </w:r>
          </w:p>
        </w:tc>
        <w:tc>
          <w:tcPr>
            <w:tcW w:w="837" w:type="dxa"/>
            <w:tcBorders>
              <w:top w:val="single" w:sz="6" w:space="0" w:color="auto"/>
              <w:left w:val="single" w:sz="6" w:space="0" w:color="auto"/>
              <w:bottom w:val="single" w:sz="6" w:space="0" w:color="auto"/>
              <w:right w:val="single" w:sz="6" w:space="0" w:color="auto"/>
            </w:tcBorders>
            <w:vAlign w:val="center"/>
          </w:tcPr>
          <w:p w14:paraId="2F07CEE5"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9 598</w:t>
            </w:r>
          </w:p>
        </w:tc>
        <w:tc>
          <w:tcPr>
            <w:tcW w:w="855" w:type="dxa"/>
            <w:tcBorders>
              <w:top w:val="single" w:sz="6" w:space="0" w:color="auto"/>
              <w:left w:val="single" w:sz="6" w:space="0" w:color="auto"/>
              <w:bottom w:val="single" w:sz="6" w:space="0" w:color="auto"/>
              <w:right w:val="single" w:sz="6" w:space="0" w:color="auto"/>
            </w:tcBorders>
            <w:vAlign w:val="center"/>
          </w:tcPr>
          <w:p w14:paraId="5998EF6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8 921</w:t>
            </w:r>
          </w:p>
        </w:tc>
        <w:tc>
          <w:tcPr>
            <w:tcW w:w="854" w:type="dxa"/>
            <w:tcBorders>
              <w:top w:val="single" w:sz="6" w:space="0" w:color="auto"/>
              <w:left w:val="single" w:sz="6" w:space="0" w:color="auto"/>
              <w:bottom w:val="single" w:sz="6" w:space="0" w:color="auto"/>
              <w:right w:val="single" w:sz="6" w:space="0" w:color="auto"/>
            </w:tcBorders>
            <w:vAlign w:val="center"/>
          </w:tcPr>
          <w:p w14:paraId="5B25DFF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7 040</w:t>
            </w:r>
          </w:p>
        </w:tc>
        <w:tc>
          <w:tcPr>
            <w:tcW w:w="838" w:type="dxa"/>
            <w:tcBorders>
              <w:top w:val="single" w:sz="6" w:space="0" w:color="auto"/>
              <w:left w:val="single" w:sz="6" w:space="0" w:color="auto"/>
              <w:bottom w:val="single" w:sz="6" w:space="0" w:color="auto"/>
              <w:right w:val="single" w:sz="6" w:space="0" w:color="auto"/>
            </w:tcBorders>
            <w:vAlign w:val="center"/>
          </w:tcPr>
          <w:p w14:paraId="570E0FD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5 568</w:t>
            </w:r>
          </w:p>
        </w:tc>
        <w:tc>
          <w:tcPr>
            <w:tcW w:w="868" w:type="dxa"/>
            <w:tcBorders>
              <w:top w:val="single" w:sz="6" w:space="0" w:color="auto"/>
              <w:left w:val="single" w:sz="6" w:space="0" w:color="auto"/>
              <w:bottom w:val="single" w:sz="6" w:space="0" w:color="auto"/>
              <w:right w:val="single" w:sz="6" w:space="0" w:color="auto"/>
            </w:tcBorders>
            <w:vAlign w:val="center"/>
          </w:tcPr>
          <w:p w14:paraId="5182E11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11 275</w:t>
            </w:r>
          </w:p>
        </w:tc>
        <w:tc>
          <w:tcPr>
            <w:tcW w:w="851" w:type="dxa"/>
            <w:tcBorders>
              <w:top w:val="single" w:sz="6" w:space="0" w:color="auto"/>
              <w:left w:val="single" w:sz="6" w:space="0" w:color="auto"/>
              <w:bottom w:val="single" w:sz="6" w:space="0" w:color="auto"/>
              <w:right w:val="single" w:sz="6" w:space="0" w:color="auto"/>
            </w:tcBorders>
            <w:vAlign w:val="center"/>
          </w:tcPr>
          <w:p w14:paraId="2502AA84"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7 771</w:t>
            </w:r>
          </w:p>
        </w:tc>
      </w:tr>
      <w:tr w:rsidR="00117C0D" w:rsidRPr="003954D9" w14:paraId="422A8B94"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29B63DB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950" w:type="dxa"/>
            <w:tcBorders>
              <w:top w:val="single" w:sz="6" w:space="0" w:color="auto"/>
              <w:left w:val="single" w:sz="6" w:space="0" w:color="auto"/>
              <w:bottom w:val="single" w:sz="6" w:space="0" w:color="auto"/>
              <w:right w:val="single" w:sz="6" w:space="0" w:color="auto"/>
            </w:tcBorders>
            <w:vAlign w:val="center"/>
          </w:tcPr>
          <w:p w14:paraId="4F6AFE4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16 432</w:t>
            </w:r>
          </w:p>
        </w:tc>
        <w:tc>
          <w:tcPr>
            <w:tcW w:w="821" w:type="dxa"/>
            <w:tcBorders>
              <w:top w:val="single" w:sz="6" w:space="0" w:color="auto"/>
              <w:left w:val="single" w:sz="6" w:space="0" w:color="auto"/>
              <w:bottom w:val="single" w:sz="6" w:space="0" w:color="auto"/>
              <w:right w:val="single" w:sz="6" w:space="0" w:color="auto"/>
            </w:tcBorders>
            <w:vAlign w:val="center"/>
          </w:tcPr>
          <w:p w14:paraId="56A9F7B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13 750</w:t>
            </w:r>
          </w:p>
        </w:tc>
        <w:tc>
          <w:tcPr>
            <w:tcW w:w="742" w:type="dxa"/>
            <w:tcBorders>
              <w:top w:val="single" w:sz="6" w:space="0" w:color="auto"/>
              <w:left w:val="single" w:sz="6" w:space="0" w:color="auto"/>
              <w:bottom w:val="single" w:sz="6" w:space="0" w:color="auto"/>
              <w:right w:val="single" w:sz="6" w:space="0" w:color="auto"/>
            </w:tcBorders>
            <w:vAlign w:val="center"/>
          </w:tcPr>
          <w:p w14:paraId="5190B5A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8 008</w:t>
            </w:r>
          </w:p>
        </w:tc>
        <w:tc>
          <w:tcPr>
            <w:tcW w:w="880" w:type="dxa"/>
            <w:tcBorders>
              <w:top w:val="single" w:sz="6" w:space="0" w:color="auto"/>
              <w:left w:val="single" w:sz="6" w:space="0" w:color="auto"/>
              <w:bottom w:val="single" w:sz="6" w:space="0" w:color="auto"/>
              <w:right w:val="single" w:sz="6" w:space="0" w:color="auto"/>
            </w:tcBorders>
            <w:vAlign w:val="center"/>
          </w:tcPr>
          <w:p w14:paraId="37953B1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15 891</w:t>
            </w:r>
          </w:p>
        </w:tc>
        <w:tc>
          <w:tcPr>
            <w:tcW w:w="837" w:type="dxa"/>
            <w:tcBorders>
              <w:top w:val="single" w:sz="6" w:space="0" w:color="auto"/>
              <w:left w:val="single" w:sz="6" w:space="0" w:color="auto"/>
              <w:bottom w:val="single" w:sz="6" w:space="0" w:color="auto"/>
              <w:right w:val="single" w:sz="6" w:space="0" w:color="auto"/>
            </w:tcBorders>
            <w:vAlign w:val="center"/>
          </w:tcPr>
          <w:p w14:paraId="73085AA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12 774</w:t>
            </w:r>
          </w:p>
        </w:tc>
        <w:tc>
          <w:tcPr>
            <w:tcW w:w="855" w:type="dxa"/>
            <w:tcBorders>
              <w:top w:val="single" w:sz="6" w:space="0" w:color="auto"/>
              <w:left w:val="single" w:sz="6" w:space="0" w:color="auto"/>
              <w:bottom w:val="single" w:sz="6" w:space="0" w:color="auto"/>
              <w:right w:val="single" w:sz="6" w:space="0" w:color="auto"/>
            </w:tcBorders>
            <w:vAlign w:val="center"/>
          </w:tcPr>
          <w:p w14:paraId="228BE56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11 533</w:t>
            </w:r>
          </w:p>
        </w:tc>
        <w:tc>
          <w:tcPr>
            <w:tcW w:w="854" w:type="dxa"/>
            <w:tcBorders>
              <w:top w:val="single" w:sz="6" w:space="0" w:color="auto"/>
              <w:left w:val="single" w:sz="6" w:space="0" w:color="auto"/>
              <w:bottom w:val="single" w:sz="6" w:space="0" w:color="auto"/>
              <w:right w:val="single" w:sz="6" w:space="0" w:color="auto"/>
            </w:tcBorders>
            <w:vAlign w:val="center"/>
          </w:tcPr>
          <w:p w14:paraId="6BECAE1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8 582</w:t>
            </w:r>
          </w:p>
        </w:tc>
        <w:tc>
          <w:tcPr>
            <w:tcW w:w="838" w:type="dxa"/>
            <w:tcBorders>
              <w:top w:val="single" w:sz="6" w:space="0" w:color="auto"/>
              <w:left w:val="single" w:sz="6" w:space="0" w:color="auto"/>
              <w:bottom w:val="single" w:sz="6" w:space="0" w:color="auto"/>
              <w:right w:val="single" w:sz="6" w:space="0" w:color="auto"/>
            </w:tcBorders>
            <w:vAlign w:val="center"/>
          </w:tcPr>
          <w:p w14:paraId="71E02E2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6 185</w:t>
            </w:r>
          </w:p>
        </w:tc>
        <w:tc>
          <w:tcPr>
            <w:tcW w:w="868" w:type="dxa"/>
            <w:tcBorders>
              <w:top w:val="single" w:sz="6" w:space="0" w:color="auto"/>
              <w:left w:val="single" w:sz="6" w:space="0" w:color="auto"/>
              <w:bottom w:val="single" w:sz="6" w:space="0" w:color="auto"/>
              <w:right w:val="single" w:sz="6" w:space="0" w:color="auto"/>
            </w:tcBorders>
            <w:vAlign w:val="center"/>
          </w:tcPr>
          <w:p w14:paraId="4057812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12 401</w:t>
            </w:r>
          </w:p>
        </w:tc>
        <w:tc>
          <w:tcPr>
            <w:tcW w:w="851" w:type="dxa"/>
            <w:tcBorders>
              <w:top w:val="single" w:sz="6" w:space="0" w:color="auto"/>
              <w:left w:val="single" w:sz="6" w:space="0" w:color="auto"/>
              <w:bottom w:val="single" w:sz="6" w:space="0" w:color="auto"/>
              <w:right w:val="single" w:sz="6" w:space="0" w:color="auto"/>
            </w:tcBorders>
            <w:vAlign w:val="center"/>
          </w:tcPr>
          <w:p w14:paraId="7803BB0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10 977</w:t>
            </w:r>
          </w:p>
        </w:tc>
      </w:tr>
      <w:tr w:rsidR="00117C0D" w:rsidRPr="003954D9" w14:paraId="028D1D8F"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753981C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950" w:type="dxa"/>
            <w:tcBorders>
              <w:top w:val="single" w:sz="6" w:space="0" w:color="auto"/>
              <w:left w:val="single" w:sz="6" w:space="0" w:color="auto"/>
              <w:bottom w:val="single" w:sz="6" w:space="0" w:color="auto"/>
              <w:right w:val="single" w:sz="6" w:space="0" w:color="auto"/>
            </w:tcBorders>
            <w:vAlign w:val="center"/>
          </w:tcPr>
          <w:p w14:paraId="3A35C24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17 209</w:t>
            </w:r>
          </w:p>
        </w:tc>
        <w:tc>
          <w:tcPr>
            <w:tcW w:w="821" w:type="dxa"/>
            <w:tcBorders>
              <w:top w:val="single" w:sz="6" w:space="0" w:color="auto"/>
              <w:left w:val="single" w:sz="6" w:space="0" w:color="auto"/>
              <w:bottom w:val="single" w:sz="6" w:space="0" w:color="auto"/>
              <w:right w:val="single" w:sz="6" w:space="0" w:color="auto"/>
            </w:tcBorders>
            <w:vAlign w:val="center"/>
          </w:tcPr>
          <w:p w14:paraId="3B6A32B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15 492</w:t>
            </w:r>
          </w:p>
        </w:tc>
        <w:tc>
          <w:tcPr>
            <w:tcW w:w="742" w:type="dxa"/>
            <w:tcBorders>
              <w:top w:val="single" w:sz="6" w:space="0" w:color="auto"/>
              <w:left w:val="single" w:sz="6" w:space="0" w:color="auto"/>
              <w:bottom w:val="single" w:sz="6" w:space="0" w:color="auto"/>
              <w:right w:val="single" w:sz="6" w:space="0" w:color="auto"/>
            </w:tcBorders>
            <w:vAlign w:val="center"/>
          </w:tcPr>
          <w:p w14:paraId="7428A764"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9 661</w:t>
            </w:r>
          </w:p>
        </w:tc>
        <w:tc>
          <w:tcPr>
            <w:tcW w:w="880" w:type="dxa"/>
            <w:tcBorders>
              <w:top w:val="single" w:sz="6" w:space="0" w:color="auto"/>
              <w:left w:val="single" w:sz="6" w:space="0" w:color="auto"/>
              <w:bottom w:val="single" w:sz="6" w:space="0" w:color="auto"/>
              <w:right w:val="single" w:sz="6" w:space="0" w:color="auto"/>
            </w:tcBorders>
            <w:vAlign w:val="center"/>
          </w:tcPr>
          <w:p w14:paraId="56AA8C6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18 202</w:t>
            </w:r>
          </w:p>
        </w:tc>
        <w:tc>
          <w:tcPr>
            <w:tcW w:w="837" w:type="dxa"/>
            <w:tcBorders>
              <w:top w:val="single" w:sz="6" w:space="0" w:color="auto"/>
              <w:left w:val="single" w:sz="6" w:space="0" w:color="auto"/>
              <w:bottom w:val="single" w:sz="6" w:space="0" w:color="auto"/>
              <w:right w:val="single" w:sz="6" w:space="0" w:color="auto"/>
            </w:tcBorders>
            <w:vAlign w:val="center"/>
          </w:tcPr>
          <w:p w14:paraId="67D94CF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15 831</w:t>
            </w:r>
          </w:p>
        </w:tc>
        <w:tc>
          <w:tcPr>
            <w:tcW w:w="855" w:type="dxa"/>
            <w:tcBorders>
              <w:top w:val="single" w:sz="6" w:space="0" w:color="auto"/>
              <w:left w:val="single" w:sz="6" w:space="0" w:color="auto"/>
              <w:bottom w:val="single" w:sz="6" w:space="0" w:color="auto"/>
              <w:right w:val="single" w:sz="6" w:space="0" w:color="auto"/>
            </w:tcBorders>
            <w:vAlign w:val="center"/>
          </w:tcPr>
          <w:p w14:paraId="166AA21C"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13 273</w:t>
            </w:r>
          </w:p>
        </w:tc>
        <w:tc>
          <w:tcPr>
            <w:tcW w:w="854" w:type="dxa"/>
            <w:tcBorders>
              <w:top w:val="single" w:sz="6" w:space="0" w:color="auto"/>
              <w:left w:val="single" w:sz="6" w:space="0" w:color="auto"/>
              <w:bottom w:val="single" w:sz="6" w:space="0" w:color="auto"/>
              <w:right w:val="single" w:sz="6" w:space="0" w:color="auto"/>
            </w:tcBorders>
            <w:vAlign w:val="center"/>
          </w:tcPr>
          <w:p w14:paraId="13D9C1C0"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11 417</w:t>
            </w:r>
          </w:p>
        </w:tc>
        <w:tc>
          <w:tcPr>
            <w:tcW w:w="838" w:type="dxa"/>
            <w:tcBorders>
              <w:top w:val="single" w:sz="6" w:space="0" w:color="auto"/>
              <w:left w:val="single" w:sz="6" w:space="0" w:color="auto"/>
              <w:bottom w:val="single" w:sz="6" w:space="0" w:color="auto"/>
              <w:right w:val="single" w:sz="6" w:space="0" w:color="auto"/>
            </w:tcBorders>
            <w:vAlign w:val="center"/>
          </w:tcPr>
          <w:p w14:paraId="23EA915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8 055</w:t>
            </w:r>
          </w:p>
        </w:tc>
        <w:tc>
          <w:tcPr>
            <w:tcW w:w="868" w:type="dxa"/>
            <w:tcBorders>
              <w:top w:val="single" w:sz="6" w:space="0" w:color="auto"/>
              <w:left w:val="single" w:sz="6" w:space="0" w:color="auto"/>
              <w:bottom w:val="single" w:sz="6" w:space="0" w:color="auto"/>
              <w:right w:val="single" w:sz="6" w:space="0" w:color="auto"/>
            </w:tcBorders>
            <w:vAlign w:val="center"/>
          </w:tcPr>
          <w:p w14:paraId="78D7292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14 624</w:t>
            </w:r>
          </w:p>
        </w:tc>
        <w:tc>
          <w:tcPr>
            <w:tcW w:w="851" w:type="dxa"/>
            <w:tcBorders>
              <w:top w:val="single" w:sz="6" w:space="0" w:color="auto"/>
              <w:left w:val="single" w:sz="6" w:space="0" w:color="auto"/>
              <w:bottom w:val="single" w:sz="6" w:space="0" w:color="auto"/>
              <w:right w:val="single" w:sz="6" w:space="0" w:color="auto"/>
            </w:tcBorders>
            <w:vAlign w:val="center"/>
          </w:tcPr>
          <w:p w14:paraId="71526F8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13 242</w:t>
            </w:r>
          </w:p>
        </w:tc>
      </w:tr>
      <w:tr w:rsidR="00117C0D" w:rsidRPr="003954D9" w14:paraId="681DF1CE"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7AB39B2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950" w:type="dxa"/>
            <w:tcBorders>
              <w:top w:val="single" w:sz="6" w:space="0" w:color="auto"/>
              <w:left w:val="single" w:sz="6" w:space="0" w:color="auto"/>
              <w:bottom w:val="single" w:sz="6" w:space="0" w:color="auto"/>
              <w:right w:val="single" w:sz="6" w:space="0" w:color="auto"/>
            </w:tcBorders>
            <w:vAlign w:val="center"/>
          </w:tcPr>
          <w:p w14:paraId="575383A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15 538</w:t>
            </w:r>
          </w:p>
        </w:tc>
        <w:tc>
          <w:tcPr>
            <w:tcW w:w="821" w:type="dxa"/>
            <w:tcBorders>
              <w:top w:val="single" w:sz="6" w:space="0" w:color="auto"/>
              <w:left w:val="single" w:sz="6" w:space="0" w:color="auto"/>
              <w:bottom w:val="single" w:sz="6" w:space="0" w:color="auto"/>
              <w:right w:val="single" w:sz="6" w:space="0" w:color="auto"/>
            </w:tcBorders>
            <w:vAlign w:val="center"/>
          </w:tcPr>
          <w:p w14:paraId="39EE8AD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13 476</w:t>
            </w:r>
          </w:p>
        </w:tc>
        <w:tc>
          <w:tcPr>
            <w:tcW w:w="742" w:type="dxa"/>
            <w:tcBorders>
              <w:top w:val="single" w:sz="6" w:space="0" w:color="auto"/>
              <w:left w:val="single" w:sz="6" w:space="0" w:color="auto"/>
              <w:bottom w:val="single" w:sz="6" w:space="0" w:color="auto"/>
              <w:right w:val="single" w:sz="6" w:space="0" w:color="auto"/>
            </w:tcBorders>
            <w:vAlign w:val="center"/>
          </w:tcPr>
          <w:p w14:paraId="0F51268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7 224</w:t>
            </w:r>
          </w:p>
        </w:tc>
        <w:tc>
          <w:tcPr>
            <w:tcW w:w="880" w:type="dxa"/>
            <w:tcBorders>
              <w:top w:val="single" w:sz="6" w:space="0" w:color="auto"/>
              <w:left w:val="single" w:sz="6" w:space="0" w:color="auto"/>
              <w:bottom w:val="single" w:sz="6" w:space="0" w:color="auto"/>
              <w:right w:val="single" w:sz="6" w:space="0" w:color="auto"/>
            </w:tcBorders>
            <w:vAlign w:val="center"/>
          </w:tcPr>
          <w:p w14:paraId="374013B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15 372</w:t>
            </w:r>
          </w:p>
        </w:tc>
        <w:tc>
          <w:tcPr>
            <w:tcW w:w="837" w:type="dxa"/>
            <w:tcBorders>
              <w:top w:val="single" w:sz="6" w:space="0" w:color="auto"/>
              <w:left w:val="single" w:sz="6" w:space="0" w:color="auto"/>
              <w:bottom w:val="single" w:sz="6" w:space="0" w:color="auto"/>
              <w:right w:val="single" w:sz="6" w:space="0" w:color="auto"/>
            </w:tcBorders>
            <w:vAlign w:val="center"/>
          </w:tcPr>
          <w:p w14:paraId="3041F57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10 829</w:t>
            </w:r>
          </w:p>
        </w:tc>
        <w:tc>
          <w:tcPr>
            <w:tcW w:w="855" w:type="dxa"/>
            <w:tcBorders>
              <w:top w:val="single" w:sz="6" w:space="0" w:color="auto"/>
              <w:left w:val="single" w:sz="6" w:space="0" w:color="auto"/>
              <w:bottom w:val="single" w:sz="6" w:space="0" w:color="auto"/>
              <w:right w:val="single" w:sz="6" w:space="0" w:color="auto"/>
            </w:tcBorders>
            <w:vAlign w:val="center"/>
          </w:tcPr>
          <w:p w14:paraId="6D723B0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9 180</w:t>
            </w:r>
          </w:p>
        </w:tc>
        <w:tc>
          <w:tcPr>
            <w:tcW w:w="854" w:type="dxa"/>
            <w:tcBorders>
              <w:top w:val="single" w:sz="6" w:space="0" w:color="auto"/>
              <w:left w:val="single" w:sz="6" w:space="0" w:color="auto"/>
              <w:bottom w:val="single" w:sz="6" w:space="0" w:color="auto"/>
              <w:right w:val="single" w:sz="6" w:space="0" w:color="auto"/>
            </w:tcBorders>
            <w:vAlign w:val="center"/>
          </w:tcPr>
          <w:p w14:paraId="524F7E3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8 003</w:t>
            </w:r>
          </w:p>
        </w:tc>
        <w:tc>
          <w:tcPr>
            <w:tcW w:w="838" w:type="dxa"/>
            <w:tcBorders>
              <w:top w:val="single" w:sz="6" w:space="0" w:color="auto"/>
              <w:left w:val="single" w:sz="6" w:space="0" w:color="auto"/>
              <w:bottom w:val="single" w:sz="6" w:space="0" w:color="auto"/>
              <w:right w:val="single" w:sz="6" w:space="0" w:color="auto"/>
            </w:tcBorders>
            <w:vAlign w:val="center"/>
          </w:tcPr>
          <w:p w14:paraId="4EA9FBC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6 380</w:t>
            </w:r>
          </w:p>
        </w:tc>
        <w:tc>
          <w:tcPr>
            <w:tcW w:w="868" w:type="dxa"/>
            <w:tcBorders>
              <w:top w:val="single" w:sz="6" w:space="0" w:color="auto"/>
              <w:left w:val="single" w:sz="6" w:space="0" w:color="auto"/>
              <w:bottom w:val="single" w:sz="6" w:space="0" w:color="auto"/>
              <w:right w:val="single" w:sz="6" w:space="0" w:color="auto"/>
            </w:tcBorders>
            <w:vAlign w:val="center"/>
          </w:tcPr>
          <w:p w14:paraId="6A2D5F3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12 283</w:t>
            </w:r>
          </w:p>
        </w:tc>
        <w:tc>
          <w:tcPr>
            <w:tcW w:w="851" w:type="dxa"/>
            <w:tcBorders>
              <w:top w:val="single" w:sz="6" w:space="0" w:color="auto"/>
              <w:left w:val="single" w:sz="6" w:space="0" w:color="auto"/>
              <w:bottom w:val="single" w:sz="6" w:space="0" w:color="auto"/>
              <w:right w:val="single" w:sz="6" w:space="0" w:color="auto"/>
            </w:tcBorders>
            <w:vAlign w:val="center"/>
          </w:tcPr>
          <w:p w14:paraId="69AB350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9 844</w:t>
            </w:r>
          </w:p>
        </w:tc>
      </w:tr>
      <w:tr w:rsidR="00117C0D" w:rsidRPr="003954D9" w14:paraId="750794D5"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5FD268B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Majorna-Linne</w:t>
            </w:r>
          </w:p>
        </w:tc>
        <w:tc>
          <w:tcPr>
            <w:tcW w:w="950" w:type="dxa"/>
            <w:tcBorders>
              <w:top w:val="single" w:sz="6" w:space="0" w:color="auto"/>
              <w:left w:val="single" w:sz="6" w:space="0" w:color="auto"/>
              <w:bottom w:val="single" w:sz="6" w:space="0" w:color="auto"/>
              <w:right w:val="single" w:sz="6" w:space="0" w:color="auto"/>
            </w:tcBorders>
            <w:vAlign w:val="center"/>
          </w:tcPr>
          <w:p w14:paraId="260912F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17 964</w:t>
            </w:r>
          </w:p>
        </w:tc>
        <w:tc>
          <w:tcPr>
            <w:tcW w:w="821" w:type="dxa"/>
            <w:tcBorders>
              <w:top w:val="single" w:sz="6" w:space="0" w:color="auto"/>
              <w:left w:val="single" w:sz="6" w:space="0" w:color="auto"/>
              <w:bottom w:val="single" w:sz="6" w:space="0" w:color="auto"/>
              <w:right w:val="single" w:sz="6" w:space="0" w:color="auto"/>
            </w:tcBorders>
            <w:vAlign w:val="center"/>
          </w:tcPr>
          <w:p w14:paraId="452A8F8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15 987</w:t>
            </w:r>
          </w:p>
        </w:tc>
        <w:tc>
          <w:tcPr>
            <w:tcW w:w="742" w:type="dxa"/>
            <w:tcBorders>
              <w:top w:val="single" w:sz="6" w:space="0" w:color="auto"/>
              <w:left w:val="single" w:sz="6" w:space="0" w:color="auto"/>
              <w:bottom w:val="single" w:sz="6" w:space="0" w:color="auto"/>
              <w:right w:val="single" w:sz="6" w:space="0" w:color="auto"/>
            </w:tcBorders>
            <w:vAlign w:val="center"/>
          </w:tcPr>
          <w:p w14:paraId="0CD15EE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9 526</w:t>
            </w:r>
          </w:p>
        </w:tc>
        <w:tc>
          <w:tcPr>
            <w:tcW w:w="880" w:type="dxa"/>
            <w:tcBorders>
              <w:top w:val="single" w:sz="6" w:space="0" w:color="auto"/>
              <w:left w:val="single" w:sz="6" w:space="0" w:color="auto"/>
              <w:bottom w:val="single" w:sz="6" w:space="0" w:color="auto"/>
              <w:right w:val="single" w:sz="6" w:space="0" w:color="auto"/>
            </w:tcBorders>
            <w:vAlign w:val="center"/>
          </w:tcPr>
          <w:p w14:paraId="573184A0"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18 516</w:t>
            </w:r>
          </w:p>
        </w:tc>
        <w:tc>
          <w:tcPr>
            <w:tcW w:w="837" w:type="dxa"/>
            <w:tcBorders>
              <w:top w:val="single" w:sz="6" w:space="0" w:color="auto"/>
              <w:left w:val="single" w:sz="6" w:space="0" w:color="auto"/>
              <w:bottom w:val="single" w:sz="6" w:space="0" w:color="auto"/>
              <w:right w:val="single" w:sz="6" w:space="0" w:color="auto"/>
            </w:tcBorders>
            <w:vAlign w:val="center"/>
          </w:tcPr>
          <w:p w14:paraId="21B9D26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17 414</w:t>
            </w:r>
          </w:p>
        </w:tc>
        <w:tc>
          <w:tcPr>
            <w:tcW w:w="855" w:type="dxa"/>
            <w:tcBorders>
              <w:top w:val="single" w:sz="6" w:space="0" w:color="auto"/>
              <w:left w:val="single" w:sz="6" w:space="0" w:color="auto"/>
              <w:bottom w:val="single" w:sz="6" w:space="0" w:color="auto"/>
              <w:right w:val="single" w:sz="6" w:space="0" w:color="auto"/>
            </w:tcBorders>
            <w:vAlign w:val="center"/>
          </w:tcPr>
          <w:p w14:paraId="70C8AE6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12 811</w:t>
            </w:r>
          </w:p>
        </w:tc>
        <w:tc>
          <w:tcPr>
            <w:tcW w:w="854" w:type="dxa"/>
            <w:tcBorders>
              <w:top w:val="single" w:sz="6" w:space="0" w:color="auto"/>
              <w:left w:val="single" w:sz="6" w:space="0" w:color="auto"/>
              <w:bottom w:val="single" w:sz="6" w:space="0" w:color="auto"/>
              <w:right w:val="single" w:sz="6" w:space="0" w:color="auto"/>
            </w:tcBorders>
            <w:vAlign w:val="center"/>
          </w:tcPr>
          <w:p w14:paraId="5DD8679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10 652</w:t>
            </w:r>
          </w:p>
        </w:tc>
        <w:tc>
          <w:tcPr>
            <w:tcW w:w="838" w:type="dxa"/>
            <w:tcBorders>
              <w:top w:val="single" w:sz="6" w:space="0" w:color="auto"/>
              <w:left w:val="single" w:sz="6" w:space="0" w:color="auto"/>
              <w:bottom w:val="single" w:sz="6" w:space="0" w:color="auto"/>
              <w:right w:val="single" w:sz="6" w:space="0" w:color="auto"/>
            </w:tcBorders>
            <w:vAlign w:val="center"/>
          </w:tcPr>
          <w:p w14:paraId="520BA79C"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8 824</w:t>
            </w:r>
          </w:p>
        </w:tc>
        <w:tc>
          <w:tcPr>
            <w:tcW w:w="868" w:type="dxa"/>
            <w:tcBorders>
              <w:top w:val="single" w:sz="6" w:space="0" w:color="auto"/>
              <w:left w:val="single" w:sz="6" w:space="0" w:color="auto"/>
              <w:bottom w:val="single" w:sz="6" w:space="0" w:color="auto"/>
              <w:right w:val="single" w:sz="6" w:space="0" w:color="auto"/>
            </w:tcBorders>
            <w:vAlign w:val="center"/>
          </w:tcPr>
          <w:p w14:paraId="2429E0A5"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15 449</w:t>
            </w:r>
          </w:p>
        </w:tc>
        <w:tc>
          <w:tcPr>
            <w:tcW w:w="851" w:type="dxa"/>
            <w:tcBorders>
              <w:top w:val="single" w:sz="6" w:space="0" w:color="auto"/>
              <w:left w:val="single" w:sz="6" w:space="0" w:color="auto"/>
              <w:bottom w:val="single" w:sz="6" w:space="0" w:color="auto"/>
              <w:right w:val="single" w:sz="6" w:space="0" w:color="auto"/>
            </w:tcBorders>
            <w:vAlign w:val="center"/>
          </w:tcPr>
          <w:p w14:paraId="759BCCAA"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13 117</w:t>
            </w:r>
          </w:p>
        </w:tc>
      </w:tr>
      <w:tr w:rsidR="00117C0D" w:rsidRPr="003954D9" w14:paraId="3E2A2D44"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3EE5B1F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950" w:type="dxa"/>
            <w:tcBorders>
              <w:top w:val="single" w:sz="6" w:space="0" w:color="auto"/>
              <w:left w:val="single" w:sz="6" w:space="0" w:color="auto"/>
              <w:bottom w:val="single" w:sz="6" w:space="0" w:color="auto"/>
              <w:right w:val="single" w:sz="6" w:space="0" w:color="auto"/>
            </w:tcBorders>
            <w:vAlign w:val="center"/>
          </w:tcPr>
          <w:p w14:paraId="0CE9B4B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16 107</w:t>
            </w:r>
          </w:p>
        </w:tc>
        <w:tc>
          <w:tcPr>
            <w:tcW w:w="821" w:type="dxa"/>
            <w:tcBorders>
              <w:top w:val="single" w:sz="6" w:space="0" w:color="auto"/>
              <w:left w:val="single" w:sz="6" w:space="0" w:color="auto"/>
              <w:bottom w:val="single" w:sz="6" w:space="0" w:color="auto"/>
              <w:right w:val="single" w:sz="6" w:space="0" w:color="auto"/>
            </w:tcBorders>
            <w:vAlign w:val="center"/>
          </w:tcPr>
          <w:p w14:paraId="7CC7863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12 974</w:t>
            </w:r>
          </w:p>
        </w:tc>
        <w:tc>
          <w:tcPr>
            <w:tcW w:w="742" w:type="dxa"/>
            <w:tcBorders>
              <w:top w:val="single" w:sz="6" w:space="0" w:color="auto"/>
              <w:left w:val="single" w:sz="6" w:space="0" w:color="auto"/>
              <w:bottom w:val="single" w:sz="6" w:space="0" w:color="auto"/>
              <w:right w:val="single" w:sz="6" w:space="0" w:color="auto"/>
            </w:tcBorders>
            <w:vAlign w:val="center"/>
          </w:tcPr>
          <w:p w14:paraId="0D7581E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7 308</w:t>
            </w:r>
          </w:p>
        </w:tc>
        <w:tc>
          <w:tcPr>
            <w:tcW w:w="880" w:type="dxa"/>
            <w:tcBorders>
              <w:top w:val="single" w:sz="6" w:space="0" w:color="auto"/>
              <w:left w:val="single" w:sz="6" w:space="0" w:color="auto"/>
              <w:bottom w:val="single" w:sz="6" w:space="0" w:color="auto"/>
              <w:right w:val="single" w:sz="6" w:space="0" w:color="auto"/>
            </w:tcBorders>
            <w:vAlign w:val="center"/>
          </w:tcPr>
          <w:p w14:paraId="7004D66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13 586</w:t>
            </w:r>
          </w:p>
        </w:tc>
        <w:tc>
          <w:tcPr>
            <w:tcW w:w="837" w:type="dxa"/>
            <w:tcBorders>
              <w:top w:val="single" w:sz="6" w:space="0" w:color="auto"/>
              <w:left w:val="single" w:sz="6" w:space="0" w:color="auto"/>
              <w:bottom w:val="single" w:sz="6" w:space="0" w:color="auto"/>
              <w:right w:val="single" w:sz="6" w:space="0" w:color="auto"/>
            </w:tcBorders>
            <w:vAlign w:val="center"/>
          </w:tcPr>
          <w:p w14:paraId="04A3023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12 217</w:t>
            </w:r>
          </w:p>
        </w:tc>
        <w:tc>
          <w:tcPr>
            <w:tcW w:w="855" w:type="dxa"/>
            <w:tcBorders>
              <w:top w:val="single" w:sz="6" w:space="0" w:color="auto"/>
              <w:left w:val="single" w:sz="6" w:space="0" w:color="auto"/>
              <w:bottom w:val="single" w:sz="6" w:space="0" w:color="auto"/>
              <w:right w:val="single" w:sz="6" w:space="0" w:color="auto"/>
            </w:tcBorders>
            <w:vAlign w:val="center"/>
          </w:tcPr>
          <w:p w14:paraId="7C97EF8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9 625</w:t>
            </w:r>
          </w:p>
        </w:tc>
        <w:tc>
          <w:tcPr>
            <w:tcW w:w="854" w:type="dxa"/>
            <w:tcBorders>
              <w:top w:val="single" w:sz="6" w:space="0" w:color="auto"/>
              <w:left w:val="single" w:sz="6" w:space="0" w:color="auto"/>
              <w:bottom w:val="single" w:sz="6" w:space="0" w:color="auto"/>
              <w:right w:val="single" w:sz="6" w:space="0" w:color="auto"/>
            </w:tcBorders>
            <w:vAlign w:val="center"/>
          </w:tcPr>
          <w:p w14:paraId="6BCD3D8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8 136</w:t>
            </w:r>
          </w:p>
        </w:tc>
        <w:tc>
          <w:tcPr>
            <w:tcW w:w="838" w:type="dxa"/>
            <w:tcBorders>
              <w:top w:val="single" w:sz="6" w:space="0" w:color="auto"/>
              <w:left w:val="single" w:sz="6" w:space="0" w:color="auto"/>
              <w:bottom w:val="single" w:sz="6" w:space="0" w:color="auto"/>
              <w:right w:val="single" w:sz="6" w:space="0" w:color="auto"/>
            </w:tcBorders>
            <w:vAlign w:val="center"/>
          </w:tcPr>
          <w:p w14:paraId="3BBE271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6 633</w:t>
            </w:r>
          </w:p>
        </w:tc>
        <w:tc>
          <w:tcPr>
            <w:tcW w:w="868" w:type="dxa"/>
            <w:tcBorders>
              <w:top w:val="single" w:sz="6" w:space="0" w:color="auto"/>
              <w:left w:val="single" w:sz="6" w:space="0" w:color="auto"/>
              <w:bottom w:val="single" w:sz="6" w:space="0" w:color="auto"/>
              <w:right w:val="single" w:sz="6" w:space="0" w:color="auto"/>
            </w:tcBorders>
            <w:vAlign w:val="center"/>
          </w:tcPr>
          <w:p w14:paraId="08EF002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12 654</w:t>
            </w:r>
          </w:p>
        </w:tc>
        <w:tc>
          <w:tcPr>
            <w:tcW w:w="851" w:type="dxa"/>
            <w:tcBorders>
              <w:top w:val="single" w:sz="6" w:space="0" w:color="auto"/>
              <w:left w:val="single" w:sz="6" w:space="0" w:color="auto"/>
              <w:bottom w:val="single" w:sz="6" w:space="0" w:color="auto"/>
              <w:right w:val="single" w:sz="6" w:space="0" w:color="auto"/>
            </w:tcBorders>
            <w:vAlign w:val="center"/>
          </w:tcPr>
          <w:p w14:paraId="53E61E6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9 396</w:t>
            </w:r>
          </w:p>
        </w:tc>
      </w:tr>
      <w:tr w:rsidR="00117C0D" w:rsidRPr="003954D9" w14:paraId="69CE9DA0"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7317523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950" w:type="dxa"/>
            <w:tcBorders>
              <w:top w:val="single" w:sz="6" w:space="0" w:color="auto"/>
              <w:left w:val="single" w:sz="6" w:space="0" w:color="auto"/>
              <w:bottom w:val="single" w:sz="6" w:space="0" w:color="auto"/>
              <w:right w:val="single" w:sz="6" w:space="0" w:color="auto"/>
            </w:tcBorders>
            <w:vAlign w:val="center"/>
          </w:tcPr>
          <w:p w14:paraId="60BA9B0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14 361</w:t>
            </w:r>
          </w:p>
        </w:tc>
        <w:tc>
          <w:tcPr>
            <w:tcW w:w="821" w:type="dxa"/>
            <w:tcBorders>
              <w:top w:val="single" w:sz="6" w:space="0" w:color="auto"/>
              <w:left w:val="single" w:sz="6" w:space="0" w:color="auto"/>
              <w:bottom w:val="single" w:sz="6" w:space="0" w:color="auto"/>
              <w:right w:val="single" w:sz="6" w:space="0" w:color="auto"/>
            </w:tcBorders>
            <w:vAlign w:val="center"/>
          </w:tcPr>
          <w:p w14:paraId="71DAC75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12 766</w:t>
            </w:r>
          </w:p>
        </w:tc>
        <w:tc>
          <w:tcPr>
            <w:tcW w:w="742" w:type="dxa"/>
            <w:tcBorders>
              <w:top w:val="single" w:sz="6" w:space="0" w:color="auto"/>
              <w:left w:val="single" w:sz="6" w:space="0" w:color="auto"/>
              <w:bottom w:val="single" w:sz="6" w:space="0" w:color="auto"/>
              <w:right w:val="single" w:sz="6" w:space="0" w:color="auto"/>
            </w:tcBorders>
            <w:vAlign w:val="center"/>
          </w:tcPr>
          <w:p w14:paraId="711E465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6 207</w:t>
            </w:r>
          </w:p>
        </w:tc>
        <w:tc>
          <w:tcPr>
            <w:tcW w:w="880" w:type="dxa"/>
            <w:tcBorders>
              <w:top w:val="single" w:sz="6" w:space="0" w:color="auto"/>
              <w:left w:val="single" w:sz="6" w:space="0" w:color="auto"/>
              <w:bottom w:val="single" w:sz="6" w:space="0" w:color="auto"/>
              <w:right w:val="single" w:sz="6" w:space="0" w:color="auto"/>
            </w:tcBorders>
            <w:vAlign w:val="center"/>
          </w:tcPr>
          <w:p w14:paraId="317D93F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12 723</w:t>
            </w:r>
          </w:p>
        </w:tc>
        <w:tc>
          <w:tcPr>
            <w:tcW w:w="837" w:type="dxa"/>
            <w:tcBorders>
              <w:top w:val="single" w:sz="6" w:space="0" w:color="auto"/>
              <w:left w:val="single" w:sz="6" w:space="0" w:color="auto"/>
              <w:bottom w:val="single" w:sz="6" w:space="0" w:color="auto"/>
              <w:right w:val="single" w:sz="6" w:space="0" w:color="auto"/>
            </w:tcBorders>
            <w:vAlign w:val="center"/>
          </w:tcPr>
          <w:p w14:paraId="39A2E15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10 753</w:t>
            </w:r>
          </w:p>
        </w:tc>
        <w:tc>
          <w:tcPr>
            <w:tcW w:w="855" w:type="dxa"/>
            <w:tcBorders>
              <w:top w:val="single" w:sz="6" w:space="0" w:color="auto"/>
              <w:left w:val="single" w:sz="6" w:space="0" w:color="auto"/>
              <w:bottom w:val="single" w:sz="6" w:space="0" w:color="auto"/>
              <w:right w:val="single" w:sz="6" w:space="0" w:color="auto"/>
            </w:tcBorders>
            <w:vAlign w:val="center"/>
          </w:tcPr>
          <w:p w14:paraId="38AAD82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8 500</w:t>
            </w:r>
          </w:p>
        </w:tc>
        <w:tc>
          <w:tcPr>
            <w:tcW w:w="854" w:type="dxa"/>
            <w:tcBorders>
              <w:top w:val="single" w:sz="6" w:space="0" w:color="auto"/>
              <w:left w:val="single" w:sz="6" w:space="0" w:color="auto"/>
              <w:bottom w:val="single" w:sz="6" w:space="0" w:color="auto"/>
              <w:right w:val="single" w:sz="6" w:space="0" w:color="auto"/>
            </w:tcBorders>
            <w:vAlign w:val="center"/>
          </w:tcPr>
          <w:p w14:paraId="0D3380C7"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7 017</w:t>
            </w:r>
          </w:p>
        </w:tc>
        <w:tc>
          <w:tcPr>
            <w:tcW w:w="838" w:type="dxa"/>
            <w:tcBorders>
              <w:top w:val="single" w:sz="6" w:space="0" w:color="auto"/>
              <w:left w:val="single" w:sz="6" w:space="0" w:color="auto"/>
              <w:bottom w:val="single" w:sz="6" w:space="0" w:color="auto"/>
              <w:right w:val="single" w:sz="6" w:space="0" w:color="auto"/>
            </w:tcBorders>
            <w:vAlign w:val="center"/>
          </w:tcPr>
          <w:p w14:paraId="0BE00AA4"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5 350</w:t>
            </w:r>
          </w:p>
        </w:tc>
        <w:tc>
          <w:tcPr>
            <w:tcW w:w="868" w:type="dxa"/>
            <w:tcBorders>
              <w:top w:val="single" w:sz="6" w:space="0" w:color="auto"/>
              <w:left w:val="single" w:sz="6" w:space="0" w:color="auto"/>
              <w:bottom w:val="single" w:sz="6" w:space="0" w:color="auto"/>
              <w:right w:val="single" w:sz="6" w:space="0" w:color="auto"/>
            </w:tcBorders>
            <w:vAlign w:val="center"/>
          </w:tcPr>
          <w:p w14:paraId="2D04FFD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11 517</w:t>
            </w:r>
          </w:p>
        </w:tc>
        <w:tc>
          <w:tcPr>
            <w:tcW w:w="851" w:type="dxa"/>
            <w:tcBorders>
              <w:top w:val="single" w:sz="6" w:space="0" w:color="auto"/>
              <w:left w:val="single" w:sz="6" w:space="0" w:color="auto"/>
              <w:bottom w:val="single" w:sz="6" w:space="0" w:color="auto"/>
              <w:right w:val="single" w:sz="6" w:space="0" w:color="auto"/>
            </w:tcBorders>
            <w:vAlign w:val="center"/>
          </w:tcPr>
          <w:p w14:paraId="33D7687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8 049</w:t>
            </w:r>
          </w:p>
        </w:tc>
      </w:tr>
      <w:tr w:rsidR="00117C0D" w:rsidRPr="003954D9" w14:paraId="5D63E609"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3681F684"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950" w:type="dxa"/>
            <w:tcBorders>
              <w:top w:val="single" w:sz="6" w:space="0" w:color="auto"/>
              <w:left w:val="single" w:sz="6" w:space="0" w:color="auto"/>
              <w:bottom w:val="single" w:sz="6" w:space="0" w:color="auto"/>
              <w:right w:val="single" w:sz="6" w:space="0" w:color="auto"/>
            </w:tcBorders>
            <w:vAlign w:val="center"/>
          </w:tcPr>
          <w:p w14:paraId="32DAF54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17 124</w:t>
            </w:r>
          </w:p>
        </w:tc>
        <w:tc>
          <w:tcPr>
            <w:tcW w:w="821" w:type="dxa"/>
            <w:tcBorders>
              <w:top w:val="single" w:sz="6" w:space="0" w:color="auto"/>
              <w:left w:val="single" w:sz="6" w:space="0" w:color="auto"/>
              <w:bottom w:val="single" w:sz="6" w:space="0" w:color="auto"/>
              <w:right w:val="single" w:sz="6" w:space="0" w:color="auto"/>
            </w:tcBorders>
            <w:vAlign w:val="center"/>
          </w:tcPr>
          <w:p w14:paraId="15017287"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16 342</w:t>
            </w:r>
          </w:p>
        </w:tc>
        <w:tc>
          <w:tcPr>
            <w:tcW w:w="742" w:type="dxa"/>
            <w:tcBorders>
              <w:top w:val="single" w:sz="6" w:space="0" w:color="auto"/>
              <w:left w:val="single" w:sz="6" w:space="0" w:color="auto"/>
              <w:bottom w:val="single" w:sz="6" w:space="0" w:color="auto"/>
              <w:right w:val="single" w:sz="6" w:space="0" w:color="auto"/>
            </w:tcBorders>
            <w:vAlign w:val="center"/>
          </w:tcPr>
          <w:p w14:paraId="7393599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8 843</w:t>
            </w:r>
          </w:p>
        </w:tc>
        <w:tc>
          <w:tcPr>
            <w:tcW w:w="880" w:type="dxa"/>
            <w:tcBorders>
              <w:top w:val="single" w:sz="6" w:space="0" w:color="auto"/>
              <w:left w:val="single" w:sz="6" w:space="0" w:color="auto"/>
              <w:bottom w:val="single" w:sz="6" w:space="0" w:color="auto"/>
              <w:right w:val="single" w:sz="6" w:space="0" w:color="auto"/>
            </w:tcBorders>
            <w:vAlign w:val="center"/>
          </w:tcPr>
          <w:p w14:paraId="76DFF62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17 238</w:t>
            </w:r>
          </w:p>
        </w:tc>
        <w:tc>
          <w:tcPr>
            <w:tcW w:w="837" w:type="dxa"/>
            <w:tcBorders>
              <w:top w:val="single" w:sz="6" w:space="0" w:color="auto"/>
              <w:left w:val="single" w:sz="6" w:space="0" w:color="auto"/>
              <w:bottom w:val="single" w:sz="6" w:space="0" w:color="auto"/>
              <w:right w:val="single" w:sz="6" w:space="0" w:color="auto"/>
            </w:tcBorders>
            <w:vAlign w:val="center"/>
          </w:tcPr>
          <w:p w14:paraId="08F408C6"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16 125</w:t>
            </w:r>
          </w:p>
        </w:tc>
        <w:tc>
          <w:tcPr>
            <w:tcW w:w="855" w:type="dxa"/>
            <w:tcBorders>
              <w:top w:val="single" w:sz="6" w:space="0" w:color="auto"/>
              <w:left w:val="single" w:sz="6" w:space="0" w:color="auto"/>
              <w:bottom w:val="single" w:sz="6" w:space="0" w:color="auto"/>
              <w:right w:val="single" w:sz="6" w:space="0" w:color="auto"/>
            </w:tcBorders>
            <w:vAlign w:val="center"/>
          </w:tcPr>
          <w:p w14:paraId="1501411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12 482</w:t>
            </w:r>
          </w:p>
        </w:tc>
        <w:tc>
          <w:tcPr>
            <w:tcW w:w="854" w:type="dxa"/>
            <w:tcBorders>
              <w:top w:val="single" w:sz="6" w:space="0" w:color="auto"/>
              <w:left w:val="single" w:sz="6" w:space="0" w:color="auto"/>
              <w:bottom w:val="single" w:sz="6" w:space="0" w:color="auto"/>
              <w:right w:val="single" w:sz="6" w:space="0" w:color="auto"/>
            </w:tcBorders>
            <w:vAlign w:val="center"/>
          </w:tcPr>
          <w:p w14:paraId="6C2BBD5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10 591</w:t>
            </w:r>
          </w:p>
        </w:tc>
        <w:tc>
          <w:tcPr>
            <w:tcW w:w="838" w:type="dxa"/>
            <w:tcBorders>
              <w:top w:val="single" w:sz="6" w:space="0" w:color="auto"/>
              <w:left w:val="single" w:sz="6" w:space="0" w:color="auto"/>
              <w:bottom w:val="single" w:sz="6" w:space="0" w:color="auto"/>
              <w:right w:val="single" w:sz="6" w:space="0" w:color="auto"/>
            </w:tcBorders>
            <w:vAlign w:val="center"/>
          </w:tcPr>
          <w:p w14:paraId="650AA6B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8 059</w:t>
            </w:r>
          </w:p>
        </w:tc>
        <w:tc>
          <w:tcPr>
            <w:tcW w:w="868" w:type="dxa"/>
            <w:tcBorders>
              <w:top w:val="single" w:sz="6" w:space="0" w:color="auto"/>
              <w:left w:val="single" w:sz="6" w:space="0" w:color="auto"/>
              <w:bottom w:val="single" w:sz="6" w:space="0" w:color="auto"/>
              <w:right w:val="single" w:sz="6" w:space="0" w:color="auto"/>
            </w:tcBorders>
            <w:vAlign w:val="center"/>
          </w:tcPr>
          <w:p w14:paraId="64AA8F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13 719</w:t>
            </w:r>
          </w:p>
        </w:tc>
        <w:tc>
          <w:tcPr>
            <w:tcW w:w="851" w:type="dxa"/>
            <w:tcBorders>
              <w:top w:val="single" w:sz="6" w:space="0" w:color="auto"/>
              <w:left w:val="single" w:sz="6" w:space="0" w:color="auto"/>
              <w:bottom w:val="single" w:sz="6" w:space="0" w:color="auto"/>
              <w:right w:val="single" w:sz="6" w:space="0" w:color="auto"/>
            </w:tcBorders>
            <w:vAlign w:val="center"/>
          </w:tcPr>
          <w:p w14:paraId="7E56A77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12 986</w:t>
            </w:r>
          </w:p>
        </w:tc>
      </w:tr>
      <w:tr w:rsidR="00117C0D" w:rsidRPr="003954D9" w14:paraId="2ACF0F5F"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5C7CC4B4"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50" w:type="dxa"/>
            <w:tcBorders>
              <w:top w:val="single" w:sz="6" w:space="0" w:color="auto"/>
              <w:left w:val="single" w:sz="6" w:space="0" w:color="auto"/>
              <w:bottom w:val="single" w:sz="6" w:space="0" w:color="auto"/>
              <w:right w:val="single" w:sz="6" w:space="0" w:color="auto"/>
            </w:tcBorders>
            <w:vAlign w:val="center"/>
          </w:tcPr>
          <w:p w14:paraId="39931AA3"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18 534</w:t>
            </w:r>
          </w:p>
        </w:tc>
        <w:tc>
          <w:tcPr>
            <w:tcW w:w="821" w:type="dxa"/>
            <w:tcBorders>
              <w:top w:val="single" w:sz="6" w:space="0" w:color="auto"/>
              <w:left w:val="single" w:sz="6" w:space="0" w:color="auto"/>
              <w:bottom w:val="single" w:sz="6" w:space="0" w:color="auto"/>
              <w:right w:val="single" w:sz="6" w:space="0" w:color="auto"/>
            </w:tcBorders>
            <w:vAlign w:val="center"/>
          </w:tcPr>
          <w:p w14:paraId="5B71B29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14 638</w:t>
            </w:r>
          </w:p>
        </w:tc>
        <w:tc>
          <w:tcPr>
            <w:tcW w:w="742" w:type="dxa"/>
            <w:tcBorders>
              <w:top w:val="single" w:sz="6" w:space="0" w:color="auto"/>
              <w:left w:val="single" w:sz="6" w:space="0" w:color="auto"/>
              <w:bottom w:val="single" w:sz="6" w:space="0" w:color="auto"/>
              <w:right w:val="single" w:sz="6" w:space="0" w:color="auto"/>
            </w:tcBorders>
            <w:vAlign w:val="center"/>
          </w:tcPr>
          <w:p w14:paraId="33DDEAE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8 695</w:t>
            </w:r>
          </w:p>
        </w:tc>
        <w:tc>
          <w:tcPr>
            <w:tcW w:w="880" w:type="dxa"/>
            <w:tcBorders>
              <w:top w:val="single" w:sz="6" w:space="0" w:color="auto"/>
              <w:left w:val="single" w:sz="6" w:space="0" w:color="auto"/>
              <w:bottom w:val="single" w:sz="6" w:space="0" w:color="auto"/>
              <w:right w:val="single" w:sz="6" w:space="0" w:color="auto"/>
            </w:tcBorders>
            <w:vAlign w:val="center"/>
          </w:tcPr>
          <w:p w14:paraId="63889C4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17 726</w:t>
            </w:r>
          </w:p>
        </w:tc>
        <w:tc>
          <w:tcPr>
            <w:tcW w:w="837" w:type="dxa"/>
            <w:tcBorders>
              <w:top w:val="single" w:sz="6" w:space="0" w:color="auto"/>
              <w:left w:val="single" w:sz="6" w:space="0" w:color="auto"/>
              <w:bottom w:val="single" w:sz="6" w:space="0" w:color="auto"/>
              <w:right w:val="single" w:sz="6" w:space="0" w:color="auto"/>
            </w:tcBorders>
            <w:vAlign w:val="center"/>
          </w:tcPr>
          <w:p w14:paraId="0ADFD77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14 550</w:t>
            </w:r>
          </w:p>
        </w:tc>
        <w:tc>
          <w:tcPr>
            <w:tcW w:w="855" w:type="dxa"/>
            <w:tcBorders>
              <w:top w:val="single" w:sz="6" w:space="0" w:color="auto"/>
              <w:left w:val="single" w:sz="6" w:space="0" w:color="auto"/>
              <w:bottom w:val="single" w:sz="6" w:space="0" w:color="auto"/>
              <w:right w:val="single" w:sz="6" w:space="0" w:color="auto"/>
            </w:tcBorders>
            <w:vAlign w:val="center"/>
          </w:tcPr>
          <w:p w14:paraId="4858AB6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11 701</w:t>
            </w:r>
          </w:p>
        </w:tc>
        <w:tc>
          <w:tcPr>
            <w:tcW w:w="854" w:type="dxa"/>
            <w:tcBorders>
              <w:top w:val="single" w:sz="6" w:space="0" w:color="auto"/>
              <w:left w:val="single" w:sz="6" w:space="0" w:color="auto"/>
              <w:bottom w:val="single" w:sz="6" w:space="0" w:color="auto"/>
              <w:right w:val="single" w:sz="6" w:space="0" w:color="auto"/>
            </w:tcBorders>
            <w:vAlign w:val="center"/>
          </w:tcPr>
          <w:p w14:paraId="0CB4150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11 253</w:t>
            </w:r>
          </w:p>
        </w:tc>
        <w:tc>
          <w:tcPr>
            <w:tcW w:w="838" w:type="dxa"/>
            <w:tcBorders>
              <w:top w:val="single" w:sz="6" w:space="0" w:color="auto"/>
              <w:left w:val="single" w:sz="6" w:space="0" w:color="auto"/>
              <w:bottom w:val="single" w:sz="6" w:space="0" w:color="auto"/>
              <w:right w:val="single" w:sz="6" w:space="0" w:color="auto"/>
            </w:tcBorders>
            <w:vAlign w:val="center"/>
          </w:tcPr>
          <w:p w14:paraId="7396ED5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7 286</w:t>
            </w:r>
          </w:p>
        </w:tc>
        <w:tc>
          <w:tcPr>
            <w:tcW w:w="868" w:type="dxa"/>
            <w:tcBorders>
              <w:top w:val="single" w:sz="6" w:space="0" w:color="auto"/>
              <w:left w:val="single" w:sz="6" w:space="0" w:color="auto"/>
              <w:bottom w:val="single" w:sz="6" w:space="0" w:color="auto"/>
              <w:right w:val="single" w:sz="6" w:space="0" w:color="auto"/>
            </w:tcBorders>
            <w:vAlign w:val="center"/>
          </w:tcPr>
          <w:p w14:paraId="001B962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14 364</w:t>
            </w:r>
          </w:p>
        </w:tc>
        <w:tc>
          <w:tcPr>
            <w:tcW w:w="851" w:type="dxa"/>
            <w:tcBorders>
              <w:top w:val="single" w:sz="6" w:space="0" w:color="auto"/>
              <w:left w:val="single" w:sz="6" w:space="0" w:color="auto"/>
              <w:bottom w:val="single" w:sz="6" w:space="0" w:color="auto"/>
              <w:right w:val="single" w:sz="6" w:space="0" w:color="auto"/>
            </w:tcBorders>
            <w:vAlign w:val="center"/>
          </w:tcPr>
          <w:p w14:paraId="3D5CC3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11 896</w:t>
            </w:r>
          </w:p>
        </w:tc>
      </w:tr>
      <w:tr w:rsidR="00117C0D" w:rsidRPr="003954D9" w14:paraId="43AC5C94"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648D773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950" w:type="dxa"/>
            <w:tcBorders>
              <w:top w:val="single" w:sz="6" w:space="0" w:color="auto"/>
              <w:left w:val="single" w:sz="6" w:space="0" w:color="auto"/>
              <w:bottom w:val="single" w:sz="6" w:space="0" w:color="auto"/>
              <w:right w:val="single" w:sz="6" w:space="0" w:color="auto"/>
            </w:tcBorders>
            <w:vAlign w:val="center"/>
          </w:tcPr>
          <w:p w14:paraId="222372A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13 917</w:t>
            </w:r>
          </w:p>
        </w:tc>
        <w:tc>
          <w:tcPr>
            <w:tcW w:w="821" w:type="dxa"/>
            <w:tcBorders>
              <w:top w:val="single" w:sz="6" w:space="0" w:color="auto"/>
              <w:left w:val="single" w:sz="6" w:space="0" w:color="auto"/>
              <w:bottom w:val="single" w:sz="6" w:space="0" w:color="auto"/>
              <w:right w:val="single" w:sz="6" w:space="0" w:color="auto"/>
            </w:tcBorders>
            <w:vAlign w:val="center"/>
          </w:tcPr>
          <w:p w14:paraId="44F2BCF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12 303</w:t>
            </w:r>
          </w:p>
        </w:tc>
        <w:tc>
          <w:tcPr>
            <w:tcW w:w="742" w:type="dxa"/>
            <w:tcBorders>
              <w:top w:val="single" w:sz="6" w:space="0" w:color="auto"/>
              <w:left w:val="single" w:sz="6" w:space="0" w:color="auto"/>
              <w:bottom w:val="single" w:sz="6" w:space="0" w:color="auto"/>
              <w:right w:val="single" w:sz="6" w:space="0" w:color="auto"/>
            </w:tcBorders>
            <w:vAlign w:val="center"/>
          </w:tcPr>
          <w:p w14:paraId="2F49694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6 348</w:t>
            </w:r>
          </w:p>
        </w:tc>
        <w:tc>
          <w:tcPr>
            <w:tcW w:w="880" w:type="dxa"/>
            <w:tcBorders>
              <w:top w:val="single" w:sz="6" w:space="0" w:color="auto"/>
              <w:left w:val="single" w:sz="6" w:space="0" w:color="auto"/>
              <w:bottom w:val="single" w:sz="6" w:space="0" w:color="auto"/>
              <w:right w:val="single" w:sz="6" w:space="0" w:color="auto"/>
            </w:tcBorders>
            <w:vAlign w:val="center"/>
          </w:tcPr>
          <w:p w14:paraId="2E590FE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12 407</w:t>
            </w:r>
          </w:p>
        </w:tc>
        <w:tc>
          <w:tcPr>
            <w:tcW w:w="837" w:type="dxa"/>
            <w:tcBorders>
              <w:top w:val="single" w:sz="6" w:space="0" w:color="auto"/>
              <w:left w:val="single" w:sz="6" w:space="0" w:color="auto"/>
              <w:bottom w:val="single" w:sz="6" w:space="0" w:color="auto"/>
              <w:right w:val="single" w:sz="6" w:space="0" w:color="auto"/>
            </w:tcBorders>
            <w:vAlign w:val="center"/>
          </w:tcPr>
          <w:p w14:paraId="29C2F5F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10 548</w:t>
            </w:r>
          </w:p>
        </w:tc>
        <w:tc>
          <w:tcPr>
            <w:tcW w:w="855" w:type="dxa"/>
            <w:tcBorders>
              <w:top w:val="single" w:sz="6" w:space="0" w:color="auto"/>
              <w:left w:val="single" w:sz="6" w:space="0" w:color="auto"/>
              <w:bottom w:val="single" w:sz="6" w:space="0" w:color="auto"/>
              <w:right w:val="single" w:sz="6" w:space="0" w:color="auto"/>
            </w:tcBorders>
            <w:vAlign w:val="center"/>
          </w:tcPr>
          <w:p w14:paraId="3762ECA8"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8 227</w:t>
            </w:r>
          </w:p>
        </w:tc>
        <w:tc>
          <w:tcPr>
            <w:tcW w:w="854" w:type="dxa"/>
            <w:tcBorders>
              <w:top w:val="single" w:sz="6" w:space="0" w:color="auto"/>
              <w:left w:val="single" w:sz="6" w:space="0" w:color="auto"/>
              <w:bottom w:val="single" w:sz="6" w:space="0" w:color="auto"/>
              <w:right w:val="single" w:sz="6" w:space="0" w:color="auto"/>
            </w:tcBorders>
            <w:vAlign w:val="center"/>
          </w:tcPr>
          <w:p w14:paraId="691DC06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7 040</w:t>
            </w:r>
          </w:p>
        </w:tc>
        <w:tc>
          <w:tcPr>
            <w:tcW w:w="838" w:type="dxa"/>
            <w:tcBorders>
              <w:top w:val="single" w:sz="6" w:space="0" w:color="auto"/>
              <w:left w:val="single" w:sz="6" w:space="0" w:color="auto"/>
              <w:bottom w:val="single" w:sz="6" w:space="0" w:color="auto"/>
              <w:right w:val="single" w:sz="6" w:space="0" w:color="auto"/>
            </w:tcBorders>
            <w:vAlign w:val="center"/>
          </w:tcPr>
          <w:p w14:paraId="356ADAF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5 436</w:t>
            </w:r>
          </w:p>
        </w:tc>
        <w:tc>
          <w:tcPr>
            <w:tcW w:w="868" w:type="dxa"/>
            <w:tcBorders>
              <w:top w:val="single" w:sz="6" w:space="0" w:color="auto"/>
              <w:left w:val="single" w:sz="6" w:space="0" w:color="auto"/>
              <w:bottom w:val="single" w:sz="6" w:space="0" w:color="auto"/>
              <w:right w:val="single" w:sz="6" w:space="0" w:color="auto"/>
            </w:tcBorders>
            <w:vAlign w:val="center"/>
          </w:tcPr>
          <w:p w14:paraId="5F5E8A92"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10 489</w:t>
            </w:r>
          </w:p>
        </w:tc>
        <w:tc>
          <w:tcPr>
            <w:tcW w:w="851" w:type="dxa"/>
            <w:tcBorders>
              <w:top w:val="single" w:sz="6" w:space="0" w:color="auto"/>
              <w:left w:val="single" w:sz="6" w:space="0" w:color="auto"/>
              <w:bottom w:val="single" w:sz="6" w:space="0" w:color="auto"/>
              <w:right w:val="single" w:sz="6" w:space="0" w:color="auto"/>
            </w:tcBorders>
            <w:vAlign w:val="center"/>
          </w:tcPr>
          <w:p w14:paraId="48F6EB4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7 943</w:t>
            </w:r>
          </w:p>
        </w:tc>
      </w:tr>
      <w:tr w:rsidR="00117C0D" w:rsidRPr="003954D9" w14:paraId="02AFFA3C"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vAlign w:val="center"/>
          </w:tcPr>
          <w:p w14:paraId="4668818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Alla</w:t>
            </w:r>
          </w:p>
        </w:tc>
        <w:tc>
          <w:tcPr>
            <w:tcW w:w="950" w:type="dxa"/>
            <w:tcBorders>
              <w:top w:val="single" w:sz="6" w:space="0" w:color="auto"/>
              <w:left w:val="single" w:sz="6" w:space="0" w:color="auto"/>
              <w:bottom w:val="single" w:sz="6" w:space="0" w:color="auto"/>
              <w:right w:val="single" w:sz="6" w:space="0" w:color="auto"/>
            </w:tcBorders>
            <w:vAlign w:val="center"/>
          </w:tcPr>
          <w:p w14:paraId="323E7AED"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15 826</w:t>
            </w:r>
          </w:p>
        </w:tc>
        <w:tc>
          <w:tcPr>
            <w:tcW w:w="821" w:type="dxa"/>
            <w:tcBorders>
              <w:top w:val="single" w:sz="6" w:space="0" w:color="auto"/>
              <w:left w:val="single" w:sz="6" w:space="0" w:color="auto"/>
              <w:bottom w:val="single" w:sz="6" w:space="0" w:color="auto"/>
              <w:right w:val="single" w:sz="6" w:space="0" w:color="auto"/>
            </w:tcBorders>
            <w:vAlign w:val="center"/>
          </w:tcPr>
          <w:p w14:paraId="21FEB03D"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14 010</w:t>
            </w:r>
          </w:p>
        </w:tc>
        <w:tc>
          <w:tcPr>
            <w:tcW w:w="742" w:type="dxa"/>
            <w:tcBorders>
              <w:top w:val="single" w:sz="6" w:space="0" w:color="auto"/>
              <w:left w:val="single" w:sz="6" w:space="0" w:color="auto"/>
              <w:bottom w:val="single" w:sz="6" w:space="0" w:color="auto"/>
              <w:right w:val="single" w:sz="6" w:space="0" w:color="auto"/>
            </w:tcBorders>
            <w:vAlign w:val="center"/>
          </w:tcPr>
          <w:p w14:paraId="42BBDB58"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7 163</w:t>
            </w:r>
          </w:p>
        </w:tc>
        <w:tc>
          <w:tcPr>
            <w:tcW w:w="880" w:type="dxa"/>
            <w:tcBorders>
              <w:top w:val="single" w:sz="6" w:space="0" w:color="auto"/>
              <w:left w:val="single" w:sz="6" w:space="0" w:color="auto"/>
              <w:bottom w:val="single" w:sz="6" w:space="0" w:color="auto"/>
              <w:right w:val="single" w:sz="6" w:space="0" w:color="auto"/>
            </w:tcBorders>
            <w:vAlign w:val="center"/>
          </w:tcPr>
          <w:p w14:paraId="3BDA87E0"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15 002</w:t>
            </w:r>
          </w:p>
        </w:tc>
        <w:tc>
          <w:tcPr>
            <w:tcW w:w="837" w:type="dxa"/>
            <w:tcBorders>
              <w:top w:val="single" w:sz="6" w:space="0" w:color="auto"/>
              <w:left w:val="single" w:sz="6" w:space="0" w:color="auto"/>
              <w:bottom w:val="single" w:sz="6" w:space="0" w:color="auto"/>
              <w:right w:val="single" w:sz="6" w:space="0" w:color="auto"/>
            </w:tcBorders>
            <w:vAlign w:val="center"/>
          </w:tcPr>
          <w:p w14:paraId="499B6C19"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13 189</w:t>
            </w:r>
          </w:p>
        </w:tc>
        <w:tc>
          <w:tcPr>
            <w:tcW w:w="855" w:type="dxa"/>
            <w:tcBorders>
              <w:top w:val="single" w:sz="6" w:space="0" w:color="auto"/>
              <w:left w:val="single" w:sz="6" w:space="0" w:color="auto"/>
              <w:bottom w:val="single" w:sz="6" w:space="0" w:color="auto"/>
              <w:right w:val="single" w:sz="6" w:space="0" w:color="auto"/>
            </w:tcBorders>
            <w:vAlign w:val="center"/>
          </w:tcPr>
          <w:p w14:paraId="6A8EDF1C"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10 200</w:t>
            </w:r>
          </w:p>
        </w:tc>
        <w:tc>
          <w:tcPr>
            <w:tcW w:w="854" w:type="dxa"/>
            <w:tcBorders>
              <w:top w:val="single" w:sz="6" w:space="0" w:color="auto"/>
              <w:left w:val="single" w:sz="6" w:space="0" w:color="auto"/>
              <w:bottom w:val="single" w:sz="6" w:space="0" w:color="auto"/>
              <w:right w:val="single" w:sz="6" w:space="0" w:color="auto"/>
            </w:tcBorders>
            <w:vAlign w:val="center"/>
          </w:tcPr>
          <w:p w14:paraId="061221D2"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8 221</w:t>
            </w:r>
          </w:p>
        </w:tc>
        <w:tc>
          <w:tcPr>
            <w:tcW w:w="838" w:type="dxa"/>
            <w:tcBorders>
              <w:top w:val="single" w:sz="6" w:space="0" w:color="auto"/>
              <w:left w:val="single" w:sz="6" w:space="0" w:color="auto"/>
              <w:bottom w:val="single" w:sz="6" w:space="0" w:color="auto"/>
              <w:right w:val="single" w:sz="6" w:space="0" w:color="auto"/>
            </w:tcBorders>
            <w:vAlign w:val="center"/>
          </w:tcPr>
          <w:p w14:paraId="00A8374E"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5 917</w:t>
            </w:r>
          </w:p>
        </w:tc>
        <w:tc>
          <w:tcPr>
            <w:tcW w:w="868" w:type="dxa"/>
            <w:tcBorders>
              <w:top w:val="single" w:sz="6" w:space="0" w:color="auto"/>
              <w:left w:val="single" w:sz="6" w:space="0" w:color="auto"/>
              <w:bottom w:val="single" w:sz="6" w:space="0" w:color="auto"/>
              <w:right w:val="single" w:sz="6" w:space="0" w:color="auto"/>
            </w:tcBorders>
            <w:vAlign w:val="center"/>
          </w:tcPr>
          <w:p w14:paraId="505E5FC9"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12 257</w:t>
            </w:r>
          </w:p>
        </w:tc>
        <w:tc>
          <w:tcPr>
            <w:tcW w:w="851" w:type="dxa"/>
            <w:tcBorders>
              <w:top w:val="single" w:sz="6" w:space="0" w:color="auto"/>
              <w:left w:val="single" w:sz="6" w:space="0" w:color="auto"/>
              <w:bottom w:val="single" w:sz="6" w:space="0" w:color="auto"/>
              <w:right w:val="single" w:sz="6" w:space="0" w:color="auto"/>
            </w:tcBorders>
            <w:vAlign w:val="center"/>
          </w:tcPr>
          <w:p w14:paraId="4F8D818E"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9 053</w:t>
            </w:r>
          </w:p>
        </w:tc>
      </w:tr>
    </w:tbl>
    <w:p w14:paraId="0D2BFEFD" w14:textId="77777777" w:rsidR="00B95043" w:rsidRPr="003954D9" w:rsidRDefault="00B95043" w:rsidP="00B95043">
      <w:pPr>
        <w:rPr>
          <w:sz w:val="16"/>
          <w:szCs w:val="16"/>
        </w:rPr>
      </w:pPr>
      <w:r w:rsidRPr="00155ABC">
        <w:rPr>
          <w:b/>
          <w:color w:val="FF6600"/>
          <w:sz w:val="16"/>
          <w:szCs w:val="16"/>
        </w:rPr>
        <w:t>Röd färg högsta</w:t>
      </w:r>
      <w:r w:rsidRPr="003954D9">
        <w:rPr>
          <w:color w:val="FF6600"/>
          <w:sz w:val="16"/>
          <w:szCs w:val="16"/>
        </w:rPr>
        <w:t xml:space="preserve"> </w:t>
      </w:r>
      <w:r w:rsidRPr="003954D9">
        <w:rPr>
          <w:sz w:val="16"/>
          <w:szCs w:val="16"/>
        </w:rPr>
        <w:t xml:space="preserve">och </w:t>
      </w:r>
      <w:r w:rsidRPr="00155ABC">
        <w:rPr>
          <w:b/>
          <w:color w:val="0070C0"/>
          <w:sz w:val="16"/>
          <w:szCs w:val="16"/>
        </w:rPr>
        <w:t>blå färg lägsta</w:t>
      </w:r>
      <w:r w:rsidRPr="00155ABC">
        <w:rPr>
          <w:color w:val="0070C0"/>
          <w:sz w:val="16"/>
          <w:szCs w:val="16"/>
        </w:rPr>
        <w:t xml:space="preserve"> </w:t>
      </w:r>
      <w:r w:rsidRPr="003954D9">
        <w:rPr>
          <w:sz w:val="16"/>
          <w:szCs w:val="16"/>
        </w:rPr>
        <w:t>värde i grupp.</w:t>
      </w:r>
    </w:p>
    <w:p w14:paraId="1EEE7EA4" w14:textId="77777777" w:rsidR="008568D2" w:rsidRDefault="008568D2" w:rsidP="00117C0D">
      <w:pPr>
        <w:keepNext/>
        <w:keepLines/>
        <w:spacing w:before="200"/>
        <w:outlineLvl w:val="4"/>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br w:type="page"/>
      </w:r>
    </w:p>
    <w:p w14:paraId="341F7483" w14:textId="7FDB663F"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lastRenderedPageBreak/>
        <w:t>Tabell 3:2: Kvar av disponibel inkomst utöver skälig levnadsnivå när dagens hyra är betald, kronor per månad och person, hushållstyp och stadsdel – medelvärden</w:t>
      </w:r>
    </w:p>
    <w:tbl>
      <w:tblPr>
        <w:tblW w:w="9244" w:type="dxa"/>
        <w:tblInd w:w="40" w:type="dxa"/>
        <w:tblLayout w:type="fixed"/>
        <w:tblCellMar>
          <w:left w:w="70" w:type="dxa"/>
          <w:right w:w="70" w:type="dxa"/>
        </w:tblCellMar>
        <w:tblLook w:val="0000" w:firstRow="0" w:lastRow="0" w:firstColumn="0" w:lastColumn="0" w:noHBand="0" w:noVBand="0"/>
      </w:tblPr>
      <w:tblGrid>
        <w:gridCol w:w="1032"/>
        <w:gridCol w:w="950"/>
        <w:gridCol w:w="821"/>
        <w:gridCol w:w="742"/>
        <w:gridCol w:w="738"/>
        <w:gridCol w:w="709"/>
        <w:gridCol w:w="855"/>
        <w:gridCol w:w="854"/>
        <w:gridCol w:w="838"/>
        <w:gridCol w:w="855"/>
        <w:gridCol w:w="850"/>
      </w:tblGrid>
      <w:tr w:rsidR="00117C0D" w:rsidRPr="003954D9" w14:paraId="7BBFDE80"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35C59F95" w14:textId="77777777" w:rsidR="00117C0D" w:rsidRPr="003954D9" w:rsidRDefault="00117C0D" w:rsidP="00117C0D">
            <w:pPr>
              <w:autoSpaceDE w:val="0"/>
              <w:autoSpaceDN w:val="0"/>
              <w:adjustRightInd w:val="0"/>
              <w:jc w:val="right"/>
              <w:rPr>
                <w:rFonts w:ascii="Calibri" w:hAnsi="Calibri" w:cs="Calibri"/>
                <w:color w:val="000000"/>
                <w:sz w:val="22"/>
                <w:szCs w:val="22"/>
              </w:rPr>
            </w:pPr>
          </w:p>
        </w:tc>
        <w:tc>
          <w:tcPr>
            <w:tcW w:w="950" w:type="dxa"/>
            <w:tcBorders>
              <w:top w:val="single" w:sz="6" w:space="0" w:color="auto"/>
              <w:left w:val="single" w:sz="6" w:space="0" w:color="auto"/>
              <w:bottom w:val="single" w:sz="6" w:space="0" w:color="auto"/>
              <w:right w:val="single" w:sz="6" w:space="0" w:color="auto"/>
            </w:tcBorders>
          </w:tcPr>
          <w:p w14:paraId="7987E760" w14:textId="0CF3B9BB"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821" w:type="dxa"/>
            <w:tcBorders>
              <w:top w:val="single" w:sz="6" w:space="0" w:color="auto"/>
              <w:left w:val="single" w:sz="6" w:space="0" w:color="auto"/>
              <w:bottom w:val="single" w:sz="6" w:space="0" w:color="auto"/>
              <w:right w:val="single" w:sz="6" w:space="0" w:color="auto"/>
            </w:tcBorders>
          </w:tcPr>
          <w:p w14:paraId="6DC43C51" w14:textId="5AB1185F"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u. barn </w:t>
            </w:r>
            <w:r w:rsidR="00365C66" w:rsidRPr="003954D9">
              <w:rPr>
                <w:rFonts w:ascii="Calibri" w:hAnsi="Calibri" w:cs="Calibri"/>
                <w:b/>
                <w:bCs/>
                <w:color w:val="000000"/>
                <w:sz w:val="16"/>
                <w:szCs w:val="16"/>
              </w:rPr>
              <w:t>65-år</w:t>
            </w:r>
          </w:p>
        </w:tc>
        <w:tc>
          <w:tcPr>
            <w:tcW w:w="742" w:type="dxa"/>
            <w:tcBorders>
              <w:top w:val="single" w:sz="6" w:space="0" w:color="auto"/>
              <w:left w:val="single" w:sz="6" w:space="0" w:color="auto"/>
              <w:bottom w:val="single" w:sz="6" w:space="0" w:color="auto"/>
              <w:right w:val="single" w:sz="6" w:space="0" w:color="auto"/>
            </w:tcBorders>
          </w:tcPr>
          <w:p w14:paraId="1C4AE5BD" w14:textId="4C63FFC8"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Ensamst. m.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738" w:type="dxa"/>
            <w:tcBorders>
              <w:top w:val="single" w:sz="6" w:space="0" w:color="auto"/>
              <w:left w:val="single" w:sz="6" w:space="0" w:color="auto"/>
              <w:bottom w:val="single" w:sz="6" w:space="0" w:color="auto"/>
              <w:right w:val="single" w:sz="6" w:space="0" w:color="auto"/>
            </w:tcBorders>
          </w:tcPr>
          <w:p w14:paraId="005C564F" w14:textId="5DF4590A"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7167D596" w14:textId="19DA5ED0"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u. barn </w:t>
            </w:r>
            <w:r w:rsidR="00365C66" w:rsidRPr="003954D9">
              <w:rPr>
                <w:rFonts w:ascii="Calibri" w:hAnsi="Calibri" w:cs="Calibri"/>
                <w:b/>
                <w:bCs/>
                <w:color w:val="000000"/>
                <w:sz w:val="16"/>
                <w:szCs w:val="16"/>
              </w:rPr>
              <w:t>65-år</w:t>
            </w:r>
          </w:p>
        </w:tc>
        <w:tc>
          <w:tcPr>
            <w:tcW w:w="855" w:type="dxa"/>
            <w:tcBorders>
              <w:top w:val="single" w:sz="6" w:space="0" w:color="auto"/>
              <w:left w:val="single" w:sz="6" w:space="0" w:color="auto"/>
              <w:bottom w:val="single" w:sz="6" w:space="0" w:color="auto"/>
              <w:right w:val="single" w:sz="6" w:space="0" w:color="auto"/>
            </w:tcBorders>
          </w:tcPr>
          <w:p w14:paraId="3779C0DF" w14:textId="70B9FCDB"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1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854" w:type="dxa"/>
            <w:tcBorders>
              <w:top w:val="single" w:sz="6" w:space="0" w:color="auto"/>
              <w:left w:val="single" w:sz="6" w:space="0" w:color="auto"/>
              <w:bottom w:val="single" w:sz="6" w:space="0" w:color="auto"/>
              <w:right w:val="single" w:sz="6" w:space="0" w:color="auto"/>
            </w:tcBorders>
          </w:tcPr>
          <w:p w14:paraId="54E90A18" w14:textId="6BF83EAA"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2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838" w:type="dxa"/>
            <w:tcBorders>
              <w:top w:val="single" w:sz="6" w:space="0" w:color="auto"/>
              <w:left w:val="single" w:sz="6" w:space="0" w:color="auto"/>
              <w:bottom w:val="single" w:sz="6" w:space="0" w:color="auto"/>
              <w:right w:val="single" w:sz="6" w:space="0" w:color="auto"/>
            </w:tcBorders>
          </w:tcPr>
          <w:p w14:paraId="0B3527D1" w14:textId="54D5F0D5"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3-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855" w:type="dxa"/>
            <w:tcBorders>
              <w:top w:val="single" w:sz="6" w:space="0" w:color="auto"/>
              <w:left w:val="single" w:sz="6" w:space="0" w:color="auto"/>
              <w:bottom w:val="single" w:sz="6" w:space="0" w:color="auto"/>
              <w:right w:val="single" w:sz="6" w:space="0" w:color="auto"/>
            </w:tcBorders>
          </w:tcPr>
          <w:p w14:paraId="1145426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Övr. hushåll u. barn </w:t>
            </w:r>
          </w:p>
        </w:tc>
        <w:tc>
          <w:tcPr>
            <w:tcW w:w="850" w:type="dxa"/>
            <w:tcBorders>
              <w:top w:val="single" w:sz="6" w:space="0" w:color="auto"/>
              <w:left w:val="single" w:sz="6" w:space="0" w:color="auto"/>
              <w:bottom w:val="single" w:sz="6" w:space="0" w:color="auto"/>
              <w:right w:val="single" w:sz="6" w:space="0" w:color="auto"/>
            </w:tcBorders>
          </w:tcPr>
          <w:p w14:paraId="2910920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Övr. hushåll m. barn</w:t>
            </w:r>
          </w:p>
        </w:tc>
      </w:tr>
      <w:tr w:rsidR="00117C0D" w:rsidRPr="003954D9" w14:paraId="212F9908"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0AC7D64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50" w:type="dxa"/>
            <w:tcBorders>
              <w:top w:val="single" w:sz="6" w:space="0" w:color="auto"/>
              <w:left w:val="single" w:sz="6" w:space="0" w:color="auto"/>
              <w:bottom w:val="single" w:sz="6" w:space="0" w:color="auto"/>
              <w:right w:val="single" w:sz="6" w:space="0" w:color="auto"/>
            </w:tcBorders>
            <w:vAlign w:val="center"/>
          </w:tcPr>
          <w:p w14:paraId="2F742C59"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3 717</w:t>
            </w:r>
          </w:p>
        </w:tc>
        <w:tc>
          <w:tcPr>
            <w:tcW w:w="821" w:type="dxa"/>
            <w:tcBorders>
              <w:top w:val="single" w:sz="6" w:space="0" w:color="auto"/>
              <w:left w:val="single" w:sz="6" w:space="0" w:color="auto"/>
              <w:bottom w:val="single" w:sz="6" w:space="0" w:color="auto"/>
              <w:right w:val="single" w:sz="6" w:space="0" w:color="auto"/>
            </w:tcBorders>
            <w:vAlign w:val="center"/>
          </w:tcPr>
          <w:p w14:paraId="16D621E9"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2 023</w:t>
            </w:r>
          </w:p>
        </w:tc>
        <w:tc>
          <w:tcPr>
            <w:tcW w:w="742" w:type="dxa"/>
            <w:tcBorders>
              <w:top w:val="single" w:sz="6" w:space="0" w:color="auto"/>
              <w:left w:val="single" w:sz="6" w:space="0" w:color="auto"/>
              <w:bottom w:val="single" w:sz="6" w:space="0" w:color="auto"/>
              <w:right w:val="single" w:sz="6" w:space="0" w:color="auto"/>
            </w:tcBorders>
            <w:vAlign w:val="center"/>
          </w:tcPr>
          <w:p w14:paraId="2FDF9760"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726</w:t>
            </w:r>
          </w:p>
        </w:tc>
        <w:tc>
          <w:tcPr>
            <w:tcW w:w="738" w:type="dxa"/>
            <w:tcBorders>
              <w:top w:val="single" w:sz="6" w:space="0" w:color="auto"/>
              <w:left w:val="single" w:sz="6" w:space="0" w:color="auto"/>
              <w:bottom w:val="single" w:sz="6" w:space="0" w:color="auto"/>
              <w:right w:val="single" w:sz="6" w:space="0" w:color="auto"/>
            </w:tcBorders>
            <w:vAlign w:val="center"/>
          </w:tcPr>
          <w:p w14:paraId="2FBF0C67"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4 998</w:t>
            </w:r>
          </w:p>
        </w:tc>
        <w:tc>
          <w:tcPr>
            <w:tcW w:w="709" w:type="dxa"/>
            <w:tcBorders>
              <w:top w:val="single" w:sz="6" w:space="0" w:color="auto"/>
              <w:left w:val="single" w:sz="6" w:space="0" w:color="auto"/>
              <w:bottom w:val="single" w:sz="6" w:space="0" w:color="auto"/>
              <w:right w:val="single" w:sz="6" w:space="0" w:color="auto"/>
            </w:tcBorders>
            <w:vAlign w:val="center"/>
          </w:tcPr>
          <w:p w14:paraId="4F4B8CAE"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2 770</w:t>
            </w:r>
          </w:p>
        </w:tc>
        <w:tc>
          <w:tcPr>
            <w:tcW w:w="855" w:type="dxa"/>
            <w:tcBorders>
              <w:top w:val="single" w:sz="6" w:space="0" w:color="auto"/>
              <w:left w:val="single" w:sz="6" w:space="0" w:color="auto"/>
              <w:bottom w:val="single" w:sz="6" w:space="0" w:color="auto"/>
              <w:right w:val="single" w:sz="6" w:space="0" w:color="auto"/>
            </w:tcBorders>
            <w:vAlign w:val="center"/>
          </w:tcPr>
          <w:p w14:paraId="2060D11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3 237</w:t>
            </w:r>
          </w:p>
        </w:tc>
        <w:tc>
          <w:tcPr>
            <w:tcW w:w="854" w:type="dxa"/>
            <w:tcBorders>
              <w:top w:val="single" w:sz="6" w:space="0" w:color="auto"/>
              <w:left w:val="single" w:sz="6" w:space="0" w:color="auto"/>
              <w:bottom w:val="single" w:sz="6" w:space="0" w:color="auto"/>
              <w:right w:val="single" w:sz="6" w:space="0" w:color="auto"/>
            </w:tcBorders>
            <w:vAlign w:val="center"/>
          </w:tcPr>
          <w:p w14:paraId="3D415B8F"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1 956</w:t>
            </w:r>
          </w:p>
        </w:tc>
        <w:tc>
          <w:tcPr>
            <w:tcW w:w="838" w:type="dxa"/>
            <w:tcBorders>
              <w:top w:val="single" w:sz="6" w:space="0" w:color="auto"/>
              <w:left w:val="single" w:sz="6" w:space="0" w:color="auto"/>
              <w:bottom w:val="single" w:sz="6" w:space="0" w:color="auto"/>
              <w:right w:val="single" w:sz="6" w:space="0" w:color="auto"/>
            </w:tcBorders>
            <w:vAlign w:val="center"/>
          </w:tcPr>
          <w:p w14:paraId="0F62436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1 059</w:t>
            </w:r>
          </w:p>
        </w:tc>
        <w:tc>
          <w:tcPr>
            <w:tcW w:w="855" w:type="dxa"/>
            <w:tcBorders>
              <w:top w:val="single" w:sz="6" w:space="0" w:color="auto"/>
              <w:left w:val="single" w:sz="6" w:space="0" w:color="auto"/>
              <w:bottom w:val="single" w:sz="6" w:space="0" w:color="auto"/>
              <w:right w:val="single" w:sz="6" w:space="0" w:color="auto"/>
            </w:tcBorders>
            <w:vAlign w:val="center"/>
          </w:tcPr>
          <w:p w14:paraId="47BFD68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5 108</w:t>
            </w:r>
          </w:p>
        </w:tc>
        <w:tc>
          <w:tcPr>
            <w:tcW w:w="850" w:type="dxa"/>
            <w:tcBorders>
              <w:top w:val="single" w:sz="6" w:space="0" w:color="auto"/>
              <w:left w:val="single" w:sz="6" w:space="0" w:color="auto"/>
              <w:bottom w:val="single" w:sz="6" w:space="0" w:color="auto"/>
              <w:right w:val="single" w:sz="6" w:space="0" w:color="auto"/>
            </w:tcBorders>
            <w:vAlign w:val="center"/>
          </w:tcPr>
          <w:p w14:paraId="2596B1CC"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2 812</w:t>
            </w:r>
          </w:p>
        </w:tc>
      </w:tr>
      <w:tr w:rsidR="00117C0D" w:rsidRPr="003954D9" w14:paraId="360C71D3"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3A0E8B0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950" w:type="dxa"/>
            <w:tcBorders>
              <w:top w:val="single" w:sz="6" w:space="0" w:color="auto"/>
              <w:left w:val="single" w:sz="6" w:space="0" w:color="auto"/>
              <w:bottom w:val="single" w:sz="6" w:space="0" w:color="auto"/>
              <w:right w:val="single" w:sz="6" w:space="0" w:color="auto"/>
            </w:tcBorders>
            <w:vAlign w:val="center"/>
          </w:tcPr>
          <w:p w14:paraId="5AF8F53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6 145</w:t>
            </w:r>
          </w:p>
        </w:tc>
        <w:tc>
          <w:tcPr>
            <w:tcW w:w="821" w:type="dxa"/>
            <w:tcBorders>
              <w:top w:val="single" w:sz="6" w:space="0" w:color="auto"/>
              <w:left w:val="single" w:sz="6" w:space="0" w:color="auto"/>
              <w:bottom w:val="single" w:sz="6" w:space="0" w:color="auto"/>
              <w:right w:val="single" w:sz="6" w:space="0" w:color="auto"/>
            </w:tcBorders>
            <w:vAlign w:val="center"/>
          </w:tcPr>
          <w:p w14:paraId="1BE539F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2 977</w:t>
            </w:r>
          </w:p>
        </w:tc>
        <w:tc>
          <w:tcPr>
            <w:tcW w:w="742" w:type="dxa"/>
            <w:tcBorders>
              <w:top w:val="single" w:sz="6" w:space="0" w:color="auto"/>
              <w:left w:val="single" w:sz="6" w:space="0" w:color="auto"/>
              <w:bottom w:val="single" w:sz="6" w:space="0" w:color="auto"/>
              <w:right w:val="single" w:sz="6" w:space="0" w:color="auto"/>
            </w:tcBorders>
            <w:vAlign w:val="center"/>
          </w:tcPr>
          <w:p w14:paraId="43EDAEE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1 672</w:t>
            </w:r>
          </w:p>
        </w:tc>
        <w:tc>
          <w:tcPr>
            <w:tcW w:w="738" w:type="dxa"/>
            <w:tcBorders>
              <w:top w:val="single" w:sz="6" w:space="0" w:color="auto"/>
              <w:left w:val="single" w:sz="6" w:space="0" w:color="auto"/>
              <w:bottom w:val="single" w:sz="6" w:space="0" w:color="auto"/>
              <w:right w:val="single" w:sz="6" w:space="0" w:color="auto"/>
            </w:tcBorders>
            <w:vAlign w:val="center"/>
          </w:tcPr>
          <w:p w14:paraId="105B4BD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8 490</w:t>
            </w:r>
          </w:p>
        </w:tc>
        <w:tc>
          <w:tcPr>
            <w:tcW w:w="709" w:type="dxa"/>
            <w:tcBorders>
              <w:top w:val="single" w:sz="6" w:space="0" w:color="auto"/>
              <w:left w:val="single" w:sz="6" w:space="0" w:color="auto"/>
              <w:bottom w:val="single" w:sz="6" w:space="0" w:color="auto"/>
              <w:right w:val="single" w:sz="6" w:space="0" w:color="auto"/>
            </w:tcBorders>
            <w:vAlign w:val="center"/>
          </w:tcPr>
          <w:p w14:paraId="1978C62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5 365</w:t>
            </w:r>
          </w:p>
        </w:tc>
        <w:tc>
          <w:tcPr>
            <w:tcW w:w="855" w:type="dxa"/>
            <w:tcBorders>
              <w:top w:val="single" w:sz="6" w:space="0" w:color="auto"/>
              <w:left w:val="single" w:sz="6" w:space="0" w:color="auto"/>
              <w:bottom w:val="single" w:sz="6" w:space="0" w:color="auto"/>
              <w:right w:val="single" w:sz="6" w:space="0" w:color="auto"/>
            </w:tcBorders>
            <w:vAlign w:val="center"/>
          </w:tcPr>
          <w:p w14:paraId="4957951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5 378</w:t>
            </w:r>
          </w:p>
        </w:tc>
        <w:tc>
          <w:tcPr>
            <w:tcW w:w="854" w:type="dxa"/>
            <w:tcBorders>
              <w:top w:val="single" w:sz="6" w:space="0" w:color="auto"/>
              <w:left w:val="single" w:sz="6" w:space="0" w:color="auto"/>
              <w:bottom w:val="single" w:sz="6" w:space="0" w:color="auto"/>
              <w:right w:val="single" w:sz="6" w:space="0" w:color="auto"/>
            </w:tcBorders>
            <w:vAlign w:val="center"/>
          </w:tcPr>
          <w:p w14:paraId="3FFFB76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3 144</w:t>
            </w:r>
          </w:p>
        </w:tc>
        <w:tc>
          <w:tcPr>
            <w:tcW w:w="838" w:type="dxa"/>
            <w:tcBorders>
              <w:top w:val="single" w:sz="6" w:space="0" w:color="auto"/>
              <w:left w:val="single" w:sz="6" w:space="0" w:color="auto"/>
              <w:bottom w:val="single" w:sz="6" w:space="0" w:color="auto"/>
              <w:right w:val="single" w:sz="6" w:space="0" w:color="auto"/>
            </w:tcBorders>
            <w:vAlign w:val="center"/>
          </w:tcPr>
          <w:p w14:paraId="502AA8C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1 452</w:t>
            </w:r>
          </w:p>
        </w:tc>
        <w:tc>
          <w:tcPr>
            <w:tcW w:w="855" w:type="dxa"/>
            <w:tcBorders>
              <w:top w:val="single" w:sz="6" w:space="0" w:color="auto"/>
              <w:left w:val="single" w:sz="6" w:space="0" w:color="auto"/>
              <w:bottom w:val="single" w:sz="6" w:space="0" w:color="auto"/>
              <w:right w:val="single" w:sz="6" w:space="0" w:color="auto"/>
            </w:tcBorders>
            <w:vAlign w:val="center"/>
          </w:tcPr>
          <w:p w14:paraId="0F9AB2E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5 669</w:t>
            </w:r>
          </w:p>
        </w:tc>
        <w:tc>
          <w:tcPr>
            <w:tcW w:w="850" w:type="dxa"/>
            <w:tcBorders>
              <w:top w:val="single" w:sz="6" w:space="0" w:color="auto"/>
              <w:left w:val="single" w:sz="6" w:space="0" w:color="auto"/>
              <w:bottom w:val="single" w:sz="6" w:space="0" w:color="auto"/>
              <w:right w:val="single" w:sz="6" w:space="0" w:color="auto"/>
            </w:tcBorders>
            <w:vAlign w:val="center"/>
          </w:tcPr>
          <w:p w14:paraId="3CCD965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5 121</w:t>
            </w:r>
          </w:p>
        </w:tc>
      </w:tr>
      <w:tr w:rsidR="00117C0D" w:rsidRPr="003954D9" w14:paraId="66F01221"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167781A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950" w:type="dxa"/>
            <w:tcBorders>
              <w:top w:val="single" w:sz="6" w:space="0" w:color="auto"/>
              <w:left w:val="single" w:sz="6" w:space="0" w:color="auto"/>
              <w:bottom w:val="single" w:sz="6" w:space="0" w:color="auto"/>
              <w:right w:val="single" w:sz="6" w:space="0" w:color="auto"/>
            </w:tcBorders>
            <w:vAlign w:val="center"/>
          </w:tcPr>
          <w:p w14:paraId="01B66B0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7 158</w:t>
            </w:r>
          </w:p>
        </w:tc>
        <w:tc>
          <w:tcPr>
            <w:tcW w:w="821" w:type="dxa"/>
            <w:tcBorders>
              <w:top w:val="single" w:sz="6" w:space="0" w:color="auto"/>
              <w:left w:val="single" w:sz="6" w:space="0" w:color="auto"/>
              <w:bottom w:val="single" w:sz="6" w:space="0" w:color="auto"/>
              <w:right w:val="single" w:sz="6" w:space="0" w:color="auto"/>
            </w:tcBorders>
            <w:vAlign w:val="center"/>
          </w:tcPr>
          <w:p w14:paraId="4E354A6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4 804</w:t>
            </w:r>
          </w:p>
        </w:tc>
        <w:tc>
          <w:tcPr>
            <w:tcW w:w="742" w:type="dxa"/>
            <w:tcBorders>
              <w:top w:val="single" w:sz="6" w:space="0" w:color="auto"/>
              <w:left w:val="single" w:sz="6" w:space="0" w:color="auto"/>
              <w:bottom w:val="single" w:sz="6" w:space="0" w:color="auto"/>
              <w:right w:val="single" w:sz="6" w:space="0" w:color="auto"/>
            </w:tcBorders>
            <w:vAlign w:val="center"/>
          </w:tcPr>
          <w:p w14:paraId="6D734CB8"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3 058</w:t>
            </w:r>
          </w:p>
        </w:tc>
        <w:tc>
          <w:tcPr>
            <w:tcW w:w="738" w:type="dxa"/>
            <w:tcBorders>
              <w:top w:val="single" w:sz="6" w:space="0" w:color="auto"/>
              <w:left w:val="single" w:sz="6" w:space="0" w:color="auto"/>
              <w:bottom w:val="single" w:sz="6" w:space="0" w:color="auto"/>
              <w:right w:val="single" w:sz="6" w:space="0" w:color="auto"/>
            </w:tcBorders>
            <w:vAlign w:val="center"/>
          </w:tcPr>
          <w:p w14:paraId="7B532BB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10 807</w:t>
            </w:r>
          </w:p>
        </w:tc>
        <w:tc>
          <w:tcPr>
            <w:tcW w:w="709" w:type="dxa"/>
            <w:tcBorders>
              <w:top w:val="single" w:sz="6" w:space="0" w:color="auto"/>
              <w:left w:val="single" w:sz="6" w:space="0" w:color="auto"/>
              <w:bottom w:val="single" w:sz="6" w:space="0" w:color="auto"/>
              <w:right w:val="single" w:sz="6" w:space="0" w:color="auto"/>
            </w:tcBorders>
            <w:vAlign w:val="center"/>
          </w:tcPr>
          <w:p w14:paraId="40C236C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8 038</w:t>
            </w:r>
          </w:p>
        </w:tc>
        <w:tc>
          <w:tcPr>
            <w:tcW w:w="855" w:type="dxa"/>
            <w:tcBorders>
              <w:top w:val="single" w:sz="6" w:space="0" w:color="auto"/>
              <w:left w:val="single" w:sz="6" w:space="0" w:color="auto"/>
              <w:bottom w:val="single" w:sz="6" w:space="0" w:color="auto"/>
              <w:right w:val="single" w:sz="6" w:space="0" w:color="auto"/>
            </w:tcBorders>
            <w:vAlign w:val="center"/>
          </w:tcPr>
          <w:p w14:paraId="75BD060D"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7 030</w:t>
            </w:r>
          </w:p>
        </w:tc>
        <w:tc>
          <w:tcPr>
            <w:tcW w:w="854" w:type="dxa"/>
            <w:tcBorders>
              <w:top w:val="single" w:sz="6" w:space="0" w:color="auto"/>
              <w:left w:val="single" w:sz="6" w:space="0" w:color="auto"/>
              <w:bottom w:val="single" w:sz="6" w:space="0" w:color="auto"/>
              <w:right w:val="single" w:sz="6" w:space="0" w:color="auto"/>
            </w:tcBorders>
            <w:vAlign w:val="center"/>
          </w:tcPr>
          <w:p w14:paraId="6F9E07AC"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5 603</w:t>
            </w:r>
          </w:p>
        </w:tc>
        <w:tc>
          <w:tcPr>
            <w:tcW w:w="838" w:type="dxa"/>
            <w:tcBorders>
              <w:top w:val="single" w:sz="6" w:space="0" w:color="auto"/>
              <w:left w:val="single" w:sz="6" w:space="0" w:color="auto"/>
              <w:bottom w:val="single" w:sz="6" w:space="0" w:color="auto"/>
              <w:right w:val="single" w:sz="6" w:space="0" w:color="auto"/>
            </w:tcBorders>
            <w:vAlign w:val="center"/>
          </w:tcPr>
          <w:p w14:paraId="1C99418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2 968</w:t>
            </w:r>
          </w:p>
        </w:tc>
        <w:tc>
          <w:tcPr>
            <w:tcW w:w="855" w:type="dxa"/>
            <w:tcBorders>
              <w:top w:val="single" w:sz="6" w:space="0" w:color="auto"/>
              <w:left w:val="single" w:sz="6" w:space="0" w:color="auto"/>
              <w:bottom w:val="single" w:sz="6" w:space="0" w:color="auto"/>
              <w:right w:val="single" w:sz="6" w:space="0" w:color="auto"/>
            </w:tcBorders>
            <w:vAlign w:val="center"/>
          </w:tcPr>
          <w:p w14:paraId="3E72BA9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8 017</w:t>
            </w:r>
          </w:p>
        </w:tc>
        <w:tc>
          <w:tcPr>
            <w:tcW w:w="850" w:type="dxa"/>
            <w:tcBorders>
              <w:top w:val="single" w:sz="6" w:space="0" w:color="auto"/>
              <w:left w:val="single" w:sz="6" w:space="0" w:color="auto"/>
              <w:bottom w:val="single" w:sz="6" w:space="0" w:color="auto"/>
              <w:right w:val="single" w:sz="6" w:space="0" w:color="auto"/>
            </w:tcBorders>
            <w:vAlign w:val="center"/>
          </w:tcPr>
          <w:p w14:paraId="526E278C"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7 054</w:t>
            </w:r>
          </w:p>
        </w:tc>
      </w:tr>
      <w:tr w:rsidR="00117C0D" w:rsidRPr="003954D9" w14:paraId="2844B169"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22F467E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950" w:type="dxa"/>
            <w:tcBorders>
              <w:top w:val="single" w:sz="6" w:space="0" w:color="auto"/>
              <w:left w:val="single" w:sz="6" w:space="0" w:color="auto"/>
              <w:bottom w:val="single" w:sz="6" w:space="0" w:color="auto"/>
              <w:right w:val="single" w:sz="6" w:space="0" w:color="auto"/>
            </w:tcBorders>
            <w:vAlign w:val="center"/>
          </w:tcPr>
          <w:p w14:paraId="1542388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6 537</w:t>
            </w:r>
          </w:p>
        </w:tc>
        <w:tc>
          <w:tcPr>
            <w:tcW w:w="821" w:type="dxa"/>
            <w:tcBorders>
              <w:top w:val="single" w:sz="6" w:space="0" w:color="auto"/>
              <w:left w:val="single" w:sz="6" w:space="0" w:color="auto"/>
              <w:bottom w:val="single" w:sz="6" w:space="0" w:color="auto"/>
              <w:right w:val="single" w:sz="6" w:space="0" w:color="auto"/>
            </w:tcBorders>
            <w:vAlign w:val="center"/>
          </w:tcPr>
          <w:p w14:paraId="287F23F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4 197</w:t>
            </w:r>
          </w:p>
        </w:tc>
        <w:tc>
          <w:tcPr>
            <w:tcW w:w="742" w:type="dxa"/>
            <w:tcBorders>
              <w:top w:val="single" w:sz="6" w:space="0" w:color="auto"/>
              <w:left w:val="single" w:sz="6" w:space="0" w:color="auto"/>
              <w:bottom w:val="single" w:sz="6" w:space="0" w:color="auto"/>
              <w:right w:val="single" w:sz="6" w:space="0" w:color="auto"/>
            </w:tcBorders>
            <w:vAlign w:val="center"/>
          </w:tcPr>
          <w:p w14:paraId="3094099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1 404</w:t>
            </w:r>
          </w:p>
        </w:tc>
        <w:tc>
          <w:tcPr>
            <w:tcW w:w="738" w:type="dxa"/>
            <w:tcBorders>
              <w:top w:val="single" w:sz="6" w:space="0" w:color="auto"/>
              <w:left w:val="single" w:sz="6" w:space="0" w:color="auto"/>
              <w:bottom w:val="single" w:sz="6" w:space="0" w:color="auto"/>
              <w:right w:val="single" w:sz="6" w:space="0" w:color="auto"/>
            </w:tcBorders>
            <w:vAlign w:val="center"/>
          </w:tcPr>
          <w:p w14:paraId="3A416CB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7 981</w:t>
            </w:r>
          </w:p>
        </w:tc>
        <w:tc>
          <w:tcPr>
            <w:tcW w:w="709" w:type="dxa"/>
            <w:tcBorders>
              <w:top w:val="single" w:sz="6" w:space="0" w:color="auto"/>
              <w:left w:val="single" w:sz="6" w:space="0" w:color="auto"/>
              <w:bottom w:val="single" w:sz="6" w:space="0" w:color="auto"/>
              <w:right w:val="single" w:sz="6" w:space="0" w:color="auto"/>
            </w:tcBorders>
            <w:vAlign w:val="center"/>
          </w:tcPr>
          <w:p w14:paraId="7AF416B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4 392</w:t>
            </w:r>
          </w:p>
        </w:tc>
        <w:tc>
          <w:tcPr>
            <w:tcW w:w="855" w:type="dxa"/>
            <w:tcBorders>
              <w:top w:val="single" w:sz="6" w:space="0" w:color="auto"/>
              <w:left w:val="single" w:sz="6" w:space="0" w:color="auto"/>
              <w:bottom w:val="single" w:sz="6" w:space="0" w:color="auto"/>
              <w:right w:val="single" w:sz="6" w:space="0" w:color="auto"/>
            </w:tcBorders>
            <w:vAlign w:val="center"/>
          </w:tcPr>
          <w:p w14:paraId="01188F2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3 468</w:t>
            </w:r>
          </w:p>
        </w:tc>
        <w:tc>
          <w:tcPr>
            <w:tcW w:w="854" w:type="dxa"/>
            <w:tcBorders>
              <w:top w:val="single" w:sz="6" w:space="0" w:color="auto"/>
              <w:left w:val="single" w:sz="6" w:space="0" w:color="auto"/>
              <w:bottom w:val="single" w:sz="6" w:space="0" w:color="auto"/>
              <w:right w:val="single" w:sz="6" w:space="0" w:color="auto"/>
            </w:tcBorders>
            <w:vAlign w:val="center"/>
          </w:tcPr>
          <w:p w14:paraId="26396E6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2 752</w:t>
            </w:r>
          </w:p>
        </w:tc>
        <w:tc>
          <w:tcPr>
            <w:tcW w:w="838" w:type="dxa"/>
            <w:tcBorders>
              <w:top w:val="single" w:sz="6" w:space="0" w:color="auto"/>
              <w:left w:val="single" w:sz="6" w:space="0" w:color="auto"/>
              <w:bottom w:val="single" w:sz="6" w:space="0" w:color="auto"/>
              <w:right w:val="single" w:sz="6" w:space="0" w:color="auto"/>
            </w:tcBorders>
            <w:vAlign w:val="center"/>
          </w:tcPr>
          <w:p w14:paraId="044DB3C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1 493</w:t>
            </w:r>
          </w:p>
        </w:tc>
        <w:tc>
          <w:tcPr>
            <w:tcW w:w="855" w:type="dxa"/>
            <w:tcBorders>
              <w:top w:val="single" w:sz="6" w:space="0" w:color="auto"/>
              <w:left w:val="single" w:sz="6" w:space="0" w:color="auto"/>
              <w:bottom w:val="single" w:sz="6" w:space="0" w:color="auto"/>
              <w:right w:val="single" w:sz="6" w:space="0" w:color="auto"/>
            </w:tcBorders>
            <w:vAlign w:val="center"/>
          </w:tcPr>
          <w:p w14:paraId="33F67B0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6 118</w:t>
            </w:r>
          </w:p>
        </w:tc>
        <w:tc>
          <w:tcPr>
            <w:tcW w:w="850" w:type="dxa"/>
            <w:tcBorders>
              <w:top w:val="single" w:sz="6" w:space="0" w:color="auto"/>
              <w:left w:val="single" w:sz="6" w:space="0" w:color="auto"/>
              <w:bottom w:val="single" w:sz="6" w:space="0" w:color="auto"/>
              <w:right w:val="single" w:sz="6" w:space="0" w:color="auto"/>
            </w:tcBorders>
            <w:vAlign w:val="center"/>
          </w:tcPr>
          <w:p w14:paraId="11DB61D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4 209</w:t>
            </w:r>
          </w:p>
        </w:tc>
      </w:tr>
      <w:tr w:rsidR="00117C0D" w:rsidRPr="003954D9" w14:paraId="2976738D"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6E56CB7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950" w:type="dxa"/>
            <w:tcBorders>
              <w:top w:val="single" w:sz="6" w:space="0" w:color="auto"/>
              <w:left w:val="single" w:sz="6" w:space="0" w:color="auto"/>
              <w:bottom w:val="single" w:sz="6" w:space="0" w:color="auto"/>
              <w:right w:val="single" w:sz="6" w:space="0" w:color="auto"/>
            </w:tcBorders>
            <w:vAlign w:val="center"/>
          </w:tcPr>
          <w:p w14:paraId="12C987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7 676</w:t>
            </w:r>
          </w:p>
        </w:tc>
        <w:tc>
          <w:tcPr>
            <w:tcW w:w="821" w:type="dxa"/>
            <w:tcBorders>
              <w:top w:val="single" w:sz="6" w:space="0" w:color="auto"/>
              <w:left w:val="single" w:sz="6" w:space="0" w:color="auto"/>
              <w:bottom w:val="single" w:sz="6" w:space="0" w:color="auto"/>
              <w:right w:val="single" w:sz="6" w:space="0" w:color="auto"/>
            </w:tcBorders>
            <w:vAlign w:val="center"/>
          </w:tcPr>
          <w:p w14:paraId="586A241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5 179</w:t>
            </w:r>
          </w:p>
        </w:tc>
        <w:tc>
          <w:tcPr>
            <w:tcW w:w="742" w:type="dxa"/>
            <w:tcBorders>
              <w:top w:val="single" w:sz="6" w:space="0" w:color="auto"/>
              <w:left w:val="single" w:sz="6" w:space="0" w:color="auto"/>
              <w:bottom w:val="single" w:sz="6" w:space="0" w:color="auto"/>
              <w:right w:val="single" w:sz="6" w:space="0" w:color="auto"/>
            </w:tcBorders>
            <w:vAlign w:val="center"/>
          </w:tcPr>
          <w:p w14:paraId="7AF8A2C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2 841</w:t>
            </w:r>
          </w:p>
        </w:tc>
        <w:tc>
          <w:tcPr>
            <w:tcW w:w="738" w:type="dxa"/>
            <w:tcBorders>
              <w:top w:val="single" w:sz="6" w:space="0" w:color="auto"/>
              <w:left w:val="single" w:sz="6" w:space="0" w:color="auto"/>
              <w:bottom w:val="single" w:sz="6" w:space="0" w:color="auto"/>
              <w:right w:val="single" w:sz="6" w:space="0" w:color="auto"/>
            </w:tcBorders>
            <w:vAlign w:val="center"/>
          </w:tcPr>
          <w:p w14:paraId="2F88E317"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11 012</w:t>
            </w:r>
          </w:p>
        </w:tc>
        <w:tc>
          <w:tcPr>
            <w:tcW w:w="709" w:type="dxa"/>
            <w:tcBorders>
              <w:top w:val="single" w:sz="6" w:space="0" w:color="auto"/>
              <w:left w:val="single" w:sz="6" w:space="0" w:color="auto"/>
              <w:bottom w:val="single" w:sz="6" w:space="0" w:color="auto"/>
              <w:right w:val="single" w:sz="6" w:space="0" w:color="auto"/>
            </w:tcBorders>
            <w:vAlign w:val="center"/>
          </w:tcPr>
          <w:p w14:paraId="317CB183"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9 682</w:t>
            </w:r>
          </w:p>
        </w:tc>
        <w:tc>
          <w:tcPr>
            <w:tcW w:w="855" w:type="dxa"/>
            <w:tcBorders>
              <w:top w:val="single" w:sz="6" w:space="0" w:color="auto"/>
              <w:left w:val="single" w:sz="6" w:space="0" w:color="auto"/>
              <w:bottom w:val="single" w:sz="6" w:space="0" w:color="auto"/>
              <w:right w:val="single" w:sz="6" w:space="0" w:color="auto"/>
            </w:tcBorders>
            <w:vAlign w:val="center"/>
          </w:tcPr>
          <w:p w14:paraId="17B2C55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6 566</w:t>
            </w:r>
          </w:p>
        </w:tc>
        <w:tc>
          <w:tcPr>
            <w:tcW w:w="854" w:type="dxa"/>
            <w:tcBorders>
              <w:top w:val="single" w:sz="6" w:space="0" w:color="auto"/>
              <w:left w:val="single" w:sz="6" w:space="0" w:color="auto"/>
              <w:bottom w:val="single" w:sz="6" w:space="0" w:color="auto"/>
              <w:right w:val="single" w:sz="6" w:space="0" w:color="auto"/>
            </w:tcBorders>
            <w:vAlign w:val="center"/>
          </w:tcPr>
          <w:p w14:paraId="404A1AE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4 861</w:t>
            </w:r>
          </w:p>
        </w:tc>
        <w:tc>
          <w:tcPr>
            <w:tcW w:w="838" w:type="dxa"/>
            <w:tcBorders>
              <w:top w:val="single" w:sz="6" w:space="0" w:color="auto"/>
              <w:left w:val="single" w:sz="6" w:space="0" w:color="auto"/>
              <w:bottom w:val="single" w:sz="6" w:space="0" w:color="auto"/>
              <w:right w:val="single" w:sz="6" w:space="0" w:color="auto"/>
            </w:tcBorders>
            <w:vAlign w:val="center"/>
          </w:tcPr>
          <w:p w14:paraId="75F82BB9"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3 428</w:t>
            </w:r>
          </w:p>
        </w:tc>
        <w:tc>
          <w:tcPr>
            <w:tcW w:w="855" w:type="dxa"/>
            <w:tcBorders>
              <w:top w:val="single" w:sz="6" w:space="0" w:color="auto"/>
              <w:left w:val="single" w:sz="6" w:space="0" w:color="auto"/>
              <w:bottom w:val="single" w:sz="6" w:space="0" w:color="auto"/>
              <w:right w:val="single" w:sz="6" w:space="0" w:color="auto"/>
            </w:tcBorders>
            <w:vAlign w:val="center"/>
          </w:tcPr>
          <w:p w14:paraId="4CB23D6F"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8 522</w:t>
            </w:r>
          </w:p>
        </w:tc>
        <w:tc>
          <w:tcPr>
            <w:tcW w:w="850" w:type="dxa"/>
            <w:tcBorders>
              <w:top w:val="single" w:sz="6" w:space="0" w:color="auto"/>
              <w:left w:val="single" w:sz="6" w:space="0" w:color="auto"/>
              <w:bottom w:val="single" w:sz="6" w:space="0" w:color="auto"/>
              <w:right w:val="single" w:sz="6" w:space="0" w:color="auto"/>
            </w:tcBorders>
            <w:vAlign w:val="center"/>
          </w:tcPr>
          <w:p w14:paraId="6CEBB47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6 765</w:t>
            </w:r>
          </w:p>
        </w:tc>
      </w:tr>
      <w:tr w:rsidR="00117C0D" w:rsidRPr="003954D9" w14:paraId="120021EA"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403B9EB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950" w:type="dxa"/>
            <w:tcBorders>
              <w:top w:val="single" w:sz="6" w:space="0" w:color="auto"/>
              <w:left w:val="single" w:sz="6" w:space="0" w:color="auto"/>
              <w:bottom w:val="single" w:sz="6" w:space="0" w:color="auto"/>
              <w:right w:val="single" w:sz="6" w:space="0" w:color="auto"/>
            </w:tcBorders>
            <w:vAlign w:val="center"/>
          </w:tcPr>
          <w:p w14:paraId="4A43EE8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6 350</w:t>
            </w:r>
          </w:p>
        </w:tc>
        <w:tc>
          <w:tcPr>
            <w:tcW w:w="821" w:type="dxa"/>
            <w:tcBorders>
              <w:top w:val="single" w:sz="6" w:space="0" w:color="auto"/>
              <w:left w:val="single" w:sz="6" w:space="0" w:color="auto"/>
              <w:bottom w:val="single" w:sz="6" w:space="0" w:color="auto"/>
              <w:right w:val="single" w:sz="6" w:space="0" w:color="auto"/>
            </w:tcBorders>
            <w:vAlign w:val="center"/>
          </w:tcPr>
          <w:p w14:paraId="2B227F0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2 909</w:t>
            </w:r>
          </w:p>
        </w:tc>
        <w:tc>
          <w:tcPr>
            <w:tcW w:w="742" w:type="dxa"/>
            <w:tcBorders>
              <w:top w:val="single" w:sz="6" w:space="0" w:color="auto"/>
              <w:left w:val="single" w:sz="6" w:space="0" w:color="auto"/>
              <w:bottom w:val="single" w:sz="6" w:space="0" w:color="auto"/>
              <w:right w:val="single" w:sz="6" w:space="0" w:color="auto"/>
            </w:tcBorders>
            <w:vAlign w:val="center"/>
          </w:tcPr>
          <w:p w14:paraId="6570A63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1 669</w:t>
            </w:r>
          </w:p>
        </w:tc>
        <w:tc>
          <w:tcPr>
            <w:tcW w:w="738" w:type="dxa"/>
            <w:tcBorders>
              <w:top w:val="single" w:sz="6" w:space="0" w:color="auto"/>
              <w:left w:val="single" w:sz="6" w:space="0" w:color="auto"/>
              <w:bottom w:val="single" w:sz="6" w:space="0" w:color="auto"/>
              <w:right w:val="single" w:sz="6" w:space="0" w:color="auto"/>
            </w:tcBorders>
            <w:vAlign w:val="center"/>
          </w:tcPr>
          <w:p w14:paraId="2DA5179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6 738</w:t>
            </w:r>
          </w:p>
        </w:tc>
        <w:tc>
          <w:tcPr>
            <w:tcW w:w="709" w:type="dxa"/>
            <w:tcBorders>
              <w:top w:val="single" w:sz="6" w:space="0" w:color="auto"/>
              <w:left w:val="single" w:sz="6" w:space="0" w:color="auto"/>
              <w:bottom w:val="single" w:sz="6" w:space="0" w:color="auto"/>
              <w:right w:val="single" w:sz="6" w:space="0" w:color="auto"/>
            </w:tcBorders>
            <w:vAlign w:val="center"/>
          </w:tcPr>
          <w:p w14:paraId="318701F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5 201</w:t>
            </w:r>
          </w:p>
        </w:tc>
        <w:tc>
          <w:tcPr>
            <w:tcW w:w="855" w:type="dxa"/>
            <w:tcBorders>
              <w:top w:val="single" w:sz="6" w:space="0" w:color="auto"/>
              <w:left w:val="single" w:sz="6" w:space="0" w:color="auto"/>
              <w:bottom w:val="single" w:sz="6" w:space="0" w:color="auto"/>
              <w:right w:val="single" w:sz="6" w:space="0" w:color="auto"/>
            </w:tcBorders>
            <w:vAlign w:val="center"/>
          </w:tcPr>
          <w:p w14:paraId="2363B2E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3 853</w:t>
            </w:r>
          </w:p>
        </w:tc>
        <w:tc>
          <w:tcPr>
            <w:tcW w:w="854" w:type="dxa"/>
            <w:tcBorders>
              <w:top w:val="single" w:sz="6" w:space="0" w:color="auto"/>
              <w:left w:val="single" w:sz="6" w:space="0" w:color="auto"/>
              <w:bottom w:val="single" w:sz="6" w:space="0" w:color="auto"/>
              <w:right w:val="single" w:sz="6" w:space="0" w:color="auto"/>
            </w:tcBorders>
            <w:vAlign w:val="center"/>
          </w:tcPr>
          <w:p w14:paraId="42D3350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2 971</w:t>
            </w:r>
          </w:p>
        </w:tc>
        <w:tc>
          <w:tcPr>
            <w:tcW w:w="838" w:type="dxa"/>
            <w:tcBorders>
              <w:top w:val="single" w:sz="6" w:space="0" w:color="auto"/>
              <w:left w:val="single" w:sz="6" w:space="0" w:color="auto"/>
              <w:bottom w:val="single" w:sz="6" w:space="0" w:color="auto"/>
              <w:right w:val="single" w:sz="6" w:space="0" w:color="auto"/>
            </w:tcBorders>
            <w:vAlign w:val="center"/>
          </w:tcPr>
          <w:p w14:paraId="3BA59FE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1 939</w:t>
            </w:r>
          </w:p>
        </w:tc>
        <w:tc>
          <w:tcPr>
            <w:tcW w:w="855" w:type="dxa"/>
            <w:tcBorders>
              <w:top w:val="single" w:sz="6" w:space="0" w:color="auto"/>
              <w:left w:val="single" w:sz="6" w:space="0" w:color="auto"/>
              <w:bottom w:val="single" w:sz="6" w:space="0" w:color="auto"/>
              <w:right w:val="single" w:sz="6" w:space="0" w:color="auto"/>
            </w:tcBorders>
            <w:vAlign w:val="center"/>
          </w:tcPr>
          <w:p w14:paraId="5BF4961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6 228</w:t>
            </w:r>
          </w:p>
        </w:tc>
        <w:tc>
          <w:tcPr>
            <w:tcW w:w="850" w:type="dxa"/>
            <w:tcBorders>
              <w:top w:val="single" w:sz="6" w:space="0" w:color="auto"/>
              <w:left w:val="single" w:sz="6" w:space="0" w:color="auto"/>
              <w:bottom w:val="single" w:sz="6" w:space="0" w:color="auto"/>
              <w:right w:val="single" w:sz="6" w:space="0" w:color="auto"/>
            </w:tcBorders>
            <w:vAlign w:val="center"/>
          </w:tcPr>
          <w:p w14:paraId="512EF88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3 982</w:t>
            </w:r>
          </w:p>
        </w:tc>
      </w:tr>
      <w:tr w:rsidR="00117C0D" w:rsidRPr="003954D9" w14:paraId="3EC7F9F0"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2A21D89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950" w:type="dxa"/>
            <w:tcBorders>
              <w:top w:val="single" w:sz="6" w:space="0" w:color="auto"/>
              <w:left w:val="single" w:sz="6" w:space="0" w:color="auto"/>
              <w:bottom w:val="single" w:sz="6" w:space="0" w:color="auto"/>
              <w:right w:val="single" w:sz="6" w:space="0" w:color="auto"/>
            </w:tcBorders>
            <w:vAlign w:val="center"/>
          </w:tcPr>
          <w:p w14:paraId="6F7DDBE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4 512</w:t>
            </w:r>
          </w:p>
        </w:tc>
        <w:tc>
          <w:tcPr>
            <w:tcW w:w="821" w:type="dxa"/>
            <w:tcBorders>
              <w:top w:val="single" w:sz="6" w:space="0" w:color="auto"/>
              <w:left w:val="single" w:sz="6" w:space="0" w:color="auto"/>
              <w:bottom w:val="single" w:sz="6" w:space="0" w:color="auto"/>
              <w:right w:val="single" w:sz="6" w:space="0" w:color="auto"/>
            </w:tcBorders>
            <w:vAlign w:val="center"/>
          </w:tcPr>
          <w:p w14:paraId="4A69698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2 869</w:t>
            </w:r>
          </w:p>
        </w:tc>
        <w:tc>
          <w:tcPr>
            <w:tcW w:w="742" w:type="dxa"/>
            <w:tcBorders>
              <w:top w:val="single" w:sz="6" w:space="0" w:color="auto"/>
              <w:left w:val="single" w:sz="6" w:space="0" w:color="auto"/>
              <w:bottom w:val="single" w:sz="6" w:space="0" w:color="auto"/>
              <w:right w:val="single" w:sz="6" w:space="0" w:color="auto"/>
            </w:tcBorders>
            <w:vAlign w:val="center"/>
          </w:tcPr>
          <w:p w14:paraId="4903618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802</w:t>
            </w:r>
          </w:p>
        </w:tc>
        <w:tc>
          <w:tcPr>
            <w:tcW w:w="738" w:type="dxa"/>
            <w:tcBorders>
              <w:top w:val="single" w:sz="6" w:space="0" w:color="auto"/>
              <w:left w:val="single" w:sz="6" w:space="0" w:color="auto"/>
              <w:bottom w:val="single" w:sz="6" w:space="0" w:color="auto"/>
              <w:right w:val="single" w:sz="6" w:space="0" w:color="auto"/>
            </w:tcBorders>
            <w:vAlign w:val="center"/>
          </w:tcPr>
          <w:p w14:paraId="21C2267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5 828</w:t>
            </w:r>
          </w:p>
        </w:tc>
        <w:tc>
          <w:tcPr>
            <w:tcW w:w="709" w:type="dxa"/>
            <w:tcBorders>
              <w:top w:val="single" w:sz="6" w:space="0" w:color="auto"/>
              <w:left w:val="single" w:sz="6" w:space="0" w:color="auto"/>
              <w:bottom w:val="single" w:sz="6" w:space="0" w:color="auto"/>
              <w:right w:val="single" w:sz="6" w:space="0" w:color="auto"/>
            </w:tcBorders>
            <w:vAlign w:val="center"/>
          </w:tcPr>
          <w:p w14:paraId="304A0DE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3 894</w:t>
            </w:r>
          </w:p>
        </w:tc>
        <w:tc>
          <w:tcPr>
            <w:tcW w:w="855" w:type="dxa"/>
            <w:tcBorders>
              <w:top w:val="single" w:sz="6" w:space="0" w:color="auto"/>
              <w:left w:val="single" w:sz="6" w:space="0" w:color="auto"/>
              <w:bottom w:val="single" w:sz="6" w:space="0" w:color="auto"/>
              <w:right w:val="single" w:sz="6" w:space="0" w:color="auto"/>
            </w:tcBorders>
            <w:vAlign w:val="center"/>
          </w:tcPr>
          <w:p w14:paraId="24032D2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2 989</w:t>
            </w:r>
          </w:p>
        </w:tc>
        <w:tc>
          <w:tcPr>
            <w:tcW w:w="854" w:type="dxa"/>
            <w:tcBorders>
              <w:top w:val="single" w:sz="6" w:space="0" w:color="auto"/>
              <w:left w:val="single" w:sz="6" w:space="0" w:color="auto"/>
              <w:bottom w:val="single" w:sz="6" w:space="0" w:color="auto"/>
              <w:right w:val="single" w:sz="6" w:space="0" w:color="auto"/>
            </w:tcBorders>
            <w:vAlign w:val="center"/>
          </w:tcPr>
          <w:p w14:paraId="28E7344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2 067</w:t>
            </w:r>
          </w:p>
        </w:tc>
        <w:tc>
          <w:tcPr>
            <w:tcW w:w="838" w:type="dxa"/>
            <w:tcBorders>
              <w:top w:val="single" w:sz="6" w:space="0" w:color="auto"/>
              <w:left w:val="single" w:sz="6" w:space="0" w:color="auto"/>
              <w:bottom w:val="single" w:sz="6" w:space="0" w:color="auto"/>
              <w:right w:val="single" w:sz="6" w:space="0" w:color="auto"/>
            </w:tcBorders>
            <w:vAlign w:val="center"/>
          </w:tcPr>
          <w:p w14:paraId="48CCD00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1 044</w:t>
            </w:r>
          </w:p>
        </w:tc>
        <w:tc>
          <w:tcPr>
            <w:tcW w:w="855" w:type="dxa"/>
            <w:tcBorders>
              <w:top w:val="single" w:sz="6" w:space="0" w:color="auto"/>
              <w:left w:val="single" w:sz="6" w:space="0" w:color="auto"/>
              <w:bottom w:val="single" w:sz="6" w:space="0" w:color="auto"/>
              <w:right w:val="single" w:sz="6" w:space="0" w:color="auto"/>
            </w:tcBorders>
            <w:vAlign w:val="center"/>
          </w:tcPr>
          <w:p w14:paraId="745630C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5 110</w:t>
            </w:r>
          </w:p>
        </w:tc>
        <w:tc>
          <w:tcPr>
            <w:tcW w:w="850" w:type="dxa"/>
            <w:tcBorders>
              <w:top w:val="single" w:sz="6" w:space="0" w:color="auto"/>
              <w:left w:val="single" w:sz="6" w:space="0" w:color="auto"/>
              <w:bottom w:val="single" w:sz="6" w:space="0" w:color="auto"/>
              <w:right w:val="single" w:sz="6" w:space="0" w:color="auto"/>
            </w:tcBorders>
            <w:vAlign w:val="center"/>
          </w:tcPr>
          <w:p w14:paraId="299B1D8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3 101</w:t>
            </w:r>
          </w:p>
        </w:tc>
      </w:tr>
      <w:tr w:rsidR="00117C0D" w:rsidRPr="003954D9" w14:paraId="1584E4DC"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18CC53B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950" w:type="dxa"/>
            <w:tcBorders>
              <w:top w:val="single" w:sz="6" w:space="0" w:color="auto"/>
              <w:left w:val="single" w:sz="6" w:space="0" w:color="auto"/>
              <w:bottom w:val="single" w:sz="6" w:space="0" w:color="auto"/>
              <w:right w:val="single" w:sz="6" w:space="0" w:color="auto"/>
            </w:tcBorders>
            <w:vAlign w:val="center"/>
          </w:tcPr>
          <w:p w14:paraId="71B5548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7 494</w:t>
            </w:r>
          </w:p>
        </w:tc>
        <w:tc>
          <w:tcPr>
            <w:tcW w:w="821" w:type="dxa"/>
            <w:tcBorders>
              <w:top w:val="single" w:sz="6" w:space="0" w:color="auto"/>
              <w:left w:val="single" w:sz="6" w:space="0" w:color="auto"/>
              <w:bottom w:val="single" w:sz="6" w:space="0" w:color="auto"/>
              <w:right w:val="single" w:sz="6" w:space="0" w:color="auto"/>
            </w:tcBorders>
            <w:vAlign w:val="center"/>
          </w:tcPr>
          <w:p w14:paraId="5479655C"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5 707</w:t>
            </w:r>
          </w:p>
        </w:tc>
        <w:tc>
          <w:tcPr>
            <w:tcW w:w="742" w:type="dxa"/>
            <w:tcBorders>
              <w:top w:val="single" w:sz="6" w:space="0" w:color="auto"/>
              <w:left w:val="single" w:sz="6" w:space="0" w:color="auto"/>
              <w:bottom w:val="single" w:sz="6" w:space="0" w:color="auto"/>
              <w:right w:val="single" w:sz="6" w:space="0" w:color="auto"/>
            </w:tcBorders>
            <w:vAlign w:val="center"/>
          </w:tcPr>
          <w:p w14:paraId="503266D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2 496</w:t>
            </w:r>
          </w:p>
        </w:tc>
        <w:tc>
          <w:tcPr>
            <w:tcW w:w="738" w:type="dxa"/>
            <w:tcBorders>
              <w:top w:val="single" w:sz="6" w:space="0" w:color="auto"/>
              <w:left w:val="single" w:sz="6" w:space="0" w:color="auto"/>
              <w:bottom w:val="single" w:sz="6" w:space="0" w:color="auto"/>
              <w:right w:val="single" w:sz="6" w:space="0" w:color="auto"/>
            </w:tcBorders>
            <w:vAlign w:val="center"/>
          </w:tcPr>
          <w:p w14:paraId="38A03FF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10 044</w:t>
            </w:r>
          </w:p>
        </w:tc>
        <w:tc>
          <w:tcPr>
            <w:tcW w:w="709" w:type="dxa"/>
            <w:tcBorders>
              <w:top w:val="single" w:sz="6" w:space="0" w:color="auto"/>
              <w:left w:val="single" w:sz="6" w:space="0" w:color="auto"/>
              <w:bottom w:val="single" w:sz="6" w:space="0" w:color="auto"/>
              <w:right w:val="single" w:sz="6" w:space="0" w:color="auto"/>
            </w:tcBorders>
            <w:vAlign w:val="center"/>
          </w:tcPr>
          <w:p w14:paraId="76C1C15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8 261</w:t>
            </w:r>
          </w:p>
        </w:tc>
        <w:tc>
          <w:tcPr>
            <w:tcW w:w="855" w:type="dxa"/>
            <w:tcBorders>
              <w:top w:val="single" w:sz="6" w:space="0" w:color="auto"/>
              <w:left w:val="single" w:sz="6" w:space="0" w:color="auto"/>
              <w:bottom w:val="single" w:sz="6" w:space="0" w:color="auto"/>
              <w:right w:val="single" w:sz="6" w:space="0" w:color="auto"/>
            </w:tcBorders>
            <w:vAlign w:val="center"/>
          </w:tcPr>
          <w:p w14:paraId="0223EB3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6 369</w:t>
            </w:r>
          </w:p>
        </w:tc>
        <w:tc>
          <w:tcPr>
            <w:tcW w:w="854" w:type="dxa"/>
            <w:tcBorders>
              <w:top w:val="single" w:sz="6" w:space="0" w:color="auto"/>
              <w:left w:val="single" w:sz="6" w:space="0" w:color="auto"/>
              <w:bottom w:val="single" w:sz="6" w:space="0" w:color="auto"/>
              <w:right w:val="single" w:sz="6" w:space="0" w:color="auto"/>
            </w:tcBorders>
            <w:vAlign w:val="center"/>
          </w:tcPr>
          <w:p w14:paraId="3702B1E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4 882</w:t>
            </w:r>
          </w:p>
        </w:tc>
        <w:tc>
          <w:tcPr>
            <w:tcW w:w="838" w:type="dxa"/>
            <w:tcBorders>
              <w:top w:val="single" w:sz="6" w:space="0" w:color="auto"/>
              <w:left w:val="single" w:sz="6" w:space="0" w:color="auto"/>
              <w:bottom w:val="single" w:sz="6" w:space="0" w:color="auto"/>
              <w:right w:val="single" w:sz="6" w:space="0" w:color="auto"/>
            </w:tcBorders>
            <w:vAlign w:val="center"/>
          </w:tcPr>
          <w:p w14:paraId="7D6FFBD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3 010</w:t>
            </w:r>
          </w:p>
        </w:tc>
        <w:tc>
          <w:tcPr>
            <w:tcW w:w="855" w:type="dxa"/>
            <w:tcBorders>
              <w:top w:val="single" w:sz="6" w:space="0" w:color="auto"/>
              <w:left w:val="single" w:sz="6" w:space="0" w:color="auto"/>
              <w:bottom w:val="single" w:sz="6" w:space="0" w:color="auto"/>
              <w:right w:val="single" w:sz="6" w:space="0" w:color="auto"/>
            </w:tcBorders>
            <w:vAlign w:val="center"/>
          </w:tcPr>
          <w:p w14:paraId="4C1CF01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7 273</w:t>
            </w:r>
          </w:p>
        </w:tc>
        <w:tc>
          <w:tcPr>
            <w:tcW w:w="850" w:type="dxa"/>
            <w:tcBorders>
              <w:top w:val="single" w:sz="6" w:space="0" w:color="auto"/>
              <w:left w:val="single" w:sz="6" w:space="0" w:color="auto"/>
              <w:bottom w:val="single" w:sz="6" w:space="0" w:color="auto"/>
              <w:right w:val="single" w:sz="6" w:space="0" w:color="auto"/>
            </w:tcBorders>
            <w:vAlign w:val="center"/>
          </w:tcPr>
          <w:p w14:paraId="0D33C12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7 026</w:t>
            </w:r>
          </w:p>
        </w:tc>
      </w:tr>
      <w:tr w:rsidR="00117C0D" w:rsidRPr="003954D9" w14:paraId="6C84B281"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264C858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50" w:type="dxa"/>
            <w:tcBorders>
              <w:top w:val="single" w:sz="6" w:space="0" w:color="auto"/>
              <w:left w:val="single" w:sz="6" w:space="0" w:color="auto"/>
              <w:bottom w:val="single" w:sz="6" w:space="0" w:color="auto"/>
              <w:right w:val="single" w:sz="6" w:space="0" w:color="auto"/>
            </w:tcBorders>
            <w:vAlign w:val="center"/>
          </w:tcPr>
          <w:p w14:paraId="60ABF31F"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7 743</w:t>
            </w:r>
          </w:p>
        </w:tc>
        <w:tc>
          <w:tcPr>
            <w:tcW w:w="821" w:type="dxa"/>
            <w:tcBorders>
              <w:top w:val="single" w:sz="6" w:space="0" w:color="auto"/>
              <w:left w:val="single" w:sz="6" w:space="0" w:color="auto"/>
              <w:bottom w:val="single" w:sz="6" w:space="0" w:color="auto"/>
              <w:right w:val="single" w:sz="6" w:space="0" w:color="auto"/>
            </w:tcBorders>
            <w:vAlign w:val="center"/>
          </w:tcPr>
          <w:p w14:paraId="3F9ACCF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3 903</w:t>
            </w:r>
          </w:p>
        </w:tc>
        <w:tc>
          <w:tcPr>
            <w:tcW w:w="742" w:type="dxa"/>
            <w:tcBorders>
              <w:top w:val="single" w:sz="6" w:space="0" w:color="auto"/>
              <w:left w:val="single" w:sz="6" w:space="0" w:color="auto"/>
              <w:bottom w:val="single" w:sz="6" w:space="0" w:color="auto"/>
              <w:right w:val="single" w:sz="6" w:space="0" w:color="auto"/>
            </w:tcBorders>
            <w:vAlign w:val="center"/>
          </w:tcPr>
          <w:p w14:paraId="30B7193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2 239</w:t>
            </w:r>
          </w:p>
        </w:tc>
        <w:tc>
          <w:tcPr>
            <w:tcW w:w="738" w:type="dxa"/>
            <w:tcBorders>
              <w:top w:val="single" w:sz="6" w:space="0" w:color="auto"/>
              <w:left w:val="single" w:sz="6" w:space="0" w:color="auto"/>
              <w:bottom w:val="single" w:sz="6" w:space="0" w:color="auto"/>
              <w:right w:val="single" w:sz="6" w:space="0" w:color="auto"/>
            </w:tcBorders>
            <w:vAlign w:val="center"/>
          </w:tcPr>
          <w:p w14:paraId="7B4F573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9 905</w:t>
            </w:r>
          </w:p>
        </w:tc>
        <w:tc>
          <w:tcPr>
            <w:tcW w:w="709" w:type="dxa"/>
            <w:tcBorders>
              <w:top w:val="single" w:sz="6" w:space="0" w:color="auto"/>
              <w:left w:val="single" w:sz="6" w:space="0" w:color="auto"/>
              <w:bottom w:val="single" w:sz="6" w:space="0" w:color="auto"/>
              <w:right w:val="single" w:sz="6" w:space="0" w:color="auto"/>
            </w:tcBorders>
            <w:vAlign w:val="center"/>
          </w:tcPr>
          <w:p w14:paraId="2DD23C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6 943</w:t>
            </w:r>
          </w:p>
        </w:tc>
        <w:tc>
          <w:tcPr>
            <w:tcW w:w="855" w:type="dxa"/>
            <w:tcBorders>
              <w:top w:val="single" w:sz="6" w:space="0" w:color="auto"/>
              <w:left w:val="single" w:sz="6" w:space="0" w:color="auto"/>
              <w:bottom w:val="single" w:sz="6" w:space="0" w:color="auto"/>
              <w:right w:val="single" w:sz="6" w:space="0" w:color="auto"/>
            </w:tcBorders>
            <w:vAlign w:val="center"/>
          </w:tcPr>
          <w:p w14:paraId="7571E5D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5 416</w:t>
            </w:r>
          </w:p>
        </w:tc>
        <w:tc>
          <w:tcPr>
            <w:tcW w:w="854" w:type="dxa"/>
            <w:tcBorders>
              <w:top w:val="single" w:sz="6" w:space="0" w:color="auto"/>
              <w:left w:val="single" w:sz="6" w:space="0" w:color="auto"/>
              <w:bottom w:val="single" w:sz="6" w:space="0" w:color="auto"/>
              <w:right w:val="single" w:sz="6" w:space="0" w:color="auto"/>
            </w:tcBorders>
            <w:vAlign w:val="center"/>
          </w:tcPr>
          <w:p w14:paraId="2D8C7E7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5 481</w:t>
            </w:r>
          </w:p>
        </w:tc>
        <w:tc>
          <w:tcPr>
            <w:tcW w:w="838" w:type="dxa"/>
            <w:tcBorders>
              <w:top w:val="single" w:sz="6" w:space="0" w:color="auto"/>
              <w:left w:val="single" w:sz="6" w:space="0" w:color="auto"/>
              <w:bottom w:val="single" w:sz="6" w:space="0" w:color="auto"/>
              <w:right w:val="single" w:sz="6" w:space="0" w:color="auto"/>
            </w:tcBorders>
            <w:vAlign w:val="center"/>
          </w:tcPr>
          <w:p w14:paraId="01DC8F2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2 286</w:t>
            </w:r>
          </w:p>
        </w:tc>
        <w:tc>
          <w:tcPr>
            <w:tcW w:w="855" w:type="dxa"/>
            <w:tcBorders>
              <w:top w:val="single" w:sz="6" w:space="0" w:color="auto"/>
              <w:left w:val="single" w:sz="6" w:space="0" w:color="auto"/>
              <w:bottom w:val="single" w:sz="6" w:space="0" w:color="auto"/>
              <w:right w:val="single" w:sz="6" w:space="0" w:color="auto"/>
            </w:tcBorders>
            <w:vAlign w:val="center"/>
          </w:tcPr>
          <w:p w14:paraId="056C583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7 243</w:t>
            </w:r>
          </w:p>
        </w:tc>
        <w:tc>
          <w:tcPr>
            <w:tcW w:w="850" w:type="dxa"/>
            <w:tcBorders>
              <w:top w:val="single" w:sz="6" w:space="0" w:color="auto"/>
              <w:left w:val="single" w:sz="6" w:space="0" w:color="auto"/>
              <w:bottom w:val="single" w:sz="6" w:space="0" w:color="auto"/>
              <w:right w:val="single" w:sz="6" w:space="0" w:color="auto"/>
            </w:tcBorders>
            <w:vAlign w:val="center"/>
          </w:tcPr>
          <w:p w14:paraId="2880B3F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5 889</w:t>
            </w:r>
          </w:p>
        </w:tc>
      </w:tr>
      <w:tr w:rsidR="00117C0D" w:rsidRPr="003954D9" w14:paraId="6675B256"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39C1012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950" w:type="dxa"/>
            <w:tcBorders>
              <w:top w:val="single" w:sz="6" w:space="0" w:color="auto"/>
              <w:left w:val="single" w:sz="6" w:space="0" w:color="auto"/>
              <w:bottom w:val="single" w:sz="6" w:space="0" w:color="auto"/>
              <w:right w:val="single" w:sz="6" w:space="0" w:color="auto"/>
            </w:tcBorders>
            <w:vAlign w:val="center"/>
          </w:tcPr>
          <w:p w14:paraId="3C550D6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4 476</w:t>
            </w:r>
          </w:p>
        </w:tc>
        <w:tc>
          <w:tcPr>
            <w:tcW w:w="821" w:type="dxa"/>
            <w:tcBorders>
              <w:top w:val="single" w:sz="6" w:space="0" w:color="auto"/>
              <w:left w:val="single" w:sz="6" w:space="0" w:color="auto"/>
              <w:bottom w:val="single" w:sz="6" w:space="0" w:color="auto"/>
              <w:right w:val="single" w:sz="6" w:space="0" w:color="auto"/>
            </w:tcBorders>
            <w:vAlign w:val="center"/>
          </w:tcPr>
          <w:p w14:paraId="25F00E0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2 485</w:t>
            </w:r>
          </w:p>
        </w:tc>
        <w:tc>
          <w:tcPr>
            <w:tcW w:w="742" w:type="dxa"/>
            <w:tcBorders>
              <w:top w:val="single" w:sz="6" w:space="0" w:color="auto"/>
              <w:left w:val="single" w:sz="6" w:space="0" w:color="auto"/>
              <w:bottom w:val="single" w:sz="6" w:space="0" w:color="auto"/>
              <w:right w:val="single" w:sz="6" w:space="0" w:color="auto"/>
            </w:tcBorders>
            <w:vAlign w:val="center"/>
          </w:tcPr>
          <w:p w14:paraId="0556BB5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937</w:t>
            </w:r>
          </w:p>
        </w:tc>
        <w:tc>
          <w:tcPr>
            <w:tcW w:w="738" w:type="dxa"/>
            <w:tcBorders>
              <w:top w:val="single" w:sz="6" w:space="0" w:color="auto"/>
              <w:left w:val="single" w:sz="6" w:space="0" w:color="auto"/>
              <w:bottom w:val="single" w:sz="6" w:space="0" w:color="auto"/>
              <w:right w:val="single" w:sz="6" w:space="0" w:color="auto"/>
            </w:tcBorders>
            <w:vAlign w:val="center"/>
          </w:tcPr>
          <w:p w14:paraId="6B5DFD8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5 678</w:t>
            </w:r>
          </w:p>
        </w:tc>
        <w:tc>
          <w:tcPr>
            <w:tcW w:w="709" w:type="dxa"/>
            <w:tcBorders>
              <w:top w:val="single" w:sz="6" w:space="0" w:color="auto"/>
              <w:left w:val="single" w:sz="6" w:space="0" w:color="auto"/>
              <w:bottom w:val="single" w:sz="6" w:space="0" w:color="auto"/>
              <w:right w:val="single" w:sz="6" w:space="0" w:color="auto"/>
            </w:tcBorders>
            <w:vAlign w:val="center"/>
          </w:tcPr>
          <w:p w14:paraId="0FD406B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3 613</w:t>
            </w:r>
          </w:p>
        </w:tc>
        <w:tc>
          <w:tcPr>
            <w:tcW w:w="855" w:type="dxa"/>
            <w:tcBorders>
              <w:top w:val="single" w:sz="6" w:space="0" w:color="auto"/>
              <w:left w:val="single" w:sz="6" w:space="0" w:color="auto"/>
              <w:bottom w:val="single" w:sz="6" w:space="0" w:color="auto"/>
              <w:right w:val="single" w:sz="6" w:space="0" w:color="auto"/>
            </w:tcBorders>
            <w:vAlign w:val="center"/>
          </w:tcPr>
          <w:p w14:paraId="5412C996"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2 723</w:t>
            </w:r>
          </w:p>
        </w:tc>
        <w:tc>
          <w:tcPr>
            <w:tcW w:w="854" w:type="dxa"/>
            <w:tcBorders>
              <w:top w:val="single" w:sz="6" w:space="0" w:color="auto"/>
              <w:left w:val="single" w:sz="6" w:space="0" w:color="auto"/>
              <w:bottom w:val="single" w:sz="6" w:space="0" w:color="auto"/>
              <w:right w:val="single" w:sz="6" w:space="0" w:color="auto"/>
            </w:tcBorders>
            <w:vAlign w:val="center"/>
          </w:tcPr>
          <w:p w14:paraId="6FCC6C4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2 063</w:t>
            </w:r>
          </w:p>
        </w:tc>
        <w:tc>
          <w:tcPr>
            <w:tcW w:w="838" w:type="dxa"/>
            <w:tcBorders>
              <w:top w:val="single" w:sz="6" w:space="0" w:color="auto"/>
              <w:left w:val="single" w:sz="6" w:space="0" w:color="auto"/>
              <w:bottom w:val="single" w:sz="6" w:space="0" w:color="auto"/>
              <w:right w:val="single" w:sz="6" w:space="0" w:color="auto"/>
            </w:tcBorders>
            <w:vAlign w:val="center"/>
          </w:tcPr>
          <w:p w14:paraId="106322D6"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1 015</w:t>
            </w:r>
          </w:p>
        </w:tc>
        <w:tc>
          <w:tcPr>
            <w:tcW w:w="855" w:type="dxa"/>
            <w:tcBorders>
              <w:top w:val="single" w:sz="6" w:space="0" w:color="auto"/>
              <w:left w:val="single" w:sz="6" w:space="0" w:color="auto"/>
              <w:bottom w:val="single" w:sz="6" w:space="0" w:color="auto"/>
              <w:right w:val="single" w:sz="6" w:space="0" w:color="auto"/>
            </w:tcBorders>
            <w:vAlign w:val="center"/>
          </w:tcPr>
          <w:p w14:paraId="463C1806"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4 410</w:t>
            </w:r>
          </w:p>
        </w:tc>
        <w:tc>
          <w:tcPr>
            <w:tcW w:w="850" w:type="dxa"/>
            <w:tcBorders>
              <w:top w:val="single" w:sz="6" w:space="0" w:color="auto"/>
              <w:left w:val="single" w:sz="6" w:space="0" w:color="auto"/>
              <w:bottom w:val="single" w:sz="6" w:space="0" w:color="auto"/>
              <w:right w:val="single" w:sz="6" w:space="0" w:color="auto"/>
            </w:tcBorders>
            <w:vAlign w:val="center"/>
          </w:tcPr>
          <w:p w14:paraId="0A72856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2 924</w:t>
            </w:r>
          </w:p>
        </w:tc>
      </w:tr>
      <w:tr w:rsidR="00117C0D" w:rsidRPr="00155ABC" w14:paraId="374FE49A" w14:textId="77777777" w:rsidTr="00117C0D">
        <w:trPr>
          <w:trHeight w:val="227"/>
        </w:trPr>
        <w:tc>
          <w:tcPr>
            <w:tcW w:w="1032" w:type="dxa"/>
            <w:tcBorders>
              <w:top w:val="single" w:sz="6" w:space="0" w:color="auto"/>
              <w:left w:val="single" w:sz="6" w:space="0" w:color="auto"/>
              <w:bottom w:val="single" w:sz="6" w:space="0" w:color="auto"/>
              <w:right w:val="single" w:sz="6" w:space="0" w:color="auto"/>
            </w:tcBorders>
          </w:tcPr>
          <w:p w14:paraId="4C47843A" w14:textId="77777777" w:rsidR="00117C0D" w:rsidRPr="00155ABC" w:rsidRDefault="00117C0D" w:rsidP="00117C0D">
            <w:pPr>
              <w:autoSpaceDE w:val="0"/>
              <w:autoSpaceDN w:val="0"/>
              <w:adjustRightInd w:val="0"/>
              <w:rPr>
                <w:rFonts w:ascii="Calibri" w:hAnsi="Calibri" w:cs="Calibri"/>
                <w:b/>
                <w:bCs/>
                <w:color w:val="000000"/>
                <w:sz w:val="16"/>
                <w:szCs w:val="16"/>
              </w:rPr>
            </w:pPr>
            <w:r w:rsidRPr="00155ABC">
              <w:rPr>
                <w:rFonts w:ascii="Calibri" w:hAnsi="Calibri" w:cs="Calibri"/>
                <w:b/>
                <w:bCs/>
                <w:color w:val="000000"/>
                <w:sz w:val="16"/>
                <w:szCs w:val="16"/>
              </w:rPr>
              <w:t>Alla</w:t>
            </w:r>
          </w:p>
        </w:tc>
        <w:tc>
          <w:tcPr>
            <w:tcW w:w="950" w:type="dxa"/>
            <w:tcBorders>
              <w:top w:val="single" w:sz="6" w:space="0" w:color="auto"/>
              <w:left w:val="single" w:sz="6" w:space="0" w:color="auto"/>
              <w:bottom w:val="single" w:sz="6" w:space="0" w:color="auto"/>
              <w:right w:val="single" w:sz="6" w:space="0" w:color="auto"/>
            </w:tcBorders>
            <w:vAlign w:val="center"/>
          </w:tcPr>
          <w:p w14:paraId="6EA88FFE" w14:textId="77777777" w:rsidR="00117C0D" w:rsidRPr="00155ABC" w:rsidRDefault="00117C0D" w:rsidP="00117C0D">
            <w:pPr>
              <w:autoSpaceDE w:val="0"/>
              <w:autoSpaceDN w:val="0"/>
              <w:adjustRightInd w:val="0"/>
              <w:jc w:val="right"/>
              <w:rPr>
                <w:rFonts w:ascii="Calibri" w:hAnsi="Calibri" w:cs="Calibri"/>
                <w:b/>
                <w:bCs/>
                <w:color w:val="000000"/>
                <w:sz w:val="16"/>
                <w:szCs w:val="16"/>
              </w:rPr>
            </w:pPr>
            <w:r w:rsidRPr="00155ABC">
              <w:rPr>
                <w:rFonts w:ascii="Calibri" w:hAnsi="Calibri" w:cs="Calibri"/>
                <w:b/>
                <w:bCs/>
                <w:color w:val="000000"/>
                <w:sz w:val="16"/>
                <w:szCs w:val="16"/>
              </w:rPr>
              <w:t>5 981</w:t>
            </w:r>
          </w:p>
        </w:tc>
        <w:tc>
          <w:tcPr>
            <w:tcW w:w="821" w:type="dxa"/>
            <w:tcBorders>
              <w:top w:val="single" w:sz="6" w:space="0" w:color="auto"/>
              <w:left w:val="single" w:sz="6" w:space="0" w:color="auto"/>
              <w:bottom w:val="single" w:sz="6" w:space="0" w:color="auto"/>
              <w:right w:val="single" w:sz="6" w:space="0" w:color="auto"/>
            </w:tcBorders>
            <w:vAlign w:val="center"/>
          </w:tcPr>
          <w:p w14:paraId="53A8E4D4" w14:textId="77777777" w:rsidR="00117C0D" w:rsidRPr="00155ABC" w:rsidRDefault="00117C0D" w:rsidP="00117C0D">
            <w:pPr>
              <w:autoSpaceDE w:val="0"/>
              <w:autoSpaceDN w:val="0"/>
              <w:adjustRightInd w:val="0"/>
              <w:jc w:val="right"/>
              <w:rPr>
                <w:rFonts w:ascii="Calibri" w:hAnsi="Calibri" w:cs="Calibri"/>
                <w:b/>
                <w:bCs/>
                <w:color w:val="000000"/>
                <w:sz w:val="16"/>
                <w:szCs w:val="16"/>
              </w:rPr>
            </w:pPr>
            <w:r w:rsidRPr="00155ABC">
              <w:rPr>
                <w:rFonts w:ascii="Calibri" w:hAnsi="Calibri" w:cs="Calibri"/>
                <w:b/>
                <w:bCs/>
                <w:color w:val="000000"/>
                <w:sz w:val="16"/>
                <w:szCs w:val="16"/>
              </w:rPr>
              <w:t>3 722</w:t>
            </w:r>
          </w:p>
        </w:tc>
        <w:tc>
          <w:tcPr>
            <w:tcW w:w="742" w:type="dxa"/>
            <w:tcBorders>
              <w:top w:val="single" w:sz="6" w:space="0" w:color="auto"/>
              <w:left w:val="single" w:sz="6" w:space="0" w:color="auto"/>
              <w:bottom w:val="single" w:sz="6" w:space="0" w:color="auto"/>
              <w:right w:val="single" w:sz="6" w:space="0" w:color="auto"/>
            </w:tcBorders>
            <w:vAlign w:val="center"/>
          </w:tcPr>
          <w:p w14:paraId="115F860A" w14:textId="77777777" w:rsidR="00117C0D" w:rsidRPr="00155ABC" w:rsidRDefault="00117C0D" w:rsidP="00117C0D">
            <w:pPr>
              <w:autoSpaceDE w:val="0"/>
              <w:autoSpaceDN w:val="0"/>
              <w:adjustRightInd w:val="0"/>
              <w:jc w:val="right"/>
              <w:rPr>
                <w:rFonts w:ascii="Calibri" w:hAnsi="Calibri" w:cs="Calibri"/>
                <w:b/>
                <w:bCs/>
                <w:color w:val="000000"/>
                <w:sz w:val="16"/>
                <w:szCs w:val="16"/>
              </w:rPr>
            </w:pPr>
            <w:r w:rsidRPr="00155ABC">
              <w:rPr>
                <w:rFonts w:ascii="Calibri" w:hAnsi="Calibri" w:cs="Calibri"/>
                <w:b/>
                <w:bCs/>
                <w:color w:val="000000"/>
                <w:sz w:val="16"/>
                <w:szCs w:val="16"/>
              </w:rPr>
              <w:t>1 382</w:t>
            </w:r>
          </w:p>
        </w:tc>
        <w:tc>
          <w:tcPr>
            <w:tcW w:w="738" w:type="dxa"/>
            <w:tcBorders>
              <w:top w:val="single" w:sz="6" w:space="0" w:color="auto"/>
              <w:left w:val="single" w:sz="6" w:space="0" w:color="auto"/>
              <w:bottom w:val="single" w:sz="6" w:space="0" w:color="auto"/>
              <w:right w:val="single" w:sz="6" w:space="0" w:color="auto"/>
            </w:tcBorders>
            <w:vAlign w:val="center"/>
          </w:tcPr>
          <w:p w14:paraId="18A5EC20" w14:textId="77777777" w:rsidR="00117C0D" w:rsidRPr="00155ABC" w:rsidRDefault="00117C0D" w:rsidP="00117C0D">
            <w:pPr>
              <w:autoSpaceDE w:val="0"/>
              <w:autoSpaceDN w:val="0"/>
              <w:adjustRightInd w:val="0"/>
              <w:jc w:val="right"/>
              <w:rPr>
                <w:rFonts w:ascii="Calibri" w:hAnsi="Calibri" w:cs="Calibri"/>
                <w:b/>
                <w:bCs/>
                <w:color w:val="000000"/>
                <w:sz w:val="16"/>
                <w:szCs w:val="16"/>
              </w:rPr>
            </w:pPr>
            <w:r w:rsidRPr="00155ABC">
              <w:rPr>
                <w:rFonts w:ascii="Calibri" w:hAnsi="Calibri" w:cs="Calibri"/>
                <w:b/>
                <w:bCs/>
                <w:color w:val="000000"/>
                <w:sz w:val="16"/>
                <w:szCs w:val="16"/>
              </w:rPr>
              <w:t>7 873</w:t>
            </w:r>
          </w:p>
        </w:tc>
        <w:tc>
          <w:tcPr>
            <w:tcW w:w="709" w:type="dxa"/>
            <w:tcBorders>
              <w:top w:val="single" w:sz="6" w:space="0" w:color="auto"/>
              <w:left w:val="single" w:sz="6" w:space="0" w:color="auto"/>
              <w:bottom w:val="single" w:sz="6" w:space="0" w:color="auto"/>
              <w:right w:val="single" w:sz="6" w:space="0" w:color="auto"/>
            </w:tcBorders>
            <w:vAlign w:val="center"/>
          </w:tcPr>
          <w:p w14:paraId="30604DD6" w14:textId="77777777" w:rsidR="00117C0D" w:rsidRPr="00155ABC" w:rsidRDefault="00117C0D" w:rsidP="00117C0D">
            <w:pPr>
              <w:autoSpaceDE w:val="0"/>
              <w:autoSpaceDN w:val="0"/>
              <w:adjustRightInd w:val="0"/>
              <w:jc w:val="right"/>
              <w:rPr>
                <w:rFonts w:ascii="Calibri" w:hAnsi="Calibri" w:cs="Calibri"/>
                <w:b/>
                <w:bCs/>
                <w:color w:val="000000"/>
                <w:sz w:val="16"/>
                <w:szCs w:val="16"/>
              </w:rPr>
            </w:pPr>
            <w:r w:rsidRPr="00155ABC">
              <w:rPr>
                <w:rFonts w:ascii="Calibri" w:hAnsi="Calibri" w:cs="Calibri"/>
                <w:b/>
                <w:bCs/>
                <w:color w:val="000000"/>
                <w:sz w:val="16"/>
                <w:szCs w:val="16"/>
              </w:rPr>
              <w:t>5 870</w:t>
            </w:r>
          </w:p>
        </w:tc>
        <w:tc>
          <w:tcPr>
            <w:tcW w:w="855" w:type="dxa"/>
            <w:tcBorders>
              <w:top w:val="single" w:sz="6" w:space="0" w:color="auto"/>
              <w:left w:val="single" w:sz="6" w:space="0" w:color="auto"/>
              <w:bottom w:val="single" w:sz="6" w:space="0" w:color="auto"/>
              <w:right w:val="single" w:sz="6" w:space="0" w:color="auto"/>
            </w:tcBorders>
            <w:vAlign w:val="center"/>
          </w:tcPr>
          <w:p w14:paraId="7996C5C8" w14:textId="77777777" w:rsidR="00117C0D" w:rsidRPr="00155ABC" w:rsidRDefault="00117C0D" w:rsidP="00117C0D">
            <w:pPr>
              <w:autoSpaceDE w:val="0"/>
              <w:autoSpaceDN w:val="0"/>
              <w:adjustRightInd w:val="0"/>
              <w:jc w:val="right"/>
              <w:rPr>
                <w:rFonts w:ascii="Calibri" w:hAnsi="Calibri" w:cs="Calibri"/>
                <w:b/>
                <w:bCs/>
                <w:color w:val="000000"/>
                <w:sz w:val="16"/>
                <w:szCs w:val="16"/>
              </w:rPr>
            </w:pPr>
            <w:r w:rsidRPr="00155ABC">
              <w:rPr>
                <w:rFonts w:ascii="Calibri" w:hAnsi="Calibri" w:cs="Calibri"/>
                <w:b/>
                <w:bCs/>
                <w:color w:val="000000"/>
                <w:sz w:val="16"/>
                <w:szCs w:val="16"/>
              </w:rPr>
              <w:t>4 360</w:t>
            </w:r>
          </w:p>
        </w:tc>
        <w:tc>
          <w:tcPr>
            <w:tcW w:w="854" w:type="dxa"/>
            <w:tcBorders>
              <w:top w:val="single" w:sz="6" w:space="0" w:color="auto"/>
              <w:left w:val="single" w:sz="6" w:space="0" w:color="auto"/>
              <w:bottom w:val="single" w:sz="6" w:space="0" w:color="auto"/>
              <w:right w:val="single" w:sz="6" w:space="0" w:color="auto"/>
            </w:tcBorders>
            <w:vAlign w:val="center"/>
          </w:tcPr>
          <w:p w14:paraId="282E8EF5" w14:textId="77777777" w:rsidR="00117C0D" w:rsidRPr="00155ABC" w:rsidRDefault="00117C0D" w:rsidP="00117C0D">
            <w:pPr>
              <w:autoSpaceDE w:val="0"/>
              <w:autoSpaceDN w:val="0"/>
              <w:adjustRightInd w:val="0"/>
              <w:jc w:val="right"/>
              <w:rPr>
                <w:rFonts w:ascii="Calibri" w:hAnsi="Calibri" w:cs="Calibri"/>
                <w:b/>
                <w:bCs/>
                <w:color w:val="000000"/>
                <w:sz w:val="16"/>
                <w:szCs w:val="16"/>
              </w:rPr>
            </w:pPr>
            <w:r w:rsidRPr="00155ABC">
              <w:rPr>
                <w:rFonts w:ascii="Calibri" w:hAnsi="Calibri" w:cs="Calibri"/>
                <w:b/>
                <w:bCs/>
                <w:color w:val="000000"/>
                <w:sz w:val="16"/>
                <w:szCs w:val="16"/>
              </w:rPr>
              <w:t>2 958</w:t>
            </w:r>
          </w:p>
        </w:tc>
        <w:tc>
          <w:tcPr>
            <w:tcW w:w="838" w:type="dxa"/>
            <w:tcBorders>
              <w:top w:val="single" w:sz="6" w:space="0" w:color="auto"/>
              <w:left w:val="single" w:sz="6" w:space="0" w:color="auto"/>
              <w:bottom w:val="single" w:sz="6" w:space="0" w:color="auto"/>
              <w:right w:val="single" w:sz="6" w:space="0" w:color="auto"/>
            </w:tcBorders>
            <w:vAlign w:val="center"/>
          </w:tcPr>
          <w:p w14:paraId="1D2F05E0" w14:textId="77777777" w:rsidR="00117C0D" w:rsidRPr="00155ABC" w:rsidRDefault="00117C0D" w:rsidP="00117C0D">
            <w:pPr>
              <w:autoSpaceDE w:val="0"/>
              <w:autoSpaceDN w:val="0"/>
              <w:adjustRightInd w:val="0"/>
              <w:jc w:val="right"/>
              <w:rPr>
                <w:rFonts w:ascii="Calibri" w:hAnsi="Calibri" w:cs="Calibri"/>
                <w:b/>
                <w:bCs/>
                <w:color w:val="000000"/>
                <w:sz w:val="16"/>
                <w:szCs w:val="16"/>
              </w:rPr>
            </w:pPr>
            <w:r w:rsidRPr="00155ABC">
              <w:rPr>
                <w:rFonts w:ascii="Calibri" w:hAnsi="Calibri" w:cs="Calibri"/>
                <w:b/>
                <w:bCs/>
                <w:color w:val="000000"/>
                <w:sz w:val="16"/>
                <w:szCs w:val="16"/>
              </w:rPr>
              <w:t>1 351</w:t>
            </w:r>
          </w:p>
        </w:tc>
        <w:tc>
          <w:tcPr>
            <w:tcW w:w="855" w:type="dxa"/>
            <w:tcBorders>
              <w:top w:val="single" w:sz="6" w:space="0" w:color="auto"/>
              <w:left w:val="single" w:sz="6" w:space="0" w:color="auto"/>
              <w:bottom w:val="single" w:sz="6" w:space="0" w:color="auto"/>
              <w:right w:val="single" w:sz="6" w:space="0" w:color="auto"/>
            </w:tcBorders>
            <w:vAlign w:val="center"/>
          </w:tcPr>
          <w:p w14:paraId="3001370C" w14:textId="77777777" w:rsidR="00117C0D" w:rsidRPr="00155ABC" w:rsidRDefault="00117C0D" w:rsidP="00117C0D">
            <w:pPr>
              <w:autoSpaceDE w:val="0"/>
              <w:autoSpaceDN w:val="0"/>
              <w:adjustRightInd w:val="0"/>
              <w:jc w:val="right"/>
              <w:rPr>
                <w:rFonts w:ascii="Calibri" w:hAnsi="Calibri" w:cs="Calibri"/>
                <w:b/>
                <w:bCs/>
                <w:color w:val="000000"/>
                <w:sz w:val="16"/>
                <w:szCs w:val="16"/>
              </w:rPr>
            </w:pPr>
            <w:r w:rsidRPr="00155ABC">
              <w:rPr>
                <w:rFonts w:ascii="Calibri" w:hAnsi="Calibri" w:cs="Calibri"/>
                <w:b/>
                <w:bCs/>
                <w:color w:val="000000"/>
                <w:sz w:val="16"/>
                <w:szCs w:val="16"/>
              </w:rPr>
              <w:t>5 878</w:t>
            </w:r>
          </w:p>
        </w:tc>
        <w:tc>
          <w:tcPr>
            <w:tcW w:w="850" w:type="dxa"/>
            <w:tcBorders>
              <w:top w:val="single" w:sz="6" w:space="0" w:color="auto"/>
              <w:left w:val="single" w:sz="6" w:space="0" w:color="auto"/>
              <w:bottom w:val="single" w:sz="6" w:space="0" w:color="auto"/>
              <w:right w:val="single" w:sz="6" w:space="0" w:color="auto"/>
            </w:tcBorders>
            <w:vAlign w:val="center"/>
          </w:tcPr>
          <w:p w14:paraId="39A98494" w14:textId="77777777" w:rsidR="00117C0D" w:rsidRPr="00155ABC" w:rsidRDefault="00117C0D" w:rsidP="00117C0D">
            <w:pPr>
              <w:autoSpaceDE w:val="0"/>
              <w:autoSpaceDN w:val="0"/>
              <w:adjustRightInd w:val="0"/>
              <w:jc w:val="right"/>
              <w:rPr>
                <w:rFonts w:ascii="Calibri" w:hAnsi="Calibri" w:cs="Calibri"/>
                <w:b/>
                <w:bCs/>
                <w:color w:val="000000"/>
                <w:sz w:val="16"/>
                <w:szCs w:val="16"/>
              </w:rPr>
            </w:pPr>
            <w:r w:rsidRPr="00155ABC">
              <w:rPr>
                <w:rFonts w:ascii="Calibri" w:hAnsi="Calibri" w:cs="Calibri"/>
                <w:b/>
                <w:bCs/>
                <w:color w:val="000000"/>
                <w:sz w:val="16"/>
                <w:szCs w:val="16"/>
              </w:rPr>
              <w:t>3 793</w:t>
            </w:r>
          </w:p>
        </w:tc>
      </w:tr>
    </w:tbl>
    <w:p w14:paraId="66339747" w14:textId="77777777" w:rsidR="00D37D9E" w:rsidRPr="003954D9" w:rsidRDefault="00D37D9E" w:rsidP="00D37D9E">
      <w:pPr>
        <w:rPr>
          <w:sz w:val="16"/>
          <w:szCs w:val="16"/>
        </w:rPr>
      </w:pPr>
      <w:r w:rsidRPr="00155ABC">
        <w:rPr>
          <w:b/>
          <w:color w:val="FF6600"/>
          <w:sz w:val="16"/>
          <w:szCs w:val="16"/>
        </w:rPr>
        <w:t>Röd färg högsta</w:t>
      </w:r>
      <w:r w:rsidRPr="003954D9">
        <w:rPr>
          <w:color w:val="FF6600"/>
          <w:sz w:val="16"/>
          <w:szCs w:val="16"/>
        </w:rPr>
        <w:t xml:space="preserve"> </w:t>
      </w:r>
      <w:r w:rsidRPr="003954D9">
        <w:rPr>
          <w:sz w:val="16"/>
          <w:szCs w:val="16"/>
        </w:rPr>
        <w:t xml:space="preserve">och </w:t>
      </w:r>
      <w:r w:rsidRPr="00155ABC">
        <w:rPr>
          <w:b/>
          <w:color w:val="0070C0"/>
          <w:sz w:val="16"/>
          <w:szCs w:val="16"/>
        </w:rPr>
        <w:t>blå färg lägsta</w:t>
      </w:r>
      <w:r w:rsidRPr="00155ABC">
        <w:rPr>
          <w:color w:val="0070C0"/>
          <w:sz w:val="16"/>
          <w:szCs w:val="16"/>
        </w:rPr>
        <w:t xml:space="preserve"> </w:t>
      </w:r>
      <w:r w:rsidRPr="003954D9">
        <w:rPr>
          <w:sz w:val="16"/>
          <w:szCs w:val="16"/>
        </w:rPr>
        <w:t>värde i grupp.</w:t>
      </w:r>
    </w:p>
    <w:p w14:paraId="51968C24" w14:textId="29438D72"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 xml:space="preserve">Tabell 3:3: Kvar av disponibel inkomst utöver skälig </w:t>
      </w:r>
      <w:r w:rsidR="003954D9" w:rsidRPr="003954D9">
        <w:rPr>
          <w:rFonts w:asciiTheme="majorHAnsi" w:eastAsiaTheme="majorEastAsia" w:hAnsiTheme="majorHAnsi" w:cstheme="majorBidi"/>
          <w:color w:val="243F60" w:themeColor="accent1" w:themeShade="7F"/>
        </w:rPr>
        <w:t>levnadsnivå när</w:t>
      </w:r>
      <w:r w:rsidRPr="003954D9">
        <w:rPr>
          <w:rFonts w:asciiTheme="majorHAnsi" w:eastAsiaTheme="majorEastAsia" w:hAnsiTheme="majorHAnsi" w:cstheme="majorBidi"/>
          <w:color w:val="243F60" w:themeColor="accent1" w:themeShade="7F"/>
        </w:rPr>
        <w:t xml:space="preserve"> dagens hyra är betald, kronor per månad och person, lägenhetstyp och stadsdel – medelvärden</w:t>
      </w:r>
    </w:p>
    <w:tbl>
      <w:tblPr>
        <w:tblW w:w="0" w:type="auto"/>
        <w:tblInd w:w="-30" w:type="dxa"/>
        <w:tblCellMar>
          <w:left w:w="70" w:type="dxa"/>
          <w:right w:w="70" w:type="dxa"/>
        </w:tblCellMar>
        <w:tblLook w:val="0000" w:firstRow="0" w:lastRow="0" w:firstColumn="0" w:lastColumn="0" w:noHBand="0" w:noVBand="0"/>
      </w:tblPr>
      <w:tblGrid>
        <w:gridCol w:w="1736"/>
        <w:gridCol w:w="553"/>
        <w:gridCol w:w="501"/>
        <w:gridCol w:w="553"/>
        <w:gridCol w:w="501"/>
        <w:gridCol w:w="501"/>
        <w:gridCol w:w="501"/>
        <w:gridCol w:w="563"/>
        <w:gridCol w:w="714"/>
      </w:tblGrid>
      <w:tr w:rsidR="00117C0D" w:rsidRPr="003954D9" w14:paraId="5E260035"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178B0F6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Lägenhetstyp</w:t>
            </w:r>
          </w:p>
        </w:tc>
        <w:tc>
          <w:tcPr>
            <w:tcW w:w="0" w:type="auto"/>
            <w:tcBorders>
              <w:top w:val="single" w:sz="4" w:space="0" w:color="auto"/>
              <w:left w:val="single" w:sz="4" w:space="0" w:color="auto"/>
              <w:bottom w:val="single" w:sz="4" w:space="0" w:color="auto"/>
              <w:right w:val="single" w:sz="4" w:space="0" w:color="auto"/>
            </w:tcBorders>
          </w:tcPr>
          <w:p w14:paraId="4CD9CEF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rokv</w:t>
            </w:r>
          </w:p>
        </w:tc>
        <w:tc>
          <w:tcPr>
            <w:tcW w:w="0" w:type="auto"/>
            <w:tcBorders>
              <w:top w:val="single" w:sz="4" w:space="0" w:color="auto"/>
              <w:left w:val="single" w:sz="4" w:space="0" w:color="auto"/>
              <w:bottom w:val="single" w:sz="4" w:space="0" w:color="auto"/>
              <w:right w:val="single" w:sz="4" w:space="0" w:color="auto"/>
            </w:tcBorders>
          </w:tcPr>
          <w:p w14:paraId="5AE57B3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w:t>
            </w:r>
          </w:p>
        </w:tc>
        <w:tc>
          <w:tcPr>
            <w:tcW w:w="0" w:type="auto"/>
            <w:tcBorders>
              <w:top w:val="single" w:sz="4" w:space="0" w:color="auto"/>
              <w:left w:val="single" w:sz="4" w:space="0" w:color="auto"/>
              <w:bottom w:val="single" w:sz="4" w:space="0" w:color="auto"/>
              <w:right w:val="single" w:sz="4" w:space="0" w:color="auto"/>
            </w:tcBorders>
          </w:tcPr>
          <w:p w14:paraId="30B51AF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rokv</w:t>
            </w:r>
          </w:p>
        </w:tc>
        <w:tc>
          <w:tcPr>
            <w:tcW w:w="0" w:type="auto"/>
            <w:tcBorders>
              <w:top w:val="single" w:sz="4" w:space="0" w:color="auto"/>
              <w:left w:val="single" w:sz="4" w:space="0" w:color="auto"/>
              <w:bottom w:val="single" w:sz="4" w:space="0" w:color="auto"/>
              <w:right w:val="single" w:sz="4" w:space="0" w:color="auto"/>
            </w:tcBorders>
          </w:tcPr>
          <w:p w14:paraId="2ED846B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w:t>
            </w:r>
          </w:p>
        </w:tc>
        <w:tc>
          <w:tcPr>
            <w:tcW w:w="0" w:type="auto"/>
            <w:tcBorders>
              <w:top w:val="single" w:sz="4" w:space="0" w:color="auto"/>
              <w:left w:val="single" w:sz="4" w:space="0" w:color="auto"/>
              <w:bottom w:val="single" w:sz="4" w:space="0" w:color="auto"/>
              <w:right w:val="single" w:sz="4" w:space="0" w:color="auto"/>
            </w:tcBorders>
          </w:tcPr>
          <w:p w14:paraId="3A1E34F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3 rok</w:t>
            </w:r>
          </w:p>
        </w:tc>
        <w:tc>
          <w:tcPr>
            <w:tcW w:w="0" w:type="auto"/>
            <w:tcBorders>
              <w:top w:val="single" w:sz="4" w:space="0" w:color="auto"/>
              <w:left w:val="single" w:sz="4" w:space="0" w:color="auto"/>
              <w:bottom w:val="single" w:sz="4" w:space="0" w:color="auto"/>
              <w:right w:val="single" w:sz="4" w:space="0" w:color="auto"/>
            </w:tcBorders>
          </w:tcPr>
          <w:p w14:paraId="33E3016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4 rok</w:t>
            </w:r>
          </w:p>
        </w:tc>
        <w:tc>
          <w:tcPr>
            <w:tcW w:w="0" w:type="auto"/>
            <w:tcBorders>
              <w:top w:val="single" w:sz="4" w:space="0" w:color="auto"/>
              <w:left w:val="single" w:sz="4" w:space="0" w:color="auto"/>
              <w:bottom w:val="single" w:sz="4" w:space="0" w:color="auto"/>
              <w:right w:val="single" w:sz="4" w:space="0" w:color="auto"/>
            </w:tcBorders>
          </w:tcPr>
          <w:p w14:paraId="26B9E18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5 - rok</w:t>
            </w:r>
          </w:p>
        </w:tc>
        <w:tc>
          <w:tcPr>
            <w:tcW w:w="0" w:type="auto"/>
            <w:tcBorders>
              <w:top w:val="single" w:sz="4" w:space="0" w:color="auto"/>
              <w:left w:val="single" w:sz="4" w:space="0" w:color="auto"/>
              <w:bottom w:val="single" w:sz="4" w:space="0" w:color="auto"/>
              <w:right w:val="single" w:sz="4" w:space="0" w:color="auto"/>
            </w:tcBorders>
          </w:tcPr>
          <w:p w14:paraId="440DBD5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Samtliga</w:t>
            </w:r>
          </w:p>
        </w:tc>
      </w:tr>
      <w:tr w:rsidR="00117C0D" w:rsidRPr="003954D9" w14:paraId="2B0D9FEE"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72E2DB4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0" w:type="auto"/>
            <w:tcBorders>
              <w:top w:val="single" w:sz="4" w:space="0" w:color="auto"/>
              <w:left w:val="single" w:sz="4" w:space="0" w:color="auto"/>
              <w:bottom w:val="single" w:sz="4" w:space="0" w:color="auto"/>
              <w:right w:val="single" w:sz="4" w:space="0" w:color="auto"/>
            </w:tcBorders>
          </w:tcPr>
          <w:p w14:paraId="04030D7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2 282</w:t>
            </w:r>
          </w:p>
        </w:tc>
        <w:tc>
          <w:tcPr>
            <w:tcW w:w="0" w:type="auto"/>
            <w:tcBorders>
              <w:top w:val="single" w:sz="4" w:space="0" w:color="auto"/>
              <w:left w:val="single" w:sz="4" w:space="0" w:color="auto"/>
              <w:bottom w:val="single" w:sz="4" w:space="0" w:color="auto"/>
              <w:right w:val="single" w:sz="4" w:space="0" w:color="auto"/>
            </w:tcBorders>
          </w:tcPr>
          <w:p w14:paraId="0428134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2 355</w:t>
            </w:r>
          </w:p>
        </w:tc>
        <w:tc>
          <w:tcPr>
            <w:tcW w:w="0" w:type="auto"/>
            <w:tcBorders>
              <w:top w:val="single" w:sz="4" w:space="0" w:color="auto"/>
              <w:left w:val="single" w:sz="4" w:space="0" w:color="auto"/>
              <w:bottom w:val="single" w:sz="4" w:space="0" w:color="auto"/>
              <w:right w:val="single" w:sz="4" w:space="0" w:color="auto"/>
            </w:tcBorders>
          </w:tcPr>
          <w:p w14:paraId="10775E9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1 162</w:t>
            </w:r>
          </w:p>
        </w:tc>
        <w:tc>
          <w:tcPr>
            <w:tcW w:w="0" w:type="auto"/>
            <w:tcBorders>
              <w:top w:val="single" w:sz="4" w:space="0" w:color="auto"/>
              <w:left w:val="single" w:sz="4" w:space="0" w:color="auto"/>
              <w:bottom w:val="single" w:sz="4" w:space="0" w:color="auto"/>
              <w:right w:val="single" w:sz="4" w:space="0" w:color="auto"/>
            </w:tcBorders>
          </w:tcPr>
          <w:p w14:paraId="4E7550C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1 044</w:t>
            </w:r>
          </w:p>
        </w:tc>
        <w:tc>
          <w:tcPr>
            <w:tcW w:w="0" w:type="auto"/>
            <w:tcBorders>
              <w:top w:val="single" w:sz="4" w:space="0" w:color="auto"/>
              <w:left w:val="single" w:sz="4" w:space="0" w:color="auto"/>
              <w:bottom w:val="single" w:sz="4" w:space="0" w:color="auto"/>
              <w:right w:val="single" w:sz="4" w:space="0" w:color="auto"/>
            </w:tcBorders>
          </w:tcPr>
          <w:p w14:paraId="05A8AE6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685</w:t>
            </w:r>
          </w:p>
        </w:tc>
        <w:tc>
          <w:tcPr>
            <w:tcW w:w="0" w:type="auto"/>
            <w:tcBorders>
              <w:top w:val="single" w:sz="4" w:space="0" w:color="auto"/>
              <w:left w:val="single" w:sz="4" w:space="0" w:color="auto"/>
              <w:bottom w:val="single" w:sz="4" w:space="0" w:color="auto"/>
              <w:right w:val="single" w:sz="4" w:space="0" w:color="auto"/>
            </w:tcBorders>
          </w:tcPr>
          <w:p w14:paraId="33382DB1"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878</w:t>
            </w:r>
          </w:p>
        </w:tc>
        <w:tc>
          <w:tcPr>
            <w:tcW w:w="0" w:type="auto"/>
            <w:tcBorders>
              <w:top w:val="single" w:sz="4" w:space="0" w:color="auto"/>
              <w:left w:val="single" w:sz="4" w:space="0" w:color="auto"/>
              <w:bottom w:val="single" w:sz="4" w:space="0" w:color="auto"/>
              <w:right w:val="single" w:sz="4" w:space="0" w:color="auto"/>
            </w:tcBorders>
          </w:tcPr>
          <w:p w14:paraId="0D3DAB9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w:t>
            </w:r>
          </w:p>
        </w:tc>
        <w:tc>
          <w:tcPr>
            <w:tcW w:w="0" w:type="auto"/>
            <w:tcBorders>
              <w:top w:val="single" w:sz="4" w:space="0" w:color="auto"/>
              <w:left w:val="single" w:sz="4" w:space="0" w:color="auto"/>
              <w:bottom w:val="single" w:sz="4" w:space="0" w:color="auto"/>
              <w:right w:val="single" w:sz="4" w:space="0" w:color="auto"/>
            </w:tcBorders>
          </w:tcPr>
          <w:p w14:paraId="11EC2329" w14:textId="77777777" w:rsidR="00117C0D" w:rsidRPr="003954D9" w:rsidRDefault="00117C0D" w:rsidP="00117C0D">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861</w:t>
            </w:r>
          </w:p>
        </w:tc>
      </w:tr>
      <w:tr w:rsidR="00117C0D" w:rsidRPr="003954D9" w14:paraId="4BA6F387"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44BD449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0" w:type="auto"/>
            <w:tcBorders>
              <w:top w:val="single" w:sz="4" w:space="0" w:color="auto"/>
              <w:left w:val="single" w:sz="4" w:space="0" w:color="auto"/>
              <w:bottom w:val="single" w:sz="4" w:space="0" w:color="auto"/>
              <w:right w:val="single" w:sz="4" w:space="0" w:color="auto"/>
            </w:tcBorders>
          </w:tcPr>
          <w:p w14:paraId="2BFDAB4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1 286</w:t>
            </w:r>
          </w:p>
        </w:tc>
        <w:tc>
          <w:tcPr>
            <w:tcW w:w="0" w:type="auto"/>
            <w:tcBorders>
              <w:top w:val="single" w:sz="4" w:space="0" w:color="auto"/>
              <w:left w:val="single" w:sz="4" w:space="0" w:color="auto"/>
              <w:bottom w:val="single" w:sz="4" w:space="0" w:color="auto"/>
              <w:right w:val="single" w:sz="4" w:space="0" w:color="auto"/>
            </w:tcBorders>
          </w:tcPr>
          <w:p w14:paraId="3DA17D4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2 443</w:t>
            </w:r>
          </w:p>
        </w:tc>
        <w:tc>
          <w:tcPr>
            <w:tcW w:w="0" w:type="auto"/>
            <w:tcBorders>
              <w:top w:val="single" w:sz="4" w:space="0" w:color="auto"/>
              <w:left w:val="single" w:sz="4" w:space="0" w:color="auto"/>
              <w:bottom w:val="single" w:sz="4" w:space="0" w:color="auto"/>
              <w:right w:val="single" w:sz="4" w:space="0" w:color="auto"/>
            </w:tcBorders>
          </w:tcPr>
          <w:p w14:paraId="774F80CD"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31</w:t>
            </w:r>
          </w:p>
        </w:tc>
        <w:tc>
          <w:tcPr>
            <w:tcW w:w="0" w:type="auto"/>
            <w:tcBorders>
              <w:top w:val="single" w:sz="4" w:space="0" w:color="auto"/>
              <w:left w:val="single" w:sz="4" w:space="0" w:color="auto"/>
              <w:bottom w:val="single" w:sz="4" w:space="0" w:color="auto"/>
              <w:right w:val="single" w:sz="4" w:space="0" w:color="auto"/>
            </w:tcBorders>
          </w:tcPr>
          <w:p w14:paraId="400D364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2 047</w:t>
            </w:r>
          </w:p>
        </w:tc>
        <w:tc>
          <w:tcPr>
            <w:tcW w:w="0" w:type="auto"/>
            <w:tcBorders>
              <w:top w:val="single" w:sz="4" w:space="0" w:color="auto"/>
              <w:left w:val="single" w:sz="4" w:space="0" w:color="auto"/>
              <w:bottom w:val="single" w:sz="4" w:space="0" w:color="auto"/>
              <w:right w:val="single" w:sz="4" w:space="0" w:color="auto"/>
            </w:tcBorders>
          </w:tcPr>
          <w:p w14:paraId="55E81AB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1 682</w:t>
            </w:r>
          </w:p>
        </w:tc>
        <w:tc>
          <w:tcPr>
            <w:tcW w:w="0" w:type="auto"/>
            <w:tcBorders>
              <w:top w:val="single" w:sz="4" w:space="0" w:color="auto"/>
              <w:left w:val="single" w:sz="4" w:space="0" w:color="auto"/>
              <w:bottom w:val="single" w:sz="4" w:space="0" w:color="auto"/>
              <w:right w:val="single" w:sz="4" w:space="0" w:color="auto"/>
            </w:tcBorders>
          </w:tcPr>
          <w:p w14:paraId="4456691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2 554</w:t>
            </w:r>
          </w:p>
        </w:tc>
        <w:tc>
          <w:tcPr>
            <w:tcW w:w="0" w:type="auto"/>
            <w:tcBorders>
              <w:top w:val="single" w:sz="4" w:space="0" w:color="auto"/>
              <w:left w:val="single" w:sz="4" w:space="0" w:color="auto"/>
              <w:bottom w:val="single" w:sz="4" w:space="0" w:color="auto"/>
              <w:right w:val="single" w:sz="4" w:space="0" w:color="auto"/>
            </w:tcBorders>
          </w:tcPr>
          <w:p w14:paraId="4209E26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1 717</w:t>
            </w:r>
          </w:p>
        </w:tc>
        <w:tc>
          <w:tcPr>
            <w:tcW w:w="0" w:type="auto"/>
            <w:tcBorders>
              <w:top w:val="single" w:sz="4" w:space="0" w:color="auto"/>
              <w:left w:val="single" w:sz="4" w:space="0" w:color="auto"/>
              <w:bottom w:val="single" w:sz="4" w:space="0" w:color="auto"/>
              <w:right w:val="single" w:sz="4" w:space="0" w:color="auto"/>
            </w:tcBorders>
          </w:tcPr>
          <w:p w14:paraId="103E935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1 926</w:t>
            </w:r>
          </w:p>
        </w:tc>
      </w:tr>
      <w:tr w:rsidR="00117C0D" w:rsidRPr="003954D9" w14:paraId="40EFBA9F"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5ED95F1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0" w:type="auto"/>
            <w:tcBorders>
              <w:top w:val="single" w:sz="4" w:space="0" w:color="auto"/>
              <w:left w:val="single" w:sz="4" w:space="0" w:color="auto"/>
              <w:bottom w:val="single" w:sz="4" w:space="0" w:color="auto"/>
              <w:right w:val="single" w:sz="4" w:space="0" w:color="auto"/>
            </w:tcBorders>
          </w:tcPr>
          <w:p w14:paraId="5422593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2 180</w:t>
            </w:r>
          </w:p>
        </w:tc>
        <w:tc>
          <w:tcPr>
            <w:tcW w:w="0" w:type="auto"/>
            <w:tcBorders>
              <w:top w:val="single" w:sz="4" w:space="0" w:color="auto"/>
              <w:left w:val="single" w:sz="4" w:space="0" w:color="auto"/>
              <w:bottom w:val="single" w:sz="4" w:space="0" w:color="auto"/>
              <w:right w:val="single" w:sz="4" w:space="0" w:color="auto"/>
            </w:tcBorders>
          </w:tcPr>
          <w:p w14:paraId="44C5549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4 811</w:t>
            </w:r>
          </w:p>
        </w:tc>
        <w:tc>
          <w:tcPr>
            <w:tcW w:w="0" w:type="auto"/>
            <w:tcBorders>
              <w:top w:val="single" w:sz="4" w:space="0" w:color="auto"/>
              <w:left w:val="single" w:sz="4" w:space="0" w:color="auto"/>
              <w:bottom w:val="single" w:sz="4" w:space="0" w:color="auto"/>
              <w:right w:val="single" w:sz="4" w:space="0" w:color="auto"/>
            </w:tcBorders>
          </w:tcPr>
          <w:p w14:paraId="614C0FB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3 038</w:t>
            </w:r>
          </w:p>
        </w:tc>
        <w:tc>
          <w:tcPr>
            <w:tcW w:w="0" w:type="auto"/>
            <w:tcBorders>
              <w:top w:val="single" w:sz="4" w:space="0" w:color="auto"/>
              <w:left w:val="single" w:sz="4" w:space="0" w:color="auto"/>
              <w:bottom w:val="single" w:sz="4" w:space="0" w:color="auto"/>
              <w:right w:val="single" w:sz="4" w:space="0" w:color="auto"/>
            </w:tcBorders>
          </w:tcPr>
          <w:p w14:paraId="3E046D1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3 845</w:t>
            </w:r>
          </w:p>
        </w:tc>
        <w:tc>
          <w:tcPr>
            <w:tcW w:w="0" w:type="auto"/>
            <w:tcBorders>
              <w:top w:val="single" w:sz="4" w:space="0" w:color="auto"/>
              <w:left w:val="single" w:sz="4" w:space="0" w:color="auto"/>
              <w:bottom w:val="single" w:sz="4" w:space="0" w:color="auto"/>
              <w:right w:val="single" w:sz="4" w:space="0" w:color="auto"/>
            </w:tcBorders>
          </w:tcPr>
          <w:p w14:paraId="4AD93A35"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3 577</w:t>
            </w:r>
          </w:p>
        </w:tc>
        <w:tc>
          <w:tcPr>
            <w:tcW w:w="0" w:type="auto"/>
            <w:tcBorders>
              <w:top w:val="single" w:sz="4" w:space="0" w:color="auto"/>
              <w:left w:val="single" w:sz="4" w:space="0" w:color="auto"/>
              <w:bottom w:val="single" w:sz="4" w:space="0" w:color="auto"/>
              <w:right w:val="single" w:sz="4" w:space="0" w:color="auto"/>
            </w:tcBorders>
          </w:tcPr>
          <w:p w14:paraId="0A9AE7F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3 461</w:t>
            </w:r>
          </w:p>
        </w:tc>
        <w:tc>
          <w:tcPr>
            <w:tcW w:w="0" w:type="auto"/>
            <w:tcBorders>
              <w:top w:val="single" w:sz="4" w:space="0" w:color="auto"/>
              <w:left w:val="single" w:sz="4" w:space="0" w:color="auto"/>
              <w:bottom w:val="single" w:sz="4" w:space="0" w:color="auto"/>
              <w:right w:val="single" w:sz="4" w:space="0" w:color="auto"/>
            </w:tcBorders>
          </w:tcPr>
          <w:p w14:paraId="73C180A3" w14:textId="77777777" w:rsidR="00117C0D" w:rsidRPr="003954D9" w:rsidRDefault="00117C0D" w:rsidP="00117C0D">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4 842</w:t>
            </w:r>
          </w:p>
        </w:tc>
        <w:tc>
          <w:tcPr>
            <w:tcW w:w="0" w:type="auto"/>
            <w:tcBorders>
              <w:top w:val="single" w:sz="4" w:space="0" w:color="auto"/>
              <w:left w:val="single" w:sz="4" w:space="0" w:color="auto"/>
              <w:bottom w:val="single" w:sz="4" w:space="0" w:color="auto"/>
              <w:right w:val="single" w:sz="4" w:space="0" w:color="auto"/>
            </w:tcBorders>
          </w:tcPr>
          <w:p w14:paraId="6170D6D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3 575</w:t>
            </w:r>
          </w:p>
        </w:tc>
      </w:tr>
      <w:tr w:rsidR="00117C0D" w:rsidRPr="003954D9" w14:paraId="4922C8F0"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47D7338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0" w:type="auto"/>
            <w:tcBorders>
              <w:top w:val="single" w:sz="4" w:space="0" w:color="auto"/>
              <w:left w:val="single" w:sz="4" w:space="0" w:color="auto"/>
              <w:bottom w:val="single" w:sz="4" w:space="0" w:color="auto"/>
              <w:right w:val="single" w:sz="4" w:space="0" w:color="auto"/>
            </w:tcBorders>
          </w:tcPr>
          <w:p w14:paraId="25E0FD71" w14:textId="77777777" w:rsidR="00117C0D" w:rsidRPr="003954D9" w:rsidRDefault="00117C0D" w:rsidP="00117C0D">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3 595</w:t>
            </w:r>
          </w:p>
        </w:tc>
        <w:tc>
          <w:tcPr>
            <w:tcW w:w="0" w:type="auto"/>
            <w:tcBorders>
              <w:top w:val="single" w:sz="4" w:space="0" w:color="auto"/>
              <w:left w:val="single" w:sz="4" w:space="0" w:color="auto"/>
              <w:bottom w:val="single" w:sz="4" w:space="0" w:color="auto"/>
              <w:right w:val="single" w:sz="4" w:space="0" w:color="auto"/>
            </w:tcBorders>
          </w:tcPr>
          <w:p w14:paraId="4367966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3 296</w:t>
            </w:r>
          </w:p>
        </w:tc>
        <w:tc>
          <w:tcPr>
            <w:tcW w:w="0" w:type="auto"/>
            <w:tcBorders>
              <w:top w:val="single" w:sz="4" w:space="0" w:color="auto"/>
              <w:left w:val="single" w:sz="4" w:space="0" w:color="auto"/>
              <w:bottom w:val="single" w:sz="4" w:space="0" w:color="auto"/>
              <w:right w:val="single" w:sz="4" w:space="0" w:color="auto"/>
            </w:tcBorders>
          </w:tcPr>
          <w:p w14:paraId="780158F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2 880</w:t>
            </w:r>
          </w:p>
        </w:tc>
        <w:tc>
          <w:tcPr>
            <w:tcW w:w="0" w:type="auto"/>
            <w:tcBorders>
              <w:top w:val="single" w:sz="4" w:space="0" w:color="auto"/>
              <w:left w:val="single" w:sz="4" w:space="0" w:color="auto"/>
              <w:bottom w:val="single" w:sz="4" w:space="0" w:color="auto"/>
              <w:right w:val="single" w:sz="4" w:space="0" w:color="auto"/>
            </w:tcBorders>
          </w:tcPr>
          <w:p w14:paraId="66BEBF0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2 801</w:t>
            </w:r>
          </w:p>
        </w:tc>
        <w:tc>
          <w:tcPr>
            <w:tcW w:w="0" w:type="auto"/>
            <w:tcBorders>
              <w:top w:val="single" w:sz="4" w:space="0" w:color="auto"/>
              <w:left w:val="single" w:sz="4" w:space="0" w:color="auto"/>
              <w:bottom w:val="single" w:sz="4" w:space="0" w:color="auto"/>
              <w:right w:val="single" w:sz="4" w:space="0" w:color="auto"/>
            </w:tcBorders>
          </w:tcPr>
          <w:p w14:paraId="3EB2DAC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2 842</w:t>
            </w:r>
          </w:p>
        </w:tc>
        <w:tc>
          <w:tcPr>
            <w:tcW w:w="0" w:type="auto"/>
            <w:tcBorders>
              <w:top w:val="single" w:sz="4" w:space="0" w:color="auto"/>
              <w:left w:val="single" w:sz="4" w:space="0" w:color="auto"/>
              <w:bottom w:val="single" w:sz="4" w:space="0" w:color="auto"/>
              <w:right w:val="single" w:sz="4" w:space="0" w:color="auto"/>
            </w:tcBorders>
          </w:tcPr>
          <w:p w14:paraId="6E80452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1 265</w:t>
            </w:r>
          </w:p>
        </w:tc>
        <w:tc>
          <w:tcPr>
            <w:tcW w:w="0" w:type="auto"/>
            <w:tcBorders>
              <w:top w:val="single" w:sz="4" w:space="0" w:color="auto"/>
              <w:left w:val="single" w:sz="4" w:space="0" w:color="auto"/>
              <w:bottom w:val="single" w:sz="4" w:space="0" w:color="auto"/>
              <w:right w:val="single" w:sz="4" w:space="0" w:color="auto"/>
            </w:tcBorders>
          </w:tcPr>
          <w:p w14:paraId="49E9FE3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1 193</w:t>
            </w:r>
          </w:p>
        </w:tc>
        <w:tc>
          <w:tcPr>
            <w:tcW w:w="0" w:type="auto"/>
            <w:tcBorders>
              <w:top w:val="single" w:sz="4" w:space="0" w:color="auto"/>
              <w:left w:val="single" w:sz="4" w:space="0" w:color="auto"/>
              <w:bottom w:val="single" w:sz="4" w:space="0" w:color="auto"/>
              <w:right w:val="single" w:sz="4" w:space="0" w:color="auto"/>
            </w:tcBorders>
          </w:tcPr>
          <w:p w14:paraId="30C9CF4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2 593</w:t>
            </w:r>
          </w:p>
        </w:tc>
      </w:tr>
      <w:tr w:rsidR="00117C0D" w:rsidRPr="003954D9" w14:paraId="6442CFA9"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568384B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0" w:type="auto"/>
            <w:tcBorders>
              <w:top w:val="single" w:sz="4" w:space="0" w:color="auto"/>
              <w:left w:val="single" w:sz="4" w:space="0" w:color="auto"/>
              <w:bottom w:val="single" w:sz="4" w:space="0" w:color="auto"/>
              <w:right w:val="single" w:sz="4" w:space="0" w:color="auto"/>
            </w:tcBorders>
          </w:tcPr>
          <w:p w14:paraId="0E873F0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3 465</w:t>
            </w:r>
          </w:p>
        </w:tc>
        <w:tc>
          <w:tcPr>
            <w:tcW w:w="0" w:type="auto"/>
            <w:tcBorders>
              <w:top w:val="single" w:sz="4" w:space="0" w:color="auto"/>
              <w:left w:val="single" w:sz="4" w:space="0" w:color="auto"/>
              <w:bottom w:val="single" w:sz="4" w:space="0" w:color="auto"/>
              <w:right w:val="single" w:sz="4" w:space="0" w:color="auto"/>
            </w:tcBorders>
          </w:tcPr>
          <w:p w14:paraId="758A454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3 351</w:t>
            </w:r>
          </w:p>
        </w:tc>
        <w:tc>
          <w:tcPr>
            <w:tcW w:w="0" w:type="auto"/>
            <w:tcBorders>
              <w:top w:val="single" w:sz="4" w:space="0" w:color="auto"/>
              <w:left w:val="single" w:sz="4" w:space="0" w:color="auto"/>
              <w:bottom w:val="single" w:sz="4" w:space="0" w:color="auto"/>
              <w:right w:val="single" w:sz="4" w:space="0" w:color="auto"/>
            </w:tcBorders>
          </w:tcPr>
          <w:p w14:paraId="5491F05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4 574</w:t>
            </w:r>
          </w:p>
        </w:tc>
        <w:tc>
          <w:tcPr>
            <w:tcW w:w="0" w:type="auto"/>
            <w:tcBorders>
              <w:top w:val="single" w:sz="4" w:space="0" w:color="auto"/>
              <w:left w:val="single" w:sz="4" w:space="0" w:color="auto"/>
              <w:bottom w:val="single" w:sz="4" w:space="0" w:color="auto"/>
              <w:right w:val="single" w:sz="4" w:space="0" w:color="auto"/>
            </w:tcBorders>
          </w:tcPr>
          <w:p w14:paraId="7DBF2BF9" w14:textId="77777777" w:rsidR="00117C0D" w:rsidRPr="003954D9" w:rsidRDefault="00117C0D" w:rsidP="00117C0D">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4 648</w:t>
            </w:r>
          </w:p>
        </w:tc>
        <w:tc>
          <w:tcPr>
            <w:tcW w:w="0" w:type="auto"/>
            <w:tcBorders>
              <w:top w:val="single" w:sz="4" w:space="0" w:color="auto"/>
              <w:left w:val="single" w:sz="4" w:space="0" w:color="auto"/>
              <w:bottom w:val="single" w:sz="4" w:space="0" w:color="auto"/>
              <w:right w:val="single" w:sz="4" w:space="0" w:color="auto"/>
            </w:tcBorders>
          </w:tcPr>
          <w:p w14:paraId="2A06E9E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2 822</w:t>
            </w:r>
          </w:p>
        </w:tc>
        <w:tc>
          <w:tcPr>
            <w:tcW w:w="0" w:type="auto"/>
            <w:tcBorders>
              <w:top w:val="single" w:sz="4" w:space="0" w:color="auto"/>
              <w:left w:val="single" w:sz="4" w:space="0" w:color="auto"/>
              <w:bottom w:val="single" w:sz="4" w:space="0" w:color="auto"/>
              <w:right w:val="single" w:sz="4" w:space="0" w:color="auto"/>
            </w:tcBorders>
          </w:tcPr>
          <w:p w14:paraId="6647A22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3 656</w:t>
            </w:r>
          </w:p>
        </w:tc>
        <w:tc>
          <w:tcPr>
            <w:tcW w:w="0" w:type="auto"/>
            <w:tcBorders>
              <w:top w:val="single" w:sz="4" w:space="0" w:color="auto"/>
              <w:left w:val="single" w:sz="4" w:space="0" w:color="auto"/>
              <w:bottom w:val="single" w:sz="4" w:space="0" w:color="auto"/>
              <w:right w:val="single" w:sz="4" w:space="0" w:color="auto"/>
            </w:tcBorders>
          </w:tcPr>
          <w:p w14:paraId="652563B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3 660</w:t>
            </w:r>
          </w:p>
        </w:tc>
        <w:tc>
          <w:tcPr>
            <w:tcW w:w="0" w:type="auto"/>
            <w:tcBorders>
              <w:top w:val="single" w:sz="4" w:space="0" w:color="auto"/>
              <w:left w:val="single" w:sz="4" w:space="0" w:color="auto"/>
              <w:bottom w:val="single" w:sz="4" w:space="0" w:color="auto"/>
              <w:right w:val="single" w:sz="4" w:space="0" w:color="auto"/>
            </w:tcBorders>
          </w:tcPr>
          <w:p w14:paraId="666FA61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3 809</w:t>
            </w:r>
          </w:p>
        </w:tc>
      </w:tr>
      <w:tr w:rsidR="00117C0D" w:rsidRPr="003954D9" w14:paraId="22619197"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72257F6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0" w:type="auto"/>
            <w:tcBorders>
              <w:top w:val="single" w:sz="4" w:space="0" w:color="auto"/>
              <w:left w:val="single" w:sz="4" w:space="0" w:color="auto"/>
              <w:bottom w:val="single" w:sz="4" w:space="0" w:color="auto"/>
              <w:right w:val="single" w:sz="4" w:space="0" w:color="auto"/>
            </w:tcBorders>
          </w:tcPr>
          <w:p w14:paraId="239579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3 184</w:t>
            </w:r>
          </w:p>
        </w:tc>
        <w:tc>
          <w:tcPr>
            <w:tcW w:w="0" w:type="auto"/>
            <w:tcBorders>
              <w:top w:val="single" w:sz="4" w:space="0" w:color="auto"/>
              <w:left w:val="single" w:sz="4" w:space="0" w:color="auto"/>
              <w:bottom w:val="single" w:sz="4" w:space="0" w:color="auto"/>
              <w:right w:val="single" w:sz="4" w:space="0" w:color="auto"/>
            </w:tcBorders>
          </w:tcPr>
          <w:p w14:paraId="38697AA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2 855</w:t>
            </w:r>
          </w:p>
        </w:tc>
        <w:tc>
          <w:tcPr>
            <w:tcW w:w="0" w:type="auto"/>
            <w:tcBorders>
              <w:top w:val="single" w:sz="4" w:space="0" w:color="auto"/>
              <w:left w:val="single" w:sz="4" w:space="0" w:color="auto"/>
              <w:bottom w:val="single" w:sz="4" w:space="0" w:color="auto"/>
              <w:right w:val="single" w:sz="4" w:space="0" w:color="auto"/>
            </w:tcBorders>
          </w:tcPr>
          <w:p w14:paraId="419310D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2 962</w:t>
            </w:r>
          </w:p>
        </w:tc>
        <w:tc>
          <w:tcPr>
            <w:tcW w:w="0" w:type="auto"/>
            <w:tcBorders>
              <w:top w:val="single" w:sz="4" w:space="0" w:color="auto"/>
              <w:left w:val="single" w:sz="4" w:space="0" w:color="auto"/>
              <w:bottom w:val="single" w:sz="4" w:space="0" w:color="auto"/>
              <w:right w:val="single" w:sz="4" w:space="0" w:color="auto"/>
            </w:tcBorders>
          </w:tcPr>
          <w:p w14:paraId="41FAD0F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1 645</w:t>
            </w:r>
          </w:p>
        </w:tc>
        <w:tc>
          <w:tcPr>
            <w:tcW w:w="0" w:type="auto"/>
            <w:tcBorders>
              <w:top w:val="single" w:sz="4" w:space="0" w:color="auto"/>
              <w:left w:val="single" w:sz="4" w:space="0" w:color="auto"/>
              <w:bottom w:val="single" w:sz="4" w:space="0" w:color="auto"/>
              <w:right w:val="single" w:sz="4" w:space="0" w:color="auto"/>
            </w:tcBorders>
          </w:tcPr>
          <w:p w14:paraId="4E2F760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1 682</w:t>
            </w:r>
          </w:p>
        </w:tc>
        <w:tc>
          <w:tcPr>
            <w:tcW w:w="0" w:type="auto"/>
            <w:tcBorders>
              <w:top w:val="single" w:sz="4" w:space="0" w:color="auto"/>
              <w:left w:val="single" w:sz="4" w:space="0" w:color="auto"/>
              <w:bottom w:val="single" w:sz="4" w:space="0" w:color="auto"/>
              <w:right w:val="single" w:sz="4" w:space="0" w:color="auto"/>
            </w:tcBorders>
          </w:tcPr>
          <w:p w14:paraId="0DD01D1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1 613</w:t>
            </w:r>
          </w:p>
        </w:tc>
        <w:tc>
          <w:tcPr>
            <w:tcW w:w="0" w:type="auto"/>
            <w:tcBorders>
              <w:top w:val="single" w:sz="4" w:space="0" w:color="auto"/>
              <w:left w:val="single" w:sz="4" w:space="0" w:color="auto"/>
              <w:bottom w:val="single" w:sz="4" w:space="0" w:color="auto"/>
              <w:right w:val="single" w:sz="4" w:space="0" w:color="auto"/>
            </w:tcBorders>
          </w:tcPr>
          <w:p w14:paraId="03F91C28"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14:paraId="06B9D65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1 869</w:t>
            </w:r>
          </w:p>
        </w:tc>
      </w:tr>
      <w:tr w:rsidR="00117C0D" w:rsidRPr="003954D9" w14:paraId="4A22C96F"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141B259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0" w:type="auto"/>
            <w:tcBorders>
              <w:top w:val="single" w:sz="4" w:space="0" w:color="auto"/>
              <w:left w:val="single" w:sz="4" w:space="0" w:color="auto"/>
              <w:bottom w:val="single" w:sz="4" w:space="0" w:color="auto"/>
              <w:right w:val="single" w:sz="4" w:space="0" w:color="auto"/>
            </w:tcBorders>
          </w:tcPr>
          <w:p w14:paraId="707E2CF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2 576</w:t>
            </w:r>
          </w:p>
        </w:tc>
        <w:tc>
          <w:tcPr>
            <w:tcW w:w="0" w:type="auto"/>
            <w:tcBorders>
              <w:top w:val="single" w:sz="4" w:space="0" w:color="auto"/>
              <w:left w:val="single" w:sz="4" w:space="0" w:color="auto"/>
              <w:bottom w:val="single" w:sz="4" w:space="0" w:color="auto"/>
              <w:right w:val="single" w:sz="4" w:space="0" w:color="auto"/>
            </w:tcBorders>
          </w:tcPr>
          <w:p w14:paraId="338F8CB2"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499</w:t>
            </w:r>
          </w:p>
        </w:tc>
        <w:tc>
          <w:tcPr>
            <w:tcW w:w="0" w:type="auto"/>
            <w:tcBorders>
              <w:top w:val="single" w:sz="4" w:space="0" w:color="auto"/>
              <w:left w:val="single" w:sz="4" w:space="0" w:color="auto"/>
              <w:bottom w:val="single" w:sz="4" w:space="0" w:color="auto"/>
              <w:right w:val="single" w:sz="4" w:space="0" w:color="auto"/>
            </w:tcBorders>
          </w:tcPr>
          <w:p w14:paraId="25154C7A"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14:paraId="3D23A68F" w14:textId="77777777" w:rsidR="00117C0D" w:rsidRPr="003954D9" w:rsidRDefault="00117C0D" w:rsidP="00117C0D">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740</w:t>
            </w:r>
          </w:p>
        </w:tc>
        <w:tc>
          <w:tcPr>
            <w:tcW w:w="0" w:type="auto"/>
            <w:tcBorders>
              <w:top w:val="single" w:sz="4" w:space="0" w:color="auto"/>
              <w:left w:val="single" w:sz="4" w:space="0" w:color="auto"/>
              <w:bottom w:val="single" w:sz="4" w:space="0" w:color="auto"/>
              <w:right w:val="single" w:sz="4" w:space="0" w:color="auto"/>
            </w:tcBorders>
          </w:tcPr>
          <w:p w14:paraId="1BB9854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780</w:t>
            </w:r>
          </w:p>
        </w:tc>
        <w:tc>
          <w:tcPr>
            <w:tcW w:w="0" w:type="auto"/>
            <w:tcBorders>
              <w:top w:val="single" w:sz="4" w:space="0" w:color="auto"/>
              <w:left w:val="single" w:sz="4" w:space="0" w:color="auto"/>
              <w:bottom w:val="single" w:sz="4" w:space="0" w:color="auto"/>
              <w:right w:val="single" w:sz="4" w:space="0" w:color="auto"/>
            </w:tcBorders>
          </w:tcPr>
          <w:p w14:paraId="373BD48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1 907</w:t>
            </w:r>
          </w:p>
        </w:tc>
        <w:tc>
          <w:tcPr>
            <w:tcW w:w="0" w:type="auto"/>
            <w:tcBorders>
              <w:top w:val="single" w:sz="4" w:space="0" w:color="auto"/>
              <w:left w:val="single" w:sz="4" w:space="0" w:color="auto"/>
              <w:bottom w:val="single" w:sz="4" w:space="0" w:color="auto"/>
              <w:right w:val="single" w:sz="4" w:space="0" w:color="auto"/>
            </w:tcBorders>
          </w:tcPr>
          <w:p w14:paraId="0D544A8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1 710</w:t>
            </w:r>
          </w:p>
        </w:tc>
        <w:tc>
          <w:tcPr>
            <w:tcW w:w="0" w:type="auto"/>
            <w:tcBorders>
              <w:top w:val="single" w:sz="4" w:space="0" w:color="auto"/>
              <w:left w:val="single" w:sz="4" w:space="0" w:color="auto"/>
              <w:bottom w:val="single" w:sz="4" w:space="0" w:color="auto"/>
              <w:right w:val="single" w:sz="4" w:space="0" w:color="auto"/>
            </w:tcBorders>
          </w:tcPr>
          <w:p w14:paraId="75BC0BE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1 114</w:t>
            </w:r>
          </w:p>
        </w:tc>
      </w:tr>
      <w:tr w:rsidR="00117C0D" w:rsidRPr="003954D9" w14:paraId="7FBE76A4"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339679A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0" w:type="auto"/>
            <w:tcBorders>
              <w:top w:val="single" w:sz="4" w:space="0" w:color="auto"/>
              <w:left w:val="single" w:sz="4" w:space="0" w:color="auto"/>
              <w:bottom w:val="single" w:sz="4" w:space="0" w:color="auto"/>
              <w:right w:val="single" w:sz="4" w:space="0" w:color="auto"/>
            </w:tcBorders>
          </w:tcPr>
          <w:p w14:paraId="2EC686D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2 572</w:t>
            </w:r>
          </w:p>
        </w:tc>
        <w:tc>
          <w:tcPr>
            <w:tcW w:w="0" w:type="auto"/>
            <w:tcBorders>
              <w:top w:val="single" w:sz="4" w:space="0" w:color="auto"/>
              <w:left w:val="single" w:sz="4" w:space="0" w:color="auto"/>
              <w:bottom w:val="single" w:sz="4" w:space="0" w:color="auto"/>
              <w:right w:val="single" w:sz="4" w:space="0" w:color="auto"/>
            </w:tcBorders>
          </w:tcPr>
          <w:p w14:paraId="11309BC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3 380</w:t>
            </w:r>
          </w:p>
        </w:tc>
        <w:tc>
          <w:tcPr>
            <w:tcW w:w="0" w:type="auto"/>
            <w:tcBorders>
              <w:top w:val="single" w:sz="4" w:space="0" w:color="auto"/>
              <w:left w:val="single" w:sz="4" w:space="0" w:color="auto"/>
              <w:bottom w:val="single" w:sz="4" w:space="0" w:color="auto"/>
              <w:right w:val="single" w:sz="4" w:space="0" w:color="auto"/>
            </w:tcBorders>
          </w:tcPr>
          <w:p w14:paraId="10D53D26"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4 974</w:t>
            </w:r>
          </w:p>
        </w:tc>
        <w:tc>
          <w:tcPr>
            <w:tcW w:w="0" w:type="auto"/>
            <w:tcBorders>
              <w:top w:val="single" w:sz="4" w:space="0" w:color="auto"/>
              <w:left w:val="single" w:sz="4" w:space="0" w:color="auto"/>
              <w:bottom w:val="single" w:sz="4" w:space="0" w:color="auto"/>
              <w:right w:val="single" w:sz="4" w:space="0" w:color="auto"/>
            </w:tcBorders>
          </w:tcPr>
          <w:p w14:paraId="5F97871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3 648</w:t>
            </w:r>
          </w:p>
        </w:tc>
        <w:tc>
          <w:tcPr>
            <w:tcW w:w="0" w:type="auto"/>
            <w:tcBorders>
              <w:top w:val="single" w:sz="4" w:space="0" w:color="auto"/>
              <w:left w:val="single" w:sz="4" w:space="0" w:color="auto"/>
              <w:bottom w:val="single" w:sz="4" w:space="0" w:color="auto"/>
              <w:right w:val="single" w:sz="4" w:space="0" w:color="auto"/>
            </w:tcBorders>
          </w:tcPr>
          <w:p w14:paraId="53263E3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3 510</w:t>
            </w:r>
          </w:p>
        </w:tc>
        <w:tc>
          <w:tcPr>
            <w:tcW w:w="0" w:type="auto"/>
            <w:tcBorders>
              <w:top w:val="single" w:sz="4" w:space="0" w:color="auto"/>
              <w:left w:val="single" w:sz="4" w:space="0" w:color="auto"/>
              <w:bottom w:val="single" w:sz="4" w:space="0" w:color="auto"/>
              <w:right w:val="single" w:sz="4" w:space="0" w:color="auto"/>
            </w:tcBorders>
          </w:tcPr>
          <w:p w14:paraId="7D2EB5E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4 253</w:t>
            </w:r>
          </w:p>
        </w:tc>
        <w:tc>
          <w:tcPr>
            <w:tcW w:w="0" w:type="auto"/>
            <w:tcBorders>
              <w:top w:val="single" w:sz="4" w:space="0" w:color="auto"/>
              <w:left w:val="single" w:sz="4" w:space="0" w:color="auto"/>
              <w:bottom w:val="single" w:sz="4" w:space="0" w:color="auto"/>
              <w:right w:val="single" w:sz="4" w:space="0" w:color="auto"/>
            </w:tcBorders>
          </w:tcPr>
          <w:p w14:paraId="04052F8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3 960</w:t>
            </w:r>
          </w:p>
        </w:tc>
        <w:tc>
          <w:tcPr>
            <w:tcW w:w="0" w:type="auto"/>
            <w:tcBorders>
              <w:top w:val="single" w:sz="4" w:space="0" w:color="auto"/>
              <w:left w:val="single" w:sz="4" w:space="0" w:color="auto"/>
              <w:bottom w:val="single" w:sz="4" w:space="0" w:color="auto"/>
              <w:right w:val="single" w:sz="4" w:space="0" w:color="auto"/>
            </w:tcBorders>
          </w:tcPr>
          <w:p w14:paraId="55FDAC0E"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3 680</w:t>
            </w:r>
          </w:p>
        </w:tc>
      </w:tr>
      <w:tr w:rsidR="00117C0D" w:rsidRPr="003954D9" w14:paraId="732DB961"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48DA5E7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0" w:type="auto"/>
            <w:tcBorders>
              <w:top w:val="single" w:sz="4" w:space="0" w:color="auto"/>
              <w:left w:val="single" w:sz="4" w:space="0" w:color="auto"/>
              <w:bottom w:val="single" w:sz="4" w:space="0" w:color="auto"/>
              <w:right w:val="single" w:sz="4" w:space="0" w:color="auto"/>
            </w:tcBorders>
          </w:tcPr>
          <w:p w14:paraId="7C6638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1 894</w:t>
            </w:r>
          </w:p>
        </w:tc>
        <w:tc>
          <w:tcPr>
            <w:tcW w:w="0" w:type="auto"/>
            <w:tcBorders>
              <w:top w:val="single" w:sz="4" w:space="0" w:color="auto"/>
              <w:left w:val="single" w:sz="4" w:space="0" w:color="auto"/>
              <w:bottom w:val="single" w:sz="4" w:space="0" w:color="auto"/>
              <w:right w:val="single" w:sz="4" w:space="0" w:color="auto"/>
            </w:tcBorders>
          </w:tcPr>
          <w:p w14:paraId="789CB2FB"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7 832</w:t>
            </w:r>
          </w:p>
        </w:tc>
        <w:tc>
          <w:tcPr>
            <w:tcW w:w="0" w:type="auto"/>
            <w:tcBorders>
              <w:top w:val="single" w:sz="4" w:space="0" w:color="auto"/>
              <w:left w:val="single" w:sz="4" w:space="0" w:color="auto"/>
              <w:bottom w:val="single" w:sz="4" w:space="0" w:color="auto"/>
              <w:right w:val="single" w:sz="4" w:space="0" w:color="auto"/>
            </w:tcBorders>
          </w:tcPr>
          <w:p w14:paraId="2E8B4A16"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14:paraId="30A5EE0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2 223</w:t>
            </w:r>
          </w:p>
        </w:tc>
        <w:tc>
          <w:tcPr>
            <w:tcW w:w="0" w:type="auto"/>
            <w:tcBorders>
              <w:top w:val="single" w:sz="4" w:space="0" w:color="auto"/>
              <w:left w:val="single" w:sz="4" w:space="0" w:color="auto"/>
              <w:bottom w:val="single" w:sz="4" w:space="0" w:color="auto"/>
              <w:right w:val="single" w:sz="4" w:space="0" w:color="auto"/>
            </w:tcBorders>
          </w:tcPr>
          <w:p w14:paraId="68AA748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2 070</w:t>
            </w:r>
          </w:p>
        </w:tc>
        <w:tc>
          <w:tcPr>
            <w:tcW w:w="0" w:type="auto"/>
            <w:tcBorders>
              <w:top w:val="single" w:sz="4" w:space="0" w:color="auto"/>
              <w:left w:val="single" w:sz="4" w:space="0" w:color="auto"/>
              <w:bottom w:val="single" w:sz="4" w:space="0" w:color="auto"/>
              <w:right w:val="single" w:sz="4" w:space="0" w:color="auto"/>
            </w:tcBorders>
          </w:tcPr>
          <w:p w14:paraId="6E45A9B9"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4 581</w:t>
            </w:r>
          </w:p>
        </w:tc>
        <w:tc>
          <w:tcPr>
            <w:tcW w:w="0" w:type="auto"/>
            <w:tcBorders>
              <w:top w:val="single" w:sz="4" w:space="0" w:color="auto"/>
              <w:left w:val="single" w:sz="4" w:space="0" w:color="auto"/>
              <w:bottom w:val="single" w:sz="4" w:space="0" w:color="auto"/>
              <w:right w:val="single" w:sz="4" w:space="0" w:color="auto"/>
            </w:tcBorders>
          </w:tcPr>
          <w:p w14:paraId="018D0503"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14:paraId="1A05FFA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2 841</w:t>
            </w:r>
          </w:p>
        </w:tc>
      </w:tr>
      <w:tr w:rsidR="00117C0D" w:rsidRPr="003954D9" w14:paraId="4F62F01D"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3C2DB26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0" w:type="auto"/>
            <w:tcBorders>
              <w:top w:val="single" w:sz="4" w:space="0" w:color="auto"/>
              <w:left w:val="single" w:sz="4" w:space="0" w:color="auto"/>
              <w:bottom w:val="single" w:sz="4" w:space="0" w:color="auto"/>
              <w:right w:val="single" w:sz="4" w:space="0" w:color="auto"/>
            </w:tcBorders>
          </w:tcPr>
          <w:p w14:paraId="40226B98"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1 119</w:t>
            </w:r>
          </w:p>
        </w:tc>
        <w:tc>
          <w:tcPr>
            <w:tcW w:w="0" w:type="auto"/>
            <w:tcBorders>
              <w:top w:val="single" w:sz="4" w:space="0" w:color="auto"/>
              <w:left w:val="single" w:sz="4" w:space="0" w:color="auto"/>
              <w:bottom w:val="single" w:sz="4" w:space="0" w:color="auto"/>
              <w:right w:val="single" w:sz="4" w:space="0" w:color="auto"/>
            </w:tcBorders>
          </w:tcPr>
          <w:p w14:paraId="03866CF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1 413</w:t>
            </w:r>
          </w:p>
        </w:tc>
        <w:tc>
          <w:tcPr>
            <w:tcW w:w="0" w:type="auto"/>
            <w:tcBorders>
              <w:top w:val="single" w:sz="4" w:space="0" w:color="auto"/>
              <w:left w:val="single" w:sz="4" w:space="0" w:color="auto"/>
              <w:bottom w:val="single" w:sz="4" w:space="0" w:color="auto"/>
              <w:right w:val="single" w:sz="4" w:space="0" w:color="auto"/>
            </w:tcBorders>
          </w:tcPr>
          <w:p w14:paraId="570E921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956</w:t>
            </w:r>
          </w:p>
        </w:tc>
        <w:tc>
          <w:tcPr>
            <w:tcW w:w="0" w:type="auto"/>
            <w:tcBorders>
              <w:top w:val="single" w:sz="4" w:space="0" w:color="auto"/>
              <w:left w:val="single" w:sz="4" w:space="0" w:color="auto"/>
              <w:bottom w:val="single" w:sz="4" w:space="0" w:color="auto"/>
              <w:right w:val="single" w:sz="4" w:space="0" w:color="auto"/>
            </w:tcBorders>
          </w:tcPr>
          <w:p w14:paraId="6507B18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1 393</w:t>
            </w:r>
          </w:p>
        </w:tc>
        <w:tc>
          <w:tcPr>
            <w:tcW w:w="0" w:type="auto"/>
            <w:tcBorders>
              <w:top w:val="single" w:sz="4" w:space="0" w:color="auto"/>
              <w:left w:val="single" w:sz="4" w:space="0" w:color="auto"/>
              <w:bottom w:val="single" w:sz="4" w:space="0" w:color="auto"/>
              <w:right w:val="single" w:sz="4" w:space="0" w:color="auto"/>
            </w:tcBorders>
          </w:tcPr>
          <w:p w14:paraId="7332902F"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526</w:t>
            </w:r>
          </w:p>
        </w:tc>
        <w:tc>
          <w:tcPr>
            <w:tcW w:w="0" w:type="auto"/>
            <w:tcBorders>
              <w:top w:val="single" w:sz="4" w:space="0" w:color="auto"/>
              <w:left w:val="single" w:sz="4" w:space="0" w:color="auto"/>
              <w:bottom w:val="single" w:sz="4" w:space="0" w:color="auto"/>
              <w:right w:val="single" w:sz="4" w:space="0" w:color="auto"/>
            </w:tcBorders>
          </w:tcPr>
          <w:p w14:paraId="75D25CD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1 030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0E1C0" w14:textId="77777777" w:rsidR="00117C0D" w:rsidRPr="003954D9" w:rsidRDefault="00117C0D" w:rsidP="00117C0D">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-631</w:t>
            </w:r>
          </w:p>
        </w:tc>
        <w:tc>
          <w:tcPr>
            <w:tcW w:w="0" w:type="auto"/>
            <w:tcBorders>
              <w:top w:val="single" w:sz="4" w:space="0" w:color="auto"/>
              <w:left w:val="single" w:sz="4" w:space="0" w:color="auto"/>
              <w:bottom w:val="single" w:sz="4" w:space="0" w:color="auto"/>
              <w:right w:val="single" w:sz="4" w:space="0" w:color="auto"/>
            </w:tcBorders>
          </w:tcPr>
          <w:p w14:paraId="2E21526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921</w:t>
            </w:r>
          </w:p>
        </w:tc>
      </w:tr>
      <w:tr w:rsidR="00117C0D" w:rsidRPr="003954D9" w14:paraId="3EC0872E" w14:textId="77777777" w:rsidTr="00117C0D">
        <w:trPr>
          <w:trHeight w:val="227"/>
        </w:trPr>
        <w:tc>
          <w:tcPr>
            <w:tcW w:w="0" w:type="auto"/>
            <w:tcBorders>
              <w:top w:val="single" w:sz="4" w:space="0" w:color="auto"/>
              <w:left w:val="single" w:sz="4" w:space="0" w:color="auto"/>
              <w:bottom w:val="single" w:sz="4" w:space="0" w:color="auto"/>
              <w:right w:val="single" w:sz="4" w:space="0" w:color="auto"/>
            </w:tcBorders>
          </w:tcPr>
          <w:p w14:paraId="21A2794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Alla</w:t>
            </w:r>
          </w:p>
        </w:tc>
        <w:tc>
          <w:tcPr>
            <w:tcW w:w="0" w:type="auto"/>
            <w:tcBorders>
              <w:top w:val="single" w:sz="4" w:space="0" w:color="auto"/>
              <w:left w:val="single" w:sz="4" w:space="0" w:color="auto"/>
              <w:bottom w:val="single" w:sz="4" w:space="0" w:color="auto"/>
              <w:right w:val="single" w:sz="4" w:space="0" w:color="auto"/>
            </w:tcBorders>
          </w:tcPr>
          <w:p w14:paraId="711466F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2 332</w:t>
            </w:r>
          </w:p>
        </w:tc>
        <w:tc>
          <w:tcPr>
            <w:tcW w:w="0" w:type="auto"/>
            <w:tcBorders>
              <w:top w:val="single" w:sz="4" w:space="0" w:color="auto"/>
              <w:left w:val="single" w:sz="4" w:space="0" w:color="auto"/>
              <w:bottom w:val="single" w:sz="4" w:space="0" w:color="auto"/>
              <w:right w:val="single" w:sz="4" w:space="0" w:color="auto"/>
            </w:tcBorders>
          </w:tcPr>
          <w:p w14:paraId="36BF3CC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2 839</w:t>
            </w:r>
          </w:p>
        </w:tc>
        <w:tc>
          <w:tcPr>
            <w:tcW w:w="0" w:type="auto"/>
            <w:tcBorders>
              <w:top w:val="single" w:sz="4" w:space="0" w:color="auto"/>
              <w:left w:val="single" w:sz="4" w:space="0" w:color="auto"/>
              <w:bottom w:val="single" w:sz="4" w:space="0" w:color="auto"/>
              <w:right w:val="single" w:sz="4" w:space="0" w:color="auto"/>
            </w:tcBorders>
          </w:tcPr>
          <w:p w14:paraId="618C059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2 346</w:t>
            </w:r>
          </w:p>
        </w:tc>
        <w:tc>
          <w:tcPr>
            <w:tcW w:w="0" w:type="auto"/>
            <w:tcBorders>
              <w:top w:val="single" w:sz="4" w:space="0" w:color="auto"/>
              <w:left w:val="single" w:sz="4" w:space="0" w:color="auto"/>
              <w:bottom w:val="single" w:sz="4" w:space="0" w:color="auto"/>
              <w:right w:val="single" w:sz="4" w:space="0" w:color="auto"/>
            </w:tcBorders>
          </w:tcPr>
          <w:p w14:paraId="53BF8DD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2 149</w:t>
            </w:r>
          </w:p>
        </w:tc>
        <w:tc>
          <w:tcPr>
            <w:tcW w:w="0" w:type="auto"/>
            <w:tcBorders>
              <w:top w:val="single" w:sz="4" w:space="0" w:color="auto"/>
              <w:left w:val="single" w:sz="4" w:space="0" w:color="auto"/>
              <w:bottom w:val="single" w:sz="4" w:space="0" w:color="auto"/>
              <w:right w:val="single" w:sz="4" w:space="0" w:color="auto"/>
            </w:tcBorders>
          </w:tcPr>
          <w:p w14:paraId="76B1EB2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1 359</w:t>
            </w:r>
          </w:p>
        </w:tc>
        <w:tc>
          <w:tcPr>
            <w:tcW w:w="0" w:type="auto"/>
            <w:tcBorders>
              <w:top w:val="single" w:sz="4" w:space="0" w:color="auto"/>
              <w:left w:val="single" w:sz="4" w:space="0" w:color="auto"/>
              <w:bottom w:val="single" w:sz="4" w:space="0" w:color="auto"/>
              <w:right w:val="single" w:sz="4" w:space="0" w:color="auto"/>
            </w:tcBorders>
          </w:tcPr>
          <w:p w14:paraId="2296A31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1 964</w:t>
            </w:r>
          </w:p>
        </w:tc>
        <w:tc>
          <w:tcPr>
            <w:tcW w:w="0" w:type="auto"/>
            <w:tcBorders>
              <w:top w:val="single" w:sz="4" w:space="0" w:color="auto"/>
              <w:left w:val="single" w:sz="4" w:space="0" w:color="auto"/>
              <w:bottom w:val="single" w:sz="4" w:space="0" w:color="auto"/>
              <w:right w:val="single" w:sz="4" w:space="0" w:color="auto"/>
            </w:tcBorders>
          </w:tcPr>
          <w:p w14:paraId="07FB692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2 042</w:t>
            </w:r>
          </w:p>
        </w:tc>
        <w:tc>
          <w:tcPr>
            <w:tcW w:w="0" w:type="auto"/>
            <w:tcBorders>
              <w:top w:val="single" w:sz="4" w:space="0" w:color="auto"/>
              <w:left w:val="single" w:sz="4" w:space="0" w:color="auto"/>
              <w:bottom w:val="single" w:sz="4" w:space="0" w:color="auto"/>
              <w:right w:val="single" w:sz="4" w:space="0" w:color="auto"/>
            </w:tcBorders>
          </w:tcPr>
          <w:p w14:paraId="52FC93D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1 856</w:t>
            </w:r>
          </w:p>
        </w:tc>
      </w:tr>
    </w:tbl>
    <w:p w14:paraId="03732316" w14:textId="77777777" w:rsidR="00D37D9E" w:rsidRPr="003954D9" w:rsidRDefault="00D37D9E" w:rsidP="00D37D9E">
      <w:pPr>
        <w:rPr>
          <w:sz w:val="16"/>
          <w:szCs w:val="16"/>
        </w:rPr>
      </w:pPr>
      <w:bookmarkStart w:id="455" w:name="_Toc463184479"/>
      <w:bookmarkStart w:id="456" w:name="_Toc464828487"/>
      <w:r w:rsidRPr="00155ABC">
        <w:rPr>
          <w:b/>
          <w:color w:val="FF6600"/>
          <w:sz w:val="16"/>
          <w:szCs w:val="16"/>
        </w:rPr>
        <w:t>Röd färg högsta</w:t>
      </w:r>
      <w:r w:rsidRPr="003954D9">
        <w:rPr>
          <w:color w:val="FF6600"/>
          <w:sz w:val="16"/>
          <w:szCs w:val="16"/>
        </w:rPr>
        <w:t xml:space="preserve"> </w:t>
      </w:r>
      <w:r w:rsidRPr="003954D9">
        <w:rPr>
          <w:sz w:val="16"/>
          <w:szCs w:val="16"/>
        </w:rPr>
        <w:t xml:space="preserve">och </w:t>
      </w:r>
      <w:r w:rsidRPr="00155ABC">
        <w:rPr>
          <w:b/>
          <w:color w:val="0070C0"/>
          <w:sz w:val="16"/>
          <w:szCs w:val="16"/>
        </w:rPr>
        <w:t>blå färg lägsta</w:t>
      </w:r>
      <w:r w:rsidRPr="00155ABC">
        <w:rPr>
          <w:color w:val="0070C0"/>
          <w:sz w:val="16"/>
          <w:szCs w:val="16"/>
        </w:rPr>
        <w:t xml:space="preserve"> </w:t>
      </w:r>
      <w:r w:rsidRPr="003954D9">
        <w:rPr>
          <w:sz w:val="16"/>
          <w:szCs w:val="16"/>
        </w:rPr>
        <w:t>värde i grupp.</w:t>
      </w:r>
    </w:p>
    <w:p w14:paraId="68862EED" w14:textId="6C095FA1" w:rsidR="00117C0D" w:rsidRPr="003954D9" w:rsidRDefault="00117C0D" w:rsidP="00117C0D">
      <w:pPr>
        <w:pStyle w:val="Rubrik2"/>
      </w:pPr>
      <w:r w:rsidRPr="003954D9">
        <w:t>Tabellerna 4:</w:t>
      </w:r>
      <w:r w:rsidR="00365C66" w:rsidRPr="003954D9">
        <w:t>1–4</w:t>
      </w:r>
      <w:r w:rsidRPr="003954D9">
        <w:t>:5</w:t>
      </w:r>
      <w:bookmarkEnd w:id="455"/>
      <w:bookmarkEnd w:id="456"/>
    </w:p>
    <w:p w14:paraId="7EC3223F"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4:1: Hushållstyper, antal personer, boarea per person och boende per hushåll – medelvärden- hela urvalet</w:t>
      </w:r>
    </w:p>
    <w:tbl>
      <w:tblPr>
        <w:tblW w:w="0" w:type="auto"/>
        <w:tblInd w:w="-38" w:type="dxa"/>
        <w:tblLayout w:type="fixed"/>
        <w:tblCellMar>
          <w:left w:w="70" w:type="dxa"/>
          <w:right w:w="70" w:type="dxa"/>
        </w:tblCellMar>
        <w:tblLook w:val="0000" w:firstRow="0" w:lastRow="0" w:firstColumn="0" w:lastColumn="0" w:noHBand="0" w:noVBand="0"/>
      </w:tblPr>
      <w:tblGrid>
        <w:gridCol w:w="2157"/>
        <w:gridCol w:w="789"/>
        <w:gridCol w:w="654"/>
        <w:gridCol w:w="709"/>
        <w:gridCol w:w="567"/>
        <w:gridCol w:w="919"/>
        <w:gridCol w:w="782"/>
        <w:gridCol w:w="807"/>
      </w:tblGrid>
      <w:tr w:rsidR="00F32099" w:rsidRPr="003954D9" w14:paraId="75AC53E5" w14:textId="77777777" w:rsidTr="00814A4E">
        <w:trPr>
          <w:trHeight w:val="227"/>
        </w:trPr>
        <w:tc>
          <w:tcPr>
            <w:tcW w:w="2157" w:type="dxa"/>
            <w:vMerge w:val="restart"/>
            <w:tcBorders>
              <w:top w:val="single" w:sz="6" w:space="0" w:color="auto"/>
              <w:left w:val="single" w:sz="6" w:space="0" w:color="auto"/>
              <w:right w:val="single" w:sz="6" w:space="0" w:color="auto"/>
            </w:tcBorders>
          </w:tcPr>
          <w:p w14:paraId="1F05CE2A" w14:textId="77777777" w:rsidR="00F32099"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Hushållstyp</w:t>
            </w:r>
          </w:p>
        </w:tc>
        <w:tc>
          <w:tcPr>
            <w:tcW w:w="789" w:type="dxa"/>
            <w:tcBorders>
              <w:top w:val="single" w:sz="6" w:space="0" w:color="auto"/>
              <w:left w:val="single" w:sz="6" w:space="0" w:color="auto"/>
              <w:bottom w:val="single" w:sz="6" w:space="0" w:color="auto"/>
              <w:right w:val="nil"/>
            </w:tcBorders>
          </w:tcPr>
          <w:p w14:paraId="3CC2DDBA" w14:textId="77777777" w:rsidR="00F32099"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Hushåll</w:t>
            </w:r>
          </w:p>
        </w:tc>
        <w:tc>
          <w:tcPr>
            <w:tcW w:w="654" w:type="dxa"/>
            <w:tcBorders>
              <w:top w:val="single" w:sz="6" w:space="0" w:color="auto"/>
              <w:left w:val="nil"/>
              <w:bottom w:val="single" w:sz="6" w:space="0" w:color="auto"/>
              <w:right w:val="single" w:sz="6" w:space="0" w:color="auto"/>
            </w:tcBorders>
          </w:tcPr>
          <w:p w14:paraId="1AC0F274" w14:textId="77777777" w:rsidR="00F32099" w:rsidRPr="003954D9" w:rsidRDefault="00F32099" w:rsidP="00117C0D">
            <w:pPr>
              <w:autoSpaceDE w:val="0"/>
              <w:autoSpaceDN w:val="0"/>
              <w:adjustRightInd w:val="0"/>
              <w:jc w:val="right"/>
              <w:rPr>
                <w:rFonts w:ascii="Calibri" w:hAnsi="Calibri" w:cs="Calibri"/>
                <w:color w:val="000000"/>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14:paraId="7722035C" w14:textId="77777777" w:rsidR="00F32099"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w:t>
            </w:r>
          </w:p>
        </w:tc>
        <w:tc>
          <w:tcPr>
            <w:tcW w:w="1701" w:type="dxa"/>
            <w:gridSpan w:val="2"/>
            <w:tcBorders>
              <w:top w:val="single" w:sz="6" w:space="0" w:color="auto"/>
              <w:left w:val="single" w:sz="6" w:space="0" w:color="auto"/>
              <w:bottom w:val="single" w:sz="4" w:space="0" w:color="auto"/>
              <w:right w:val="single" w:sz="6" w:space="0" w:color="auto"/>
            </w:tcBorders>
          </w:tcPr>
          <w:p w14:paraId="6EE7DB9A" w14:textId="77777777" w:rsidR="00F32099"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Boarea</w:t>
            </w:r>
          </w:p>
        </w:tc>
        <w:tc>
          <w:tcPr>
            <w:tcW w:w="807" w:type="dxa"/>
            <w:vMerge w:val="restart"/>
            <w:tcBorders>
              <w:top w:val="single" w:sz="6" w:space="0" w:color="auto"/>
              <w:left w:val="single" w:sz="6" w:space="0" w:color="auto"/>
              <w:right w:val="single" w:sz="6" w:space="0" w:color="auto"/>
            </w:tcBorders>
          </w:tcPr>
          <w:p w14:paraId="4FE09476" w14:textId="77777777" w:rsidR="00F32099"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Boende/ hushåll</w:t>
            </w:r>
          </w:p>
        </w:tc>
      </w:tr>
      <w:tr w:rsidR="00F32099" w:rsidRPr="003954D9" w14:paraId="14F5E892" w14:textId="77777777" w:rsidTr="00814A4E">
        <w:trPr>
          <w:trHeight w:val="133"/>
        </w:trPr>
        <w:tc>
          <w:tcPr>
            <w:tcW w:w="2157" w:type="dxa"/>
            <w:vMerge/>
            <w:tcBorders>
              <w:left w:val="single" w:sz="6" w:space="0" w:color="auto"/>
              <w:bottom w:val="single" w:sz="6" w:space="0" w:color="auto"/>
              <w:right w:val="single" w:sz="6" w:space="0" w:color="auto"/>
            </w:tcBorders>
          </w:tcPr>
          <w:p w14:paraId="6F1B8102" w14:textId="77777777" w:rsidR="00F32099" w:rsidRPr="003954D9" w:rsidRDefault="00F32099" w:rsidP="00117C0D">
            <w:pPr>
              <w:autoSpaceDE w:val="0"/>
              <w:autoSpaceDN w:val="0"/>
              <w:adjustRightInd w:val="0"/>
              <w:jc w:val="right"/>
              <w:rPr>
                <w:rFonts w:ascii="Calibri" w:hAnsi="Calibri" w:cs="Calibri"/>
                <w:color w:val="000000"/>
                <w:sz w:val="22"/>
                <w:szCs w:val="22"/>
              </w:rPr>
            </w:pPr>
          </w:p>
        </w:tc>
        <w:tc>
          <w:tcPr>
            <w:tcW w:w="789" w:type="dxa"/>
            <w:tcBorders>
              <w:top w:val="single" w:sz="6" w:space="0" w:color="auto"/>
              <w:left w:val="single" w:sz="6" w:space="0" w:color="auto"/>
              <w:bottom w:val="single" w:sz="6" w:space="0" w:color="auto"/>
              <w:right w:val="single" w:sz="6" w:space="0" w:color="auto"/>
            </w:tcBorders>
          </w:tcPr>
          <w:p w14:paraId="0D311DA5" w14:textId="623A55D5" w:rsidR="00F32099"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654" w:type="dxa"/>
            <w:tcBorders>
              <w:top w:val="single" w:sz="6" w:space="0" w:color="auto"/>
              <w:left w:val="single" w:sz="6" w:space="0" w:color="auto"/>
              <w:bottom w:val="single" w:sz="6" w:space="0" w:color="auto"/>
              <w:right w:val="single" w:sz="6" w:space="0" w:color="auto"/>
            </w:tcBorders>
          </w:tcPr>
          <w:p w14:paraId="304AF66B" w14:textId="7CC2615D" w:rsidR="00F32099"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14:paraId="46DC388B" w14:textId="77777777" w:rsidR="00F32099"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Antal</w:t>
            </w:r>
          </w:p>
        </w:tc>
        <w:tc>
          <w:tcPr>
            <w:tcW w:w="567" w:type="dxa"/>
            <w:tcBorders>
              <w:top w:val="single" w:sz="6" w:space="0" w:color="auto"/>
              <w:left w:val="single" w:sz="6" w:space="0" w:color="auto"/>
              <w:bottom w:val="single" w:sz="6" w:space="0" w:color="auto"/>
              <w:right w:val="single" w:sz="4" w:space="0" w:color="auto"/>
            </w:tcBorders>
          </w:tcPr>
          <w:p w14:paraId="097205E4" w14:textId="73F2365A" w:rsidR="00F32099"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919" w:type="dxa"/>
            <w:tcBorders>
              <w:top w:val="single" w:sz="4" w:space="0" w:color="auto"/>
              <w:left w:val="single" w:sz="4" w:space="0" w:color="auto"/>
              <w:bottom w:val="single" w:sz="4" w:space="0" w:color="auto"/>
              <w:right w:val="single" w:sz="4" w:space="0" w:color="auto"/>
            </w:tcBorders>
          </w:tcPr>
          <w:p w14:paraId="7658A3B0" w14:textId="77777777" w:rsidR="00F32099"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Medelv.</w:t>
            </w:r>
          </w:p>
        </w:tc>
        <w:tc>
          <w:tcPr>
            <w:tcW w:w="782" w:type="dxa"/>
            <w:tcBorders>
              <w:top w:val="single" w:sz="4" w:space="0" w:color="auto"/>
              <w:left w:val="single" w:sz="4" w:space="0" w:color="auto"/>
              <w:bottom w:val="single" w:sz="4" w:space="0" w:color="auto"/>
              <w:right w:val="single" w:sz="6" w:space="0" w:color="auto"/>
            </w:tcBorders>
          </w:tcPr>
          <w:p w14:paraId="418C890E" w14:textId="77777777" w:rsidR="00F32099" w:rsidRPr="003954D9" w:rsidRDefault="00F32099" w:rsidP="00117C0D">
            <w:pPr>
              <w:autoSpaceDE w:val="0"/>
              <w:autoSpaceDN w:val="0"/>
              <w:adjustRightInd w:val="0"/>
              <w:rPr>
                <w:rFonts w:ascii="Calibri" w:hAnsi="Calibri" w:cs="Calibri"/>
                <w:b/>
                <w:bCs/>
                <w:color w:val="000000"/>
                <w:sz w:val="22"/>
                <w:szCs w:val="22"/>
              </w:rPr>
            </w:pPr>
            <w:r w:rsidRPr="003954D9">
              <w:rPr>
                <w:rFonts w:ascii="Calibri" w:hAnsi="Calibri" w:cs="Calibri"/>
                <w:b/>
                <w:bCs/>
                <w:color w:val="000000"/>
                <w:sz w:val="16"/>
                <w:szCs w:val="16"/>
              </w:rPr>
              <w:t>Per pers</w:t>
            </w:r>
            <w:r w:rsidRPr="003954D9">
              <w:rPr>
                <w:rFonts w:ascii="Calibri" w:hAnsi="Calibri" w:cs="Calibri"/>
                <w:b/>
                <w:bCs/>
                <w:color w:val="000000"/>
                <w:sz w:val="22"/>
                <w:szCs w:val="22"/>
              </w:rPr>
              <w:t>.</w:t>
            </w:r>
          </w:p>
        </w:tc>
        <w:tc>
          <w:tcPr>
            <w:tcW w:w="807" w:type="dxa"/>
            <w:vMerge/>
            <w:tcBorders>
              <w:left w:val="single" w:sz="6" w:space="0" w:color="auto"/>
              <w:bottom w:val="single" w:sz="6" w:space="0" w:color="auto"/>
              <w:right w:val="single" w:sz="6" w:space="0" w:color="auto"/>
            </w:tcBorders>
          </w:tcPr>
          <w:p w14:paraId="4772AA23" w14:textId="77777777" w:rsidR="00F32099" w:rsidRPr="003954D9" w:rsidRDefault="00F32099" w:rsidP="00117C0D">
            <w:pPr>
              <w:autoSpaceDE w:val="0"/>
              <w:autoSpaceDN w:val="0"/>
              <w:adjustRightInd w:val="0"/>
              <w:jc w:val="right"/>
              <w:rPr>
                <w:rFonts w:ascii="Calibri" w:hAnsi="Calibri" w:cs="Calibri"/>
                <w:b/>
                <w:bCs/>
                <w:color w:val="000000"/>
                <w:sz w:val="22"/>
                <w:szCs w:val="22"/>
              </w:rPr>
            </w:pPr>
          </w:p>
        </w:tc>
      </w:tr>
      <w:tr w:rsidR="00117C0D" w:rsidRPr="003954D9" w14:paraId="0216B8EB" w14:textId="77777777" w:rsidTr="00117C0D">
        <w:trPr>
          <w:trHeight w:val="227"/>
        </w:trPr>
        <w:tc>
          <w:tcPr>
            <w:tcW w:w="2157" w:type="dxa"/>
            <w:tcBorders>
              <w:top w:val="single" w:sz="6" w:space="0" w:color="auto"/>
              <w:left w:val="single" w:sz="6" w:space="0" w:color="auto"/>
              <w:bottom w:val="single" w:sz="6" w:space="0" w:color="auto"/>
              <w:right w:val="single" w:sz="6" w:space="0" w:color="auto"/>
            </w:tcBorders>
          </w:tcPr>
          <w:p w14:paraId="38E7D313" w14:textId="246961EB" w:rsidR="00117C0D" w:rsidRPr="003954D9" w:rsidRDefault="00117C0D" w:rsidP="00117C0D">
            <w:pPr>
              <w:autoSpaceDE w:val="0"/>
              <w:autoSpaceDN w:val="0"/>
              <w:adjustRightInd w:val="0"/>
              <w:rPr>
                <w:rFonts w:ascii="Calibri" w:hAnsi="Calibri" w:cs="Calibri"/>
                <w:color w:val="000000"/>
                <w:sz w:val="16"/>
                <w:szCs w:val="16"/>
              </w:rPr>
            </w:pPr>
            <w:proofErr w:type="spellStart"/>
            <w:r w:rsidRPr="003954D9">
              <w:rPr>
                <w:rFonts w:ascii="Calibri" w:hAnsi="Calibri" w:cs="Calibri"/>
                <w:color w:val="000000"/>
                <w:sz w:val="16"/>
                <w:szCs w:val="16"/>
              </w:rPr>
              <w:t>Ensamsb</w:t>
            </w:r>
            <w:proofErr w:type="spellEnd"/>
            <w:r w:rsidRPr="003954D9">
              <w:rPr>
                <w:rFonts w:ascii="Calibri" w:hAnsi="Calibri" w:cs="Calibri"/>
                <w:color w:val="000000"/>
                <w:sz w:val="16"/>
                <w:szCs w:val="16"/>
              </w:rPr>
              <w:t xml:space="preserve">.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tcPr>
          <w:p w14:paraId="309955EC" w14:textId="77777777" w:rsidR="00117C0D" w:rsidRPr="003954D9" w:rsidRDefault="00117C0D" w:rsidP="00117C0D">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7 495</w:t>
            </w:r>
          </w:p>
        </w:tc>
        <w:tc>
          <w:tcPr>
            <w:tcW w:w="654" w:type="dxa"/>
            <w:tcBorders>
              <w:top w:val="single" w:sz="6" w:space="0" w:color="auto"/>
              <w:left w:val="single" w:sz="6" w:space="0" w:color="auto"/>
              <w:bottom w:val="single" w:sz="6" w:space="0" w:color="auto"/>
              <w:right w:val="single" w:sz="6" w:space="0" w:color="auto"/>
            </w:tcBorders>
          </w:tcPr>
          <w:p w14:paraId="0582064B" w14:textId="77777777" w:rsidR="00117C0D" w:rsidRPr="003954D9" w:rsidRDefault="00117C0D" w:rsidP="00117C0D">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32,5</w:t>
            </w:r>
          </w:p>
        </w:tc>
        <w:tc>
          <w:tcPr>
            <w:tcW w:w="709" w:type="dxa"/>
            <w:tcBorders>
              <w:top w:val="single" w:sz="6" w:space="0" w:color="auto"/>
              <w:left w:val="single" w:sz="6" w:space="0" w:color="auto"/>
              <w:bottom w:val="single" w:sz="6" w:space="0" w:color="auto"/>
              <w:right w:val="single" w:sz="6" w:space="0" w:color="auto"/>
            </w:tcBorders>
          </w:tcPr>
          <w:p w14:paraId="683830A1" w14:textId="77777777" w:rsidR="00117C0D" w:rsidRPr="003954D9" w:rsidRDefault="00117C0D" w:rsidP="00117C0D">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7 495</w:t>
            </w:r>
          </w:p>
        </w:tc>
        <w:tc>
          <w:tcPr>
            <w:tcW w:w="567" w:type="dxa"/>
            <w:tcBorders>
              <w:top w:val="single" w:sz="4" w:space="0" w:color="auto"/>
              <w:left w:val="single" w:sz="6" w:space="0" w:color="auto"/>
              <w:bottom w:val="single" w:sz="6" w:space="0" w:color="auto"/>
              <w:right w:val="single" w:sz="6" w:space="0" w:color="auto"/>
            </w:tcBorders>
          </w:tcPr>
          <w:p w14:paraId="4EAE71F8" w14:textId="77777777" w:rsidR="00117C0D" w:rsidRPr="003954D9" w:rsidRDefault="00117C0D" w:rsidP="00117C0D">
            <w:pPr>
              <w:autoSpaceDE w:val="0"/>
              <w:autoSpaceDN w:val="0"/>
              <w:adjustRightInd w:val="0"/>
              <w:jc w:val="right"/>
              <w:rPr>
                <w:rFonts w:ascii="Calibri" w:hAnsi="Calibri" w:cs="Calibri"/>
                <w:b/>
                <w:color w:val="FF0000"/>
                <w:sz w:val="16"/>
                <w:szCs w:val="16"/>
              </w:rPr>
            </w:pPr>
            <w:r w:rsidRPr="003954D9">
              <w:rPr>
                <w:rFonts w:ascii="Calibri" w:hAnsi="Calibri" w:cs="Calibri"/>
                <w:b/>
                <w:color w:val="FF0000"/>
                <w:sz w:val="16"/>
                <w:szCs w:val="16"/>
              </w:rPr>
              <w:t>14,6</w:t>
            </w:r>
          </w:p>
        </w:tc>
        <w:tc>
          <w:tcPr>
            <w:tcW w:w="919" w:type="dxa"/>
            <w:tcBorders>
              <w:top w:val="single" w:sz="4" w:space="0" w:color="auto"/>
              <w:left w:val="single" w:sz="6" w:space="0" w:color="auto"/>
              <w:bottom w:val="single" w:sz="6" w:space="0" w:color="auto"/>
              <w:right w:val="single" w:sz="6" w:space="0" w:color="auto"/>
            </w:tcBorders>
          </w:tcPr>
          <w:p w14:paraId="15571D00"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52,4</w:t>
            </w:r>
          </w:p>
        </w:tc>
        <w:tc>
          <w:tcPr>
            <w:tcW w:w="782" w:type="dxa"/>
            <w:tcBorders>
              <w:top w:val="single" w:sz="4" w:space="0" w:color="auto"/>
              <w:left w:val="single" w:sz="6" w:space="0" w:color="auto"/>
              <w:bottom w:val="single" w:sz="6" w:space="0" w:color="auto"/>
              <w:right w:val="single" w:sz="6" w:space="0" w:color="auto"/>
            </w:tcBorders>
          </w:tcPr>
          <w:p w14:paraId="4A003DA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52,4</w:t>
            </w:r>
          </w:p>
        </w:tc>
        <w:tc>
          <w:tcPr>
            <w:tcW w:w="807" w:type="dxa"/>
            <w:tcBorders>
              <w:top w:val="single" w:sz="6" w:space="0" w:color="auto"/>
              <w:left w:val="single" w:sz="6" w:space="0" w:color="auto"/>
              <w:bottom w:val="single" w:sz="6" w:space="0" w:color="auto"/>
              <w:right w:val="single" w:sz="6" w:space="0" w:color="auto"/>
            </w:tcBorders>
          </w:tcPr>
          <w:p w14:paraId="064AE3ED" w14:textId="77777777" w:rsidR="00117C0D" w:rsidRPr="003954D9" w:rsidRDefault="00117C0D" w:rsidP="00117C0D">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1,00</w:t>
            </w:r>
          </w:p>
        </w:tc>
      </w:tr>
      <w:tr w:rsidR="00117C0D" w:rsidRPr="003954D9" w14:paraId="461A936C" w14:textId="77777777" w:rsidTr="00117C0D">
        <w:trPr>
          <w:trHeight w:val="227"/>
        </w:trPr>
        <w:tc>
          <w:tcPr>
            <w:tcW w:w="2157" w:type="dxa"/>
            <w:tcBorders>
              <w:top w:val="single" w:sz="6" w:space="0" w:color="auto"/>
              <w:left w:val="single" w:sz="6" w:space="0" w:color="auto"/>
              <w:bottom w:val="single" w:sz="6" w:space="0" w:color="auto"/>
              <w:right w:val="single" w:sz="6" w:space="0" w:color="auto"/>
            </w:tcBorders>
          </w:tcPr>
          <w:p w14:paraId="3CC0BD3A" w14:textId="2E9F8F8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Ensambo. u. barn </w:t>
            </w:r>
            <w:r w:rsidR="00365C66" w:rsidRPr="003954D9">
              <w:rPr>
                <w:rFonts w:ascii="Calibri" w:hAnsi="Calibri" w:cs="Calibri"/>
                <w:color w:val="000000"/>
                <w:sz w:val="16"/>
                <w:szCs w:val="16"/>
              </w:rPr>
              <w:t>65-år</w:t>
            </w:r>
          </w:p>
        </w:tc>
        <w:tc>
          <w:tcPr>
            <w:tcW w:w="789" w:type="dxa"/>
            <w:tcBorders>
              <w:top w:val="single" w:sz="6" w:space="0" w:color="auto"/>
              <w:left w:val="single" w:sz="6" w:space="0" w:color="auto"/>
              <w:bottom w:val="single" w:sz="6" w:space="0" w:color="auto"/>
              <w:right w:val="single" w:sz="6" w:space="0" w:color="auto"/>
            </w:tcBorders>
          </w:tcPr>
          <w:p w14:paraId="49283A3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3 006</w:t>
            </w:r>
          </w:p>
        </w:tc>
        <w:tc>
          <w:tcPr>
            <w:tcW w:w="654" w:type="dxa"/>
            <w:tcBorders>
              <w:top w:val="single" w:sz="6" w:space="0" w:color="auto"/>
              <w:left w:val="single" w:sz="6" w:space="0" w:color="auto"/>
              <w:bottom w:val="single" w:sz="6" w:space="0" w:color="auto"/>
              <w:right w:val="single" w:sz="6" w:space="0" w:color="auto"/>
            </w:tcBorders>
          </w:tcPr>
          <w:p w14:paraId="274DCF7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13,0</w:t>
            </w:r>
          </w:p>
        </w:tc>
        <w:tc>
          <w:tcPr>
            <w:tcW w:w="709" w:type="dxa"/>
            <w:tcBorders>
              <w:top w:val="single" w:sz="6" w:space="0" w:color="auto"/>
              <w:left w:val="single" w:sz="6" w:space="0" w:color="auto"/>
              <w:bottom w:val="single" w:sz="6" w:space="0" w:color="auto"/>
              <w:right w:val="single" w:sz="6" w:space="0" w:color="auto"/>
            </w:tcBorders>
          </w:tcPr>
          <w:p w14:paraId="6F1C8AE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3 006</w:t>
            </w:r>
          </w:p>
        </w:tc>
        <w:tc>
          <w:tcPr>
            <w:tcW w:w="567" w:type="dxa"/>
            <w:tcBorders>
              <w:top w:val="single" w:sz="6" w:space="0" w:color="auto"/>
              <w:left w:val="single" w:sz="6" w:space="0" w:color="auto"/>
              <w:bottom w:val="single" w:sz="6" w:space="0" w:color="auto"/>
              <w:right w:val="single" w:sz="6" w:space="0" w:color="auto"/>
            </w:tcBorders>
          </w:tcPr>
          <w:p w14:paraId="350A949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5,8</w:t>
            </w:r>
          </w:p>
        </w:tc>
        <w:tc>
          <w:tcPr>
            <w:tcW w:w="919" w:type="dxa"/>
            <w:tcBorders>
              <w:top w:val="single" w:sz="6" w:space="0" w:color="auto"/>
              <w:left w:val="single" w:sz="6" w:space="0" w:color="auto"/>
              <w:bottom w:val="single" w:sz="6" w:space="0" w:color="auto"/>
              <w:right w:val="single" w:sz="6" w:space="0" w:color="auto"/>
            </w:tcBorders>
          </w:tcPr>
          <w:p w14:paraId="71F4483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62,5</w:t>
            </w:r>
          </w:p>
        </w:tc>
        <w:tc>
          <w:tcPr>
            <w:tcW w:w="782" w:type="dxa"/>
            <w:tcBorders>
              <w:top w:val="single" w:sz="6" w:space="0" w:color="auto"/>
              <w:left w:val="single" w:sz="6" w:space="0" w:color="auto"/>
              <w:bottom w:val="single" w:sz="6" w:space="0" w:color="auto"/>
              <w:right w:val="single" w:sz="6" w:space="0" w:color="auto"/>
            </w:tcBorders>
          </w:tcPr>
          <w:p w14:paraId="43843A01"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62,5</w:t>
            </w:r>
          </w:p>
        </w:tc>
        <w:tc>
          <w:tcPr>
            <w:tcW w:w="807" w:type="dxa"/>
            <w:tcBorders>
              <w:top w:val="single" w:sz="6" w:space="0" w:color="auto"/>
              <w:left w:val="single" w:sz="6" w:space="0" w:color="auto"/>
              <w:bottom w:val="single" w:sz="6" w:space="0" w:color="auto"/>
              <w:right w:val="single" w:sz="6" w:space="0" w:color="auto"/>
            </w:tcBorders>
          </w:tcPr>
          <w:p w14:paraId="42B21D4B" w14:textId="77777777" w:rsidR="00117C0D" w:rsidRPr="003954D9" w:rsidRDefault="00117C0D" w:rsidP="00117C0D">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1,00</w:t>
            </w:r>
          </w:p>
        </w:tc>
      </w:tr>
      <w:tr w:rsidR="00117C0D" w:rsidRPr="003954D9" w14:paraId="63839312" w14:textId="77777777" w:rsidTr="00117C0D">
        <w:trPr>
          <w:trHeight w:val="227"/>
        </w:trPr>
        <w:tc>
          <w:tcPr>
            <w:tcW w:w="2157" w:type="dxa"/>
            <w:tcBorders>
              <w:top w:val="single" w:sz="6" w:space="0" w:color="auto"/>
              <w:left w:val="single" w:sz="6" w:space="0" w:color="auto"/>
              <w:bottom w:val="single" w:sz="6" w:space="0" w:color="auto"/>
              <w:right w:val="single" w:sz="6" w:space="0" w:color="auto"/>
            </w:tcBorders>
          </w:tcPr>
          <w:p w14:paraId="04967386" w14:textId="19FF000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Ensamst. m.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tcPr>
          <w:p w14:paraId="1ADA94A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1 845</w:t>
            </w:r>
          </w:p>
        </w:tc>
        <w:tc>
          <w:tcPr>
            <w:tcW w:w="654" w:type="dxa"/>
            <w:tcBorders>
              <w:top w:val="single" w:sz="6" w:space="0" w:color="auto"/>
              <w:left w:val="single" w:sz="6" w:space="0" w:color="auto"/>
              <w:bottom w:val="single" w:sz="6" w:space="0" w:color="auto"/>
              <w:right w:val="single" w:sz="6" w:space="0" w:color="auto"/>
            </w:tcBorders>
          </w:tcPr>
          <w:p w14:paraId="4E8499C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8,0</w:t>
            </w:r>
          </w:p>
        </w:tc>
        <w:tc>
          <w:tcPr>
            <w:tcW w:w="709" w:type="dxa"/>
            <w:tcBorders>
              <w:top w:val="single" w:sz="6" w:space="0" w:color="auto"/>
              <w:left w:val="single" w:sz="6" w:space="0" w:color="auto"/>
              <w:bottom w:val="single" w:sz="6" w:space="0" w:color="auto"/>
              <w:right w:val="single" w:sz="6" w:space="0" w:color="auto"/>
            </w:tcBorders>
          </w:tcPr>
          <w:p w14:paraId="500BAD4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5 358</w:t>
            </w:r>
          </w:p>
        </w:tc>
        <w:tc>
          <w:tcPr>
            <w:tcW w:w="567" w:type="dxa"/>
            <w:tcBorders>
              <w:top w:val="single" w:sz="6" w:space="0" w:color="auto"/>
              <w:left w:val="single" w:sz="6" w:space="0" w:color="auto"/>
              <w:bottom w:val="single" w:sz="6" w:space="0" w:color="auto"/>
              <w:right w:val="single" w:sz="6" w:space="0" w:color="auto"/>
            </w:tcBorders>
          </w:tcPr>
          <w:p w14:paraId="6B04262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10,4</w:t>
            </w:r>
          </w:p>
        </w:tc>
        <w:tc>
          <w:tcPr>
            <w:tcW w:w="919" w:type="dxa"/>
            <w:tcBorders>
              <w:top w:val="single" w:sz="6" w:space="0" w:color="auto"/>
              <w:left w:val="single" w:sz="6" w:space="0" w:color="auto"/>
              <w:bottom w:val="single" w:sz="6" w:space="0" w:color="auto"/>
              <w:right w:val="single" w:sz="6" w:space="0" w:color="auto"/>
            </w:tcBorders>
          </w:tcPr>
          <w:p w14:paraId="1939B04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77,8</w:t>
            </w:r>
          </w:p>
        </w:tc>
        <w:tc>
          <w:tcPr>
            <w:tcW w:w="782" w:type="dxa"/>
            <w:tcBorders>
              <w:top w:val="single" w:sz="6" w:space="0" w:color="auto"/>
              <w:left w:val="single" w:sz="6" w:space="0" w:color="auto"/>
              <w:bottom w:val="single" w:sz="6" w:space="0" w:color="auto"/>
              <w:right w:val="single" w:sz="6" w:space="0" w:color="auto"/>
            </w:tcBorders>
          </w:tcPr>
          <w:p w14:paraId="552CF13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26,8</w:t>
            </w:r>
          </w:p>
        </w:tc>
        <w:tc>
          <w:tcPr>
            <w:tcW w:w="807" w:type="dxa"/>
            <w:tcBorders>
              <w:top w:val="single" w:sz="6" w:space="0" w:color="auto"/>
              <w:left w:val="single" w:sz="6" w:space="0" w:color="auto"/>
              <w:bottom w:val="single" w:sz="6" w:space="0" w:color="auto"/>
              <w:right w:val="single" w:sz="6" w:space="0" w:color="auto"/>
            </w:tcBorders>
          </w:tcPr>
          <w:p w14:paraId="382E4E6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2,90</w:t>
            </w:r>
          </w:p>
        </w:tc>
      </w:tr>
      <w:tr w:rsidR="00117C0D" w:rsidRPr="003954D9" w14:paraId="1AA45AE4" w14:textId="77777777" w:rsidTr="00117C0D">
        <w:trPr>
          <w:trHeight w:val="227"/>
        </w:trPr>
        <w:tc>
          <w:tcPr>
            <w:tcW w:w="2157" w:type="dxa"/>
            <w:tcBorders>
              <w:top w:val="single" w:sz="6" w:space="0" w:color="auto"/>
              <w:left w:val="single" w:sz="6" w:space="0" w:color="auto"/>
              <w:bottom w:val="single" w:sz="6" w:space="0" w:color="auto"/>
              <w:right w:val="single" w:sz="6" w:space="0" w:color="auto"/>
            </w:tcBorders>
          </w:tcPr>
          <w:p w14:paraId="49AE13D2" w14:textId="5730B190"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tcPr>
          <w:p w14:paraId="363B49E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2 286</w:t>
            </w:r>
          </w:p>
        </w:tc>
        <w:tc>
          <w:tcPr>
            <w:tcW w:w="654" w:type="dxa"/>
            <w:tcBorders>
              <w:top w:val="single" w:sz="6" w:space="0" w:color="auto"/>
              <w:left w:val="single" w:sz="6" w:space="0" w:color="auto"/>
              <w:bottom w:val="single" w:sz="6" w:space="0" w:color="auto"/>
              <w:right w:val="single" w:sz="6" w:space="0" w:color="auto"/>
            </w:tcBorders>
          </w:tcPr>
          <w:p w14:paraId="1B8F5BB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w:t>
            </w:r>
          </w:p>
        </w:tc>
        <w:tc>
          <w:tcPr>
            <w:tcW w:w="709" w:type="dxa"/>
            <w:tcBorders>
              <w:top w:val="single" w:sz="6" w:space="0" w:color="auto"/>
              <w:left w:val="single" w:sz="6" w:space="0" w:color="auto"/>
              <w:bottom w:val="single" w:sz="6" w:space="0" w:color="auto"/>
              <w:right w:val="single" w:sz="6" w:space="0" w:color="auto"/>
            </w:tcBorders>
          </w:tcPr>
          <w:p w14:paraId="65BD6C4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4 572</w:t>
            </w:r>
          </w:p>
        </w:tc>
        <w:tc>
          <w:tcPr>
            <w:tcW w:w="567" w:type="dxa"/>
            <w:tcBorders>
              <w:top w:val="single" w:sz="6" w:space="0" w:color="auto"/>
              <w:left w:val="single" w:sz="6" w:space="0" w:color="auto"/>
              <w:bottom w:val="single" w:sz="6" w:space="0" w:color="auto"/>
              <w:right w:val="single" w:sz="6" w:space="0" w:color="auto"/>
            </w:tcBorders>
          </w:tcPr>
          <w:p w14:paraId="2EF04EA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8,9</w:t>
            </w:r>
          </w:p>
        </w:tc>
        <w:tc>
          <w:tcPr>
            <w:tcW w:w="919" w:type="dxa"/>
            <w:tcBorders>
              <w:top w:val="single" w:sz="6" w:space="0" w:color="auto"/>
              <w:left w:val="single" w:sz="6" w:space="0" w:color="auto"/>
              <w:bottom w:val="single" w:sz="6" w:space="0" w:color="auto"/>
              <w:right w:val="single" w:sz="6" w:space="0" w:color="auto"/>
            </w:tcBorders>
          </w:tcPr>
          <w:p w14:paraId="5406AC4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64,2</w:t>
            </w:r>
          </w:p>
        </w:tc>
        <w:tc>
          <w:tcPr>
            <w:tcW w:w="782" w:type="dxa"/>
            <w:tcBorders>
              <w:top w:val="single" w:sz="6" w:space="0" w:color="auto"/>
              <w:left w:val="single" w:sz="6" w:space="0" w:color="auto"/>
              <w:bottom w:val="single" w:sz="6" w:space="0" w:color="auto"/>
              <w:right w:val="single" w:sz="6" w:space="0" w:color="auto"/>
            </w:tcBorders>
          </w:tcPr>
          <w:p w14:paraId="1F0C9F9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32,1</w:t>
            </w:r>
          </w:p>
        </w:tc>
        <w:tc>
          <w:tcPr>
            <w:tcW w:w="807" w:type="dxa"/>
            <w:tcBorders>
              <w:top w:val="single" w:sz="6" w:space="0" w:color="auto"/>
              <w:left w:val="single" w:sz="6" w:space="0" w:color="auto"/>
              <w:bottom w:val="single" w:sz="6" w:space="0" w:color="auto"/>
              <w:right w:val="single" w:sz="6" w:space="0" w:color="auto"/>
            </w:tcBorders>
          </w:tcPr>
          <w:p w14:paraId="42538F1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2,00</w:t>
            </w:r>
          </w:p>
        </w:tc>
      </w:tr>
      <w:tr w:rsidR="00117C0D" w:rsidRPr="003954D9" w14:paraId="3FDB2384" w14:textId="77777777" w:rsidTr="00117C0D">
        <w:trPr>
          <w:trHeight w:val="227"/>
        </w:trPr>
        <w:tc>
          <w:tcPr>
            <w:tcW w:w="2157" w:type="dxa"/>
            <w:tcBorders>
              <w:top w:val="single" w:sz="6" w:space="0" w:color="auto"/>
              <w:left w:val="single" w:sz="6" w:space="0" w:color="auto"/>
              <w:bottom w:val="single" w:sz="6" w:space="0" w:color="auto"/>
              <w:right w:val="single" w:sz="6" w:space="0" w:color="auto"/>
            </w:tcBorders>
          </w:tcPr>
          <w:p w14:paraId="2E3F9CE5" w14:textId="6F1B023E"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65-år</w:t>
            </w:r>
          </w:p>
        </w:tc>
        <w:tc>
          <w:tcPr>
            <w:tcW w:w="789" w:type="dxa"/>
            <w:tcBorders>
              <w:top w:val="single" w:sz="6" w:space="0" w:color="auto"/>
              <w:left w:val="single" w:sz="6" w:space="0" w:color="auto"/>
              <w:bottom w:val="single" w:sz="6" w:space="0" w:color="auto"/>
              <w:right w:val="single" w:sz="6" w:space="0" w:color="auto"/>
            </w:tcBorders>
          </w:tcPr>
          <w:p w14:paraId="5972BC4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796</w:t>
            </w:r>
          </w:p>
        </w:tc>
        <w:tc>
          <w:tcPr>
            <w:tcW w:w="654" w:type="dxa"/>
            <w:tcBorders>
              <w:top w:val="single" w:sz="6" w:space="0" w:color="auto"/>
              <w:left w:val="single" w:sz="6" w:space="0" w:color="auto"/>
              <w:bottom w:val="single" w:sz="6" w:space="0" w:color="auto"/>
              <w:right w:val="single" w:sz="6" w:space="0" w:color="auto"/>
            </w:tcBorders>
          </w:tcPr>
          <w:p w14:paraId="21ADEDC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w:t>
            </w:r>
          </w:p>
        </w:tc>
        <w:tc>
          <w:tcPr>
            <w:tcW w:w="709" w:type="dxa"/>
            <w:tcBorders>
              <w:top w:val="single" w:sz="6" w:space="0" w:color="auto"/>
              <w:left w:val="single" w:sz="6" w:space="0" w:color="auto"/>
              <w:bottom w:val="single" w:sz="6" w:space="0" w:color="auto"/>
              <w:right w:val="single" w:sz="6" w:space="0" w:color="auto"/>
            </w:tcBorders>
          </w:tcPr>
          <w:p w14:paraId="28869F31" w14:textId="77777777" w:rsidR="00117C0D" w:rsidRPr="003954D9" w:rsidRDefault="00117C0D" w:rsidP="00117C0D">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1 592</w:t>
            </w:r>
          </w:p>
        </w:tc>
        <w:tc>
          <w:tcPr>
            <w:tcW w:w="567" w:type="dxa"/>
            <w:tcBorders>
              <w:top w:val="single" w:sz="6" w:space="0" w:color="auto"/>
              <w:left w:val="single" w:sz="6" w:space="0" w:color="auto"/>
              <w:bottom w:val="single" w:sz="6" w:space="0" w:color="auto"/>
              <w:right w:val="single" w:sz="6" w:space="0" w:color="auto"/>
            </w:tcBorders>
          </w:tcPr>
          <w:p w14:paraId="4F95D65E" w14:textId="77777777" w:rsidR="00117C0D" w:rsidRPr="003954D9" w:rsidRDefault="00117C0D" w:rsidP="00117C0D">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3,1</w:t>
            </w:r>
          </w:p>
        </w:tc>
        <w:tc>
          <w:tcPr>
            <w:tcW w:w="919" w:type="dxa"/>
            <w:tcBorders>
              <w:top w:val="single" w:sz="6" w:space="0" w:color="auto"/>
              <w:left w:val="single" w:sz="6" w:space="0" w:color="auto"/>
              <w:bottom w:val="single" w:sz="6" w:space="0" w:color="auto"/>
              <w:right w:val="single" w:sz="6" w:space="0" w:color="auto"/>
            </w:tcBorders>
          </w:tcPr>
          <w:p w14:paraId="424DBD7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78,4</w:t>
            </w:r>
          </w:p>
        </w:tc>
        <w:tc>
          <w:tcPr>
            <w:tcW w:w="782" w:type="dxa"/>
            <w:tcBorders>
              <w:top w:val="single" w:sz="6" w:space="0" w:color="auto"/>
              <w:left w:val="single" w:sz="6" w:space="0" w:color="auto"/>
              <w:bottom w:val="single" w:sz="6" w:space="0" w:color="auto"/>
              <w:right w:val="single" w:sz="6" w:space="0" w:color="auto"/>
            </w:tcBorders>
          </w:tcPr>
          <w:p w14:paraId="3B6B99D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39,2</w:t>
            </w:r>
          </w:p>
        </w:tc>
        <w:tc>
          <w:tcPr>
            <w:tcW w:w="807" w:type="dxa"/>
            <w:tcBorders>
              <w:top w:val="single" w:sz="6" w:space="0" w:color="auto"/>
              <w:left w:val="single" w:sz="6" w:space="0" w:color="auto"/>
              <w:bottom w:val="single" w:sz="6" w:space="0" w:color="auto"/>
              <w:right w:val="single" w:sz="6" w:space="0" w:color="auto"/>
            </w:tcBorders>
          </w:tcPr>
          <w:p w14:paraId="29F890E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2,00</w:t>
            </w:r>
          </w:p>
        </w:tc>
      </w:tr>
      <w:tr w:rsidR="00117C0D" w:rsidRPr="003954D9" w14:paraId="5EBB2678" w14:textId="77777777" w:rsidTr="00117C0D">
        <w:trPr>
          <w:trHeight w:val="227"/>
        </w:trPr>
        <w:tc>
          <w:tcPr>
            <w:tcW w:w="2157" w:type="dxa"/>
            <w:tcBorders>
              <w:top w:val="single" w:sz="6" w:space="0" w:color="auto"/>
              <w:left w:val="single" w:sz="6" w:space="0" w:color="auto"/>
              <w:bottom w:val="single" w:sz="6" w:space="0" w:color="auto"/>
              <w:right w:val="single" w:sz="6" w:space="0" w:color="auto"/>
            </w:tcBorders>
          </w:tcPr>
          <w:p w14:paraId="54EE4AA1" w14:textId="62BF6404"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1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tcPr>
          <w:p w14:paraId="54B1EDD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1 217</w:t>
            </w:r>
          </w:p>
        </w:tc>
        <w:tc>
          <w:tcPr>
            <w:tcW w:w="654" w:type="dxa"/>
            <w:tcBorders>
              <w:top w:val="single" w:sz="6" w:space="0" w:color="auto"/>
              <w:left w:val="single" w:sz="6" w:space="0" w:color="auto"/>
              <w:bottom w:val="single" w:sz="6" w:space="0" w:color="auto"/>
              <w:right w:val="single" w:sz="6" w:space="0" w:color="auto"/>
            </w:tcBorders>
          </w:tcPr>
          <w:p w14:paraId="48FEF5E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w:t>
            </w:r>
          </w:p>
        </w:tc>
        <w:tc>
          <w:tcPr>
            <w:tcW w:w="709" w:type="dxa"/>
            <w:tcBorders>
              <w:top w:val="single" w:sz="6" w:space="0" w:color="auto"/>
              <w:left w:val="single" w:sz="6" w:space="0" w:color="auto"/>
              <w:bottom w:val="single" w:sz="6" w:space="0" w:color="auto"/>
              <w:right w:val="single" w:sz="6" w:space="0" w:color="auto"/>
            </w:tcBorders>
          </w:tcPr>
          <w:p w14:paraId="782D593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3 839</w:t>
            </w:r>
          </w:p>
        </w:tc>
        <w:tc>
          <w:tcPr>
            <w:tcW w:w="567" w:type="dxa"/>
            <w:tcBorders>
              <w:top w:val="single" w:sz="6" w:space="0" w:color="auto"/>
              <w:left w:val="single" w:sz="6" w:space="0" w:color="auto"/>
              <w:bottom w:val="single" w:sz="6" w:space="0" w:color="auto"/>
              <w:right w:val="single" w:sz="6" w:space="0" w:color="auto"/>
            </w:tcBorders>
          </w:tcPr>
          <w:p w14:paraId="7EC578A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7,5</w:t>
            </w:r>
          </w:p>
        </w:tc>
        <w:tc>
          <w:tcPr>
            <w:tcW w:w="919" w:type="dxa"/>
            <w:tcBorders>
              <w:top w:val="single" w:sz="6" w:space="0" w:color="auto"/>
              <w:left w:val="single" w:sz="6" w:space="0" w:color="auto"/>
              <w:bottom w:val="single" w:sz="6" w:space="0" w:color="auto"/>
              <w:right w:val="single" w:sz="6" w:space="0" w:color="auto"/>
            </w:tcBorders>
          </w:tcPr>
          <w:p w14:paraId="78B3D7C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75,8</w:t>
            </w:r>
          </w:p>
        </w:tc>
        <w:tc>
          <w:tcPr>
            <w:tcW w:w="782" w:type="dxa"/>
            <w:tcBorders>
              <w:top w:val="single" w:sz="6" w:space="0" w:color="auto"/>
              <w:left w:val="single" w:sz="6" w:space="0" w:color="auto"/>
              <w:bottom w:val="single" w:sz="6" w:space="0" w:color="auto"/>
              <w:right w:val="single" w:sz="6" w:space="0" w:color="auto"/>
            </w:tcBorders>
          </w:tcPr>
          <w:p w14:paraId="266986B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24,0</w:t>
            </w:r>
          </w:p>
        </w:tc>
        <w:tc>
          <w:tcPr>
            <w:tcW w:w="807" w:type="dxa"/>
            <w:tcBorders>
              <w:top w:val="single" w:sz="6" w:space="0" w:color="auto"/>
              <w:left w:val="single" w:sz="6" w:space="0" w:color="auto"/>
              <w:bottom w:val="single" w:sz="6" w:space="0" w:color="auto"/>
              <w:right w:val="single" w:sz="6" w:space="0" w:color="auto"/>
            </w:tcBorders>
          </w:tcPr>
          <w:p w14:paraId="3961245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3,15</w:t>
            </w:r>
          </w:p>
        </w:tc>
      </w:tr>
      <w:tr w:rsidR="00117C0D" w:rsidRPr="003954D9" w14:paraId="3149DA38" w14:textId="77777777" w:rsidTr="00117C0D">
        <w:trPr>
          <w:trHeight w:val="227"/>
        </w:trPr>
        <w:tc>
          <w:tcPr>
            <w:tcW w:w="2157" w:type="dxa"/>
            <w:tcBorders>
              <w:top w:val="single" w:sz="6" w:space="0" w:color="auto"/>
              <w:left w:val="single" w:sz="6" w:space="0" w:color="auto"/>
              <w:bottom w:val="single" w:sz="6" w:space="0" w:color="auto"/>
              <w:right w:val="single" w:sz="6" w:space="0" w:color="auto"/>
            </w:tcBorders>
          </w:tcPr>
          <w:p w14:paraId="4CBFAAC6" w14:textId="536F9C5C"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2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tcPr>
          <w:p w14:paraId="70075E5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1 165</w:t>
            </w:r>
          </w:p>
        </w:tc>
        <w:tc>
          <w:tcPr>
            <w:tcW w:w="654" w:type="dxa"/>
            <w:tcBorders>
              <w:top w:val="single" w:sz="6" w:space="0" w:color="auto"/>
              <w:left w:val="single" w:sz="6" w:space="0" w:color="auto"/>
              <w:bottom w:val="single" w:sz="6" w:space="0" w:color="auto"/>
              <w:right w:val="single" w:sz="6" w:space="0" w:color="auto"/>
            </w:tcBorders>
          </w:tcPr>
          <w:p w14:paraId="65BA5B4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w:t>
            </w:r>
          </w:p>
        </w:tc>
        <w:tc>
          <w:tcPr>
            <w:tcW w:w="709" w:type="dxa"/>
            <w:tcBorders>
              <w:top w:val="single" w:sz="6" w:space="0" w:color="auto"/>
              <w:left w:val="single" w:sz="6" w:space="0" w:color="auto"/>
              <w:bottom w:val="single" w:sz="6" w:space="0" w:color="auto"/>
              <w:right w:val="single" w:sz="6" w:space="0" w:color="auto"/>
            </w:tcBorders>
          </w:tcPr>
          <w:p w14:paraId="394DD8B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4 771</w:t>
            </w:r>
          </w:p>
        </w:tc>
        <w:tc>
          <w:tcPr>
            <w:tcW w:w="567" w:type="dxa"/>
            <w:tcBorders>
              <w:top w:val="single" w:sz="6" w:space="0" w:color="auto"/>
              <w:left w:val="single" w:sz="6" w:space="0" w:color="auto"/>
              <w:bottom w:val="single" w:sz="6" w:space="0" w:color="auto"/>
              <w:right w:val="single" w:sz="6" w:space="0" w:color="auto"/>
            </w:tcBorders>
          </w:tcPr>
          <w:p w14:paraId="7A7FB75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9,3</w:t>
            </w:r>
          </w:p>
        </w:tc>
        <w:tc>
          <w:tcPr>
            <w:tcW w:w="919" w:type="dxa"/>
            <w:tcBorders>
              <w:top w:val="single" w:sz="6" w:space="0" w:color="auto"/>
              <w:left w:val="single" w:sz="6" w:space="0" w:color="auto"/>
              <w:bottom w:val="single" w:sz="6" w:space="0" w:color="auto"/>
              <w:right w:val="single" w:sz="6" w:space="0" w:color="auto"/>
            </w:tcBorders>
          </w:tcPr>
          <w:p w14:paraId="10A9CD7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82,9</w:t>
            </w:r>
          </w:p>
        </w:tc>
        <w:tc>
          <w:tcPr>
            <w:tcW w:w="782" w:type="dxa"/>
            <w:tcBorders>
              <w:top w:val="single" w:sz="6" w:space="0" w:color="auto"/>
              <w:left w:val="single" w:sz="6" w:space="0" w:color="auto"/>
              <w:bottom w:val="single" w:sz="6" w:space="0" w:color="auto"/>
              <w:right w:val="single" w:sz="6" w:space="0" w:color="auto"/>
            </w:tcBorders>
          </w:tcPr>
          <w:p w14:paraId="5D3D0D8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20,2</w:t>
            </w:r>
          </w:p>
        </w:tc>
        <w:tc>
          <w:tcPr>
            <w:tcW w:w="807" w:type="dxa"/>
            <w:tcBorders>
              <w:top w:val="single" w:sz="6" w:space="0" w:color="auto"/>
              <w:left w:val="single" w:sz="6" w:space="0" w:color="auto"/>
              <w:bottom w:val="single" w:sz="6" w:space="0" w:color="auto"/>
              <w:right w:val="single" w:sz="6" w:space="0" w:color="auto"/>
            </w:tcBorders>
          </w:tcPr>
          <w:p w14:paraId="0A3BC03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4,10</w:t>
            </w:r>
          </w:p>
        </w:tc>
      </w:tr>
      <w:tr w:rsidR="00117C0D" w:rsidRPr="003954D9" w14:paraId="3BCBF87D" w14:textId="77777777" w:rsidTr="00117C0D">
        <w:trPr>
          <w:trHeight w:val="227"/>
        </w:trPr>
        <w:tc>
          <w:tcPr>
            <w:tcW w:w="2157" w:type="dxa"/>
            <w:tcBorders>
              <w:top w:val="single" w:sz="6" w:space="0" w:color="auto"/>
              <w:left w:val="single" w:sz="6" w:space="0" w:color="auto"/>
              <w:bottom w:val="single" w:sz="6" w:space="0" w:color="auto"/>
              <w:right w:val="single" w:sz="6" w:space="0" w:color="auto"/>
            </w:tcBorders>
          </w:tcPr>
          <w:p w14:paraId="794560D2" w14:textId="571131C2"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3 -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89" w:type="dxa"/>
            <w:tcBorders>
              <w:top w:val="single" w:sz="6" w:space="0" w:color="auto"/>
              <w:left w:val="single" w:sz="6" w:space="0" w:color="auto"/>
              <w:bottom w:val="single" w:sz="6" w:space="0" w:color="auto"/>
              <w:right w:val="single" w:sz="6" w:space="0" w:color="auto"/>
            </w:tcBorders>
          </w:tcPr>
          <w:p w14:paraId="75A04741"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747</w:t>
            </w:r>
          </w:p>
        </w:tc>
        <w:tc>
          <w:tcPr>
            <w:tcW w:w="654" w:type="dxa"/>
            <w:tcBorders>
              <w:top w:val="single" w:sz="6" w:space="0" w:color="auto"/>
              <w:left w:val="single" w:sz="6" w:space="0" w:color="auto"/>
              <w:bottom w:val="single" w:sz="6" w:space="0" w:color="auto"/>
              <w:right w:val="single" w:sz="6" w:space="0" w:color="auto"/>
            </w:tcBorders>
          </w:tcPr>
          <w:p w14:paraId="20DA8944"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3,2</w:t>
            </w:r>
          </w:p>
        </w:tc>
        <w:tc>
          <w:tcPr>
            <w:tcW w:w="709" w:type="dxa"/>
            <w:tcBorders>
              <w:top w:val="single" w:sz="6" w:space="0" w:color="auto"/>
              <w:left w:val="single" w:sz="6" w:space="0" w:color="auto"/>
              <w:bottom w:val="single" w:sz="6" w:space="0" w:color="auto"/>
              <w:right w:val="single" w:sz="6" w:space="0" w:color="auto"/>
            </w:tcBorders>
          </w:tcPr>
          <w:p w14:paraId="7AD0CAE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4 243</w:t>
            </w:r>
          </w:p>
        </w:tc>
        <w:tc>
          <w:tcPr>
            <w:tcW w:w="567" w:type="dxa"/>
            <w:tcBorders>
              <w:top w:val="single" w:sz="6" w:space="0" w:color="auto"/>
              <w:left w:val="single" w:sz="6" w:space="0" w:color="auto"/>
              <w:bottom w:val="single" w:sz="6" w:space="0" w:color="auto"/>
              <w:right w:val="single" w:sz="6" w:space="0" w:color="auto"/>
            </w:tcBorders>
          </w:tcPr>
          <w:p w14:paraId="3704A13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w:t>
            </w:r>
          </w:p>
        </w:tc>
        <w:tc>
          <w:tcPr>
            <w:tcW w:w="919" w:type="dxa"/>
            <w:tcBorders>
              <w:top w:val="single" w:sz="6" w:space="0" w:color="auto"/>
              <w:left w:val="single" w:sz="6" w:space="0" w:color="auto"/>
              <w:bottom w:val="single" w:sz="6" w:space="0" w:color="auto"/>
              <w:right w:val="single" w:sz="6" w:space="0" w:color="auto"/>
            </w:tcBorders>
          </w:tcPr>
          <w:p w14:paraId="47A87ACA"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87,8</w:t>
            </w:r>
          </w:p>
        </w:tc>
        <w:tc>
          <w:tcPr>
            <w:tcW w:w="782" w:type="dxa"/>
            <w:tcBorders>
              <w:top w:val="single" w:sz="6" w:space="0" w:color="auto"/>
              <w:left w:val="single" w:sz="6" w:space="0" w:color="auto"/>
              <w:bottom w:val="single" w:sz="6" w:space="0" w:color="auto"/>
              <w:right w:val="single" w:sz="6" w:space="0" w:color="auto"/>
            </w:tcBorders>
          </w:tcPr>
          <w:p w14:paraId="257B74BF"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15,5</w:t>
            </w:r>
          </w:p>
        </w:tc>
        <w:tc>
          <w:tcPr>
            <w:tcW w:w="807" w:type="dxa"/>
            <w:tcBorders>
              <w:top w:val="single" w:sz="6" w:space="0" w:color="auto"/>
              <w:left w:val="single" w:sz="6" w:space="0" w:color="auto"/>
              <w:bottom w:val="single" w:sz="6" w:space="0" w:color="auto"/>
              <w:right w:val="single" w:sz="6" w:space="0" w:color="auto"/>
            </w:tcBorders>
          </w:tcPr>
          <w:p w14:paraId="0C3A834E"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5,68</w:t>
            </w:r>
          </w:p>
        </w:tc>
      </w:tr>
      <w:tr w:rsidR="00117C0D" w:rsidRPr="003954D9" w14:paraId="5C41D9B4" w14:textId="77777777" w:rsidTr="00117C0D">
        <w:trPr>
          <w:trHeight w:val="227"/>
        </w:trPr>
        <w:tc>
          <w:tcPr>
            <w:tcW w:w="2157" w:type="dxa"/>
            <w:tcBorders>
              <w:top w:val="single" w:sz="6" w:space="0" w:color="auto"/>
              <w:left w:val="single" w:sz="6" w:space="0" w:color="auto"/>
              <w:bottom w:val="single" w:sz="6" w:space="0" w:color="auto"/>
              <w:right w:val="single" w:sz="6" w:space="0" w:color="auto"/>
            </w:tcBorders>
          </w:tcPr>
          <w:p w14:paraId="1B08B33F"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Övr. hushåll u. barn </w:t>
            </w:r>
          </w:p>
        </w:tc>
        <w:tc>
          <w:tcPr>
            <w:tcW w:w="789" w:type="dxa"/>
            <w:tcBorders>
              <w:top w:val="single" w:sz="6" w:space="0" w:color="auto"/>
              <w:left w:val="single" w:sz="6" w:space="0" w:color="auto"/>
              <w:bottom w:val="single" w:sz="6" w:space="0" w:color="auto"/>
              <w:right w:val="single" w:sz="6" w:space="0" w:color="auto"/>
            </w:tcBorders>
          </w:tcPr>
          <w:p w14:paraId="37D1379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1 818</w:t>
            </w:r>
          </w:p>
        </w:tc>
        <w:tc>
          <w:tcPr>
            <w:tcW w:w="654" w:type="dxa"/>
            <w:tcBorders>
              <w:top w:val="single" w:sz="6" w:space="0" w:color="auto"/>
              <w:left w:val="single" w:sz="6" w:space="0" w:color="auto"/>
              <w:bottom w:val="single" w:sz="6" w:space="0" w:color="auto"/>
              <w:right w:val="single" w:sz="6" w:space="0" w:color="auto"/>
            </w:tcBorders>
          </w:tcPr>
          <w:p w14:paraId="704DEB6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7,9</w:t>
            </w:r>
          </w:p>
        </w:tc>
        <w:tc>
          <w:tcPr>
            <w:tcW w:w="709" w:type="dxa"/>
            <w:tcBorders>
              <w:top w:val="single" w:sz="6" w:space="0" w:color="auto"/>
              <w:left w:val="single" w:sz="6" w:space="0" w:color="auto"/>
              <w:bottom w:val="single" w:sz="6" w:space="0" w:color="auto"/>
              <w:right w:val="single" w:sz="6" w:space="0" w:color="auto"/>
            </w:tcBorders>
          </w:tcPr>
          <w:p w14:paraId="784BAE1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4 709</w:t>
            </w:r>
          </w:p>
        </w:tc>
        <w:tc>
          <w:tcPr>
            <w:tcW w:w="567" w:type="dxa"/>
            <w:tcBorders>
              <w:top w:val="single" w:sz="6" w:space="0" w:color="auto"/>
              <w:left w:val="single" w:sz="6" w:space="0" w:color="auto"/>
              <w:bottom w:val="single" w:sz="6" w:space="0" w:color="auto"/>
              <w:right w:val="single" w:sz="6" w:space="0" w:color="auto"/>
            </w:tcBorders>
          </w:tcPr>
          <w:p w14:paraId="0A61CD7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9,2</w:t>
            </w:r>
          </w:p>
        </w:tc>
        <w:tc>
          <w:tcPr>
            <w:tcW w:w="919" w:type="dxa"/>
            <w:tcBorders>
              <w:top w:val="single" w:sz="6" w:space="0" w:color="auto"/>
              <w:left w:val="single" w:sz="6" w:space="0" w:color="auto"/>
              <w:bottom w:val="single" w:sz="6" w:space="0" w:color="auto"/>
              <w:right w:val="single" w:sz="6" w:space="0" w:color="auto"/>
            </w:tcBorders>
          </w:tcPr>
          <w:p w14:paraId="651441D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59,4</w:t>
            </w:r>
          </w:p>
        </w:tc>
        <w:tc>
          <w:tcPr>
            <w:tcW w:w="782" w:type="dxa"/>
            <w:tcBorders>
              <w:top w:val="single" w:sz="6" w:space="0" w:color="auto"/>
              <w:left w:val="single" w:sz="6" w:space="0" w:color="auto"/>
              <w:bottom w:val="single" w:sz="6" w:space="0" w:color="auto"/>
              <w:right w:val="single" w:sz="6" w:space="0" w:color="auto"/>
            </w:tcBorders>
          </w:tcPr>
          <w:p w14:paraId="552EDFB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22,9</w:t>
            </w:r>
          </w:p>
        </w:tc>
        <w:tc>
          <w:tcPr>
            <w:tcW w:w="807" w:type="dxa"/>
            <w:tcBorders>
              <w:top w:val="single" w:sz="6" w:space="0" w:color="auto"/>
              <w:left w:val="single" w:sz="6" w:space="0" w:color="auto"/>
              <w:bottom w:val="single" w:sz="6" w:space="0" w:color="auto"/>
              <w:right w:val="single" w:sz="6" w:space="0" w:color="auto"/>
            </w:tcBorders>
          </w:tcPr>
          <w:p w14:paraId="0249976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2,59</w:t>
            </w:r>
          </w:p>
        </w:tc>
      </w:tr>
      <w:tr w:rsidR="00117C0D" w:rsidRPr="003954D9" w14:paraId="1D6B9281" w14:textId="77777777" w:rsidTr="00117C0D">
        <w:trPr>
          <w:trHeight w:val="227"/>
        </w:trPr>
        <w:tc>
          <w:tcPr>
            <w:tcW w:w="2157" w:type="dxa"/>
            <w:tcBorders>
              <w:top w:val="single" w:sz="6" w:space="0" w:color="auto"/>
              <w:left w:val="single" w:sz="6" w:space="0" w:color="auto"/>
              <w:bottom w:val="single" w:sz="6" w:space="0" w:color="auto"/>
              <w:right w:val="single" w:sz="6" w:space="0" w:color="auto"/>
            </w:tcBorders>
          </w:tcPr>
          <w:p w14:paraId="6549AA54"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Övr. hushåll m. barn</w:t>
            </w:r>
          </w:p>
        </w:tc>
        <w:tc>
          <w:tcPr>
            <w:tcW w:w="789" w:type="dxa"/>
            <w:tcBorders>
              <w:top w:val="single" w:sz="6" w:space="0" w:color="auto"/>
              <w:left w:val="single" w:sz="6" w:space="0" w:color="auto"/>
              <w:bottom w:val="single" w:sz="6" w:space="0" w:color="auto"/>
              <w:right w:val="single" w:sz="6" w:space="0" w:color="auto"/>
            </w:tcBorders>
          </w:tcPr>
          <w:p w14:paraId="5618447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2 677</w:t>
            </w:r>
          </w:p>
        </w:tc>
        <w:tc>
          <w:tcPr>
            <w:tcW w:w="654" w:type="dxa"/>
            <w:tcBorders>
              <w:top w:val="single" w:sz="6" w:space="0" w:color="auto"/>
              <w:left w:val="single" w:sz="6" w:space="0" w:color="auto"/>
              <w:bottom w:val="single" w:sz="6" w:space="0" w:color="auto"/>
              <w:right w:val="single" w:sz="6" w:space="0" w:color="auto"/>
            </w:tcBorders>
          </w:tcPr>
          <w:p w14:paraId="7C083F6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11,6</w:t>
            </w:r>
          </w:p>
        </w:tc>
        <w:tc>
          <w:tcPr>
            <w:tcW w:w="709" w:type="dxa"/>
            <w:tcBorders>
              <w:top w:val="single" w:sz="6" w:space="0" w:color="auto"/>
              <w:left w:val="single" w:sz="6" w:space="0" w:color="auto"/>
              <w:bottom w:val="single" w:sz="6" w:space="0" w:color="auto"/>
              <w:right w:val="single" w:sz="6" w:space="0" w:color="auto"/>
            </w:tcBorders>
          </w:tcPr>
          <w:p w14:paraId="63765ED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11 865</w:t>
            </w:r>
          </w:p>
        </w:tc>
        <w:tc>
          <w:tcPr>
            <w:tcW w:w="567" w:type="dxa"/>
            <w:tcBorders>
              <w:top w:val="single" w:sz="6" w:space="0" w:color="auto"/>
              <w:left w:val="single" w:sz="6" w:space="0" w:color="auto"/>
              <w:bottom w:val="single" w:sz="6" w:space="0" w:color="auto"/>
              <w:right w:val="single" w:sz="6" w:space="0" w:color="auto"/>
            </w:tcBorders>
          </w:tcPr>
          <w:p w14:paraId="4F22208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c>
          <w:tcPr>
            <w:tcW w:w="919" w:type="dxa"/>
            <w:tcBorders>
              <w:top w:val="single" w:sz="6" w:space="0" w:color="auto"/>
              <w:left w:val="single" w:sz="6" w:space="0" w:color="auto"/>
              <w:bottom w:val="single" w:sz="6" w:space="0" w:color="auto"/>
              <w:right w:val="single" w:sz="6" w:space="0" w:color="auto"/>
            </w:tcBorders>
          </w:tcPr>
          <w:p w14:paraId="6B467F2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76,6</w:t>
            </w:r>
          </w:p>
        </w:tc>
        <w:tc>
          <w:tcPr>
            <w:tcW w:w="782" w:type="dxa"/>
            <w:tcBorders>
              <w:top w:val="single" w:sz="6" w:space="0" w:color="auto"/>
              <w:left w:val="single" w:sz="6" w:space="0" w:color="auto"/>
              <w:bottom w:val="single" w:sz="6" w:space="0" w:color="auto"/>
              <w:right w:val="single" w:sz="6" w:space="0" w:color="auto"/>
            </w:tcBorders>
          </w:tcPr>
          <w:p w14:paraId="0A89108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17,3</w:t>
            </w:r>
          </w:p>
        </w:tc>
        <w:tc>
          <w:tcPr>
            <w:tcW w:w="807" w:type="dxa"/>
            <w:tcBorders>
              <w:top w:val="single" w:sz="6" w:space="0" w:color="auto"/>
              <w:left w:val="single" w:sz="6" w:space="0" w:color="auto"/>
              <w:bottom w:val="single" w:sz="6" w:space="0" w:color="auto"/>
              <w:right w:val="single" w:sz="6" w:space="0" w:color="auto"/>
            </w:tcBorders>
          </w:tcPr>
          <w:p w14:paraId="474AD8C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4,43</w:t>
            </w:r>
          </w:p>
        </w:tc>
      </w:tr>
      <w:tr w:rsidR="00117C0D" w:rsidRPr="003954D9" w14:paraId="358CB18F" w14:textId="77777777" w:rsidTr="00117C0D">
        <w:trPr>
          <w:trHeight w:val="227"/>
        </w:trPr>
        <w:tc>
          <w:tcPr>
            <w:tcW w:w="2157" w:type="dxa"/>
            <w:tcBorders>
              <w:top w:val="single" w:sz="6" w:space="0" w:color="auto"/>
              <w:left w:val="single" w:sz="6" w:space="0" w:color="auto"/>
              <w:bottom w:val="single" w:sz="6" w:space="0" w:color="auto"/>
              <w:right w:val="single" w:sz="6" w:space="0" w:color="auto"/>
            </w:tcBorders>
          </w:tcPr>
          <w:p w14:paraId="42E01F87"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Samtliga</w:t>
            </w:r>
          </w:p>
        </w:tc>
        <w:tc>
          <w:tcPr>
            <w:tcW w:w="789" w:type="dxa"/>
            <w:tcBorders>
              <w:top w:val="single" w:sz="6" w:space="0" w:color="auto"/>
              <w:left w:val="single" w:sz="6" w:space="0" w:color="auto"/>
              <w:bottom w:val="single" w:sz="6" w:space="0" w:color="auto"/>
              <w:right w:val="single" w:sz="6" w:space="0" w:color="auto"/>
            </w:tcBorders>
          </w:tcPr>
          <w:p w14:paraId="2B264E8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23 052</w:t>
            </w:r>
          </w:p>
        </w:tc>
        <w:tc>
          <w:tcPr>
            <w:tcW w:w="654" w:type="dxa"/>
            <w:tcBorders>
              <w:top w:val="single" w:sz="6" w:space="0" w:color="auto"/>
              <w:left w:val="single" w:sz="6" w:space="0" w:color="auto"/>
              <w:bottom w:val="single" w:sz="6" w:space="0" w:color="auto"/>
              <w:right w:val="single" w:sz="6" w:space="0" w:color="auto"/>
            </w:tcBorders>
          </w:tcPr>
          <w:p w14:paraId="779EFA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709" w:type="dxa"/>
            <w:tcBorders>
              <w:top w:val="single" w:sz="6" w:space="0" w:color="auto"/>
              <w:left w:val="single" w:sz="6" w:space="0" w:color="auto"/>
              <w:bottom w:val="single" w:sz="6" w:space="0" w:color="auto"/>
              <w:right w:val="single" w:sz="6" w:space="0" w:color="auto"/>
            </w:tcBorders>
          </w:tcPr>
          <w:p w14:paraId="290DB2F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51 450</w:t>
            </w:r>
          </w:p>
        </w:tc>
        <w:tc>
          <w:tcPr>
            <w:tcW w:w="567" w:type="dxa"/>
            <w:tcBorders>
              <w:top w:val="single" w:sz="6" w:space="0" w:color="auto"/>
              <w:left w:val="single" w:sz="6" w:space="0" w:color="auto"/>
              <w:bottom w:val="single" w:sz="6" w:space="0" w:color="auto"/>
              <w:right w:val="single" w:sz="6" w:space="0" w:color="auto"/>
            </w:tcBorders>
          </w:tcPr>
          <w:p w14:paraId="0D9859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919" w:type="dxa"/>
            <w:tcBorders>
              <w:top w:val="single" w:sz="6" w:space="0" w:color="auto"/>
              <w:left w:val="single" w:sz="6" w:space="0" w:color="auto"/>
              <w:bottom w:val="single" w:sz="6" w:space="0" w:color="auto"/>
              <w:right w:val="single" w:sz="6" w:space="0" w:color="auto"/>
            </w:tcBorders>
          </w:tcPr>
          <w:p w14:paraId="28B4D31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65,1</w:t>
            </w:r>
          </w:p>
        </w:tc>
        <w:tc>
          <w:tcPr>
            <w:tcW w:w="782" w:type="dxa"/>
            <w:tcBorders>
              <w:top w:val="single" w:sz="6" w:space="0" w:color="auto"/>
              <w:left w:val="single" w:sz="6" w:space="0" w:color="auto"/>
              <w:bottom w:val="single" w:sz="6" w:space="0" w:color="auto"/>
              <w:right w:val="single" w:sz="6" w:space="0" w:color="auto"/>
            </w:tcBorders>
          </w:tcPr>
          <w:p w14:paraId="3C129DE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29,2</w:t>
            </w:r>
          </w:p>
        </w:tc>
        <w:tc>
          <w:tcPr>
            <w:tcW w:w="807" w:type="dxa"/>
            <w:tcBorders>
              <w:top w:val="single" w:sz="6" w:space="0" w:color="auto"/>
              <w:left w:val="single" w:sz="6" w:space="0" w:color="auto"/>
              <w:bottom w:val="single" w:sz="6" w:space="0" w:color="auto"/>
              <w:right w:val="single" w:sz="6" w:space="0" w:color="auto"/>
            </w:tcBorders>
          </w:tcPr>
          <w:p w14:paraId="31416A0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2,23</w:t>
            </w:r>
          </w:p>
        </w:tc>
      </w:tr>
    </w:tbl>
    <w:p w14:paraId="718484D3" w14:textId="77777777" w:rsidR="00117C0D" w:rsidRPr="003954D9" w:rsidRDefault="00117C0D" w:rsidP="00117C0D">
      <w:pPr>
        <w:rPr>
          <w:b/>
          <w:color w:val="002060"/>
          <w:sz w:val="16"/>
          <w:szCs w:val="16"/>
        </w:rPr>
      </w:pPr>
      <w:r w:rsidRPr="003954D9">
        <w:rPr>
          <w:b/>
          <w:color w:val="FF0000"/>
          <w:sz w:val="16"/>
          <w:szCs w:val="16"/>
        </w:rPr>
        <w:t>Rött = högsta värde</w:t>
      </w:r>
      <w:r w:rsidRPr="003954D9">
        <w:rPr>
          <w:b/>
          <w:color w:val="002060"/>
          <w:sz w:val="16"/>
          <w:szCs w:val="16"/>
        </w:rPr>
        <w:t xml:space="preserve"> </w:t>
      </w:r>
      <w:r w:rsidRPr="00155ABC">
        <w:rPr>
          <w:b/>
          <w:color w:val="0070C0"/>
          <w:sz w:val="16"/>
          <w:szCs w:val="16"/>
        </w:rPr>
        <w:t>Blått= lägsta värde</w:t>
      </w:r>
    </w:p>
    <w:p w14:paraId="03E8969B" w14:textId="1B1AC15A"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sz w:val="23"/>
        </w:rPr>
      </w:pPr>
      <w:r w:rsidRPr="003954D9">
        <w:rPr>
          <w:rFonts w:asciiTheme="majorHAnsi" w:eastAsiaTheme="majorEastAsia" w:hAnsiTheme="majorHAnsi" w:cstheme="majorBidi"/>
          <w:color w:val="243F60" w:themeColor="accent1" w:themeShade="7F"/>
          <w:sz w:val="23"/>
        </w:rPr>
        <w:lastRenderedPageBreak/>
        <w:t xml:space="preserve">Tabell 4:2: Ensamstående, kön, antal hushåll, antal personer, </w:t>
      </w:r>
      <w:r w:rsidR="00365C66" w:rsidRPr="003954D9">
        <w:rPr>
          <w:rFonts w:asciiTheme="majorHAnsi" w:eastAsiaTheme="majorEastAsia" w:hAnsiTheme="majorHAnsi" w:cstheme="majorBidi"/>
          <w:color w:val="243F60" w:themeColor="accent1" w:themeShade="7F"/>
          <w:sz w:val="23"/>
        </w:rPr>
        <w:t>lägenhetsytahela</w:t>
      </w:r>
      <w:r w:rsidRPr="003954D9">
        <w:rPr>
          <w:rFonts w:asciiTheme="majorHAnsi" w:eastAsiaTheme="majorEastAsia" w:hAnsiTheme="majorHAnsi" w:cstheme="majorBidi"/>
          <w:color w:val="243F60" w:themeColor="accent1" w:themeShade="7F"/>
          <w:sz w:val="23"/>
        </w:rPr>
        <w:t xml:space="preserve"> urvalet</w:t>
      </w:r>
    </w:p>
    <w:tbl>
      <w:tblPr>
        <w:tblW w:w="0" w:type="auto"/>
        <w:tblInd w:w="-38" w:type="dxa"/>
        <w:tblLayout w:type="fixed"/>
        <w:tblLook w:val="0000" w:firstRow="0" w:lastRow="0" w:firstColumn="0" w:lastColumn="0" w:noHBand="0" w:noVBand="0"/>
      </w:tblPr>
      <w:tblGrid>
        <w:gridCol w:w="2453"/>
        <w:gridCol w:w="696"/>
        <w:gridCol w:w="567"/>
        <w:gridCol w:w="709"/>
        <w:gridCol w:w="621"/>
        <w:gridCol w:w="14"/>
        <w:gridCol w:w="782"/>
        <w:gridCol w:w="851"/>
        <w:gridCol w:w="804"/>
      </w:tblGrid>
      <w:tr w:rsidR="00117C0D" w:rsidRPr="003954D9" w14:paraId="155F6407" w14:textId="77777777" w:rsidTr="00117C0D">
        <w:trPr>
          <w:trHeight w:val="227"/>
        </w:trPr>
        <w:tc>
          <w:tcPr>
            <w:tcW w:w="2453" w:type="dxa"/>
            <w:vMerge w:val="restart"/>
            <w:tcBorders>
              <w:top w:val="single" w:sz="6" w:space="0" w:color="auto"/>
              <w:left w:val="single" w:sz="6" w:space="0" w:color="auto"/>
              <w:right w:val="single" w:sz="6" w:space="0" w:color="auto"/>
            </w:tcBorders>
          </w:tcPr>
          <w:p w14:paraId="0CE666D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Hushållstyp</w:t>
            </w:r>
          </w:p>
        </w:tc>
        <w:tc>
          <w:tcPr>
            <w:tcW w:w="1263" w:type="dxa"/>
            <w:gridSpan w:val="2"/>
            <w:tcBorders>
              <w:top w:val="single" w:sz="6" w:space="0" w:color="auto"/>
              <w:left w:val="single" w:sz="6" w:space="0" w:color="auto"/>
              <w:bottom w:val="single" w:sz="6" w:space="0" w:color="auto"/>
              <w:right w:val="single" w:sz="6" w:space="0" w:color="auto"/>
            </w:tcBorders>
          </w:tcPr>
          <w:p w14:paraId="7E041839" w14:textId="77777777" w:rsidR="00117C0D" w:rsidRPr="003954D9" w:rsidRDefault="00117C0D" w:rsidP="00117C0D">
            <w:pPr>
              <w:autoSpaceDE w:val="0"/>
              <w:autoSpaceDN w:val="0"/>
              <w:adjustRightInd w:val="0"/>
              <w:rPr>
                <w:rFonts w:ascii="Calibri" w:hAnsi="Calibri" w:cs="Calibri"/>
                <w:b/>
                <w:bCs/>
                <w:color w:val="000000"/>
                <w:sz w:val="22"/>
                <w:szCs w:val="22"/>
              </w:rPr>
            </w:pPr>
            <w:r w:rsidRPr="003954D9">
              <w:rPr>
                <w:rFonts w:ascii="Calibri" w:hAnsi="Calibri" w:cs="Calibri"/>
                <w:b/>
                <w:bCs/>
                <w:color w:val="000000"/>
                <w:sz w:val="16"/>
                <w:szCs w:val="16"/>
              </w:rPr>
              <w:t>Hushåll</w:t>
            </w:r>
          </w:p>
        </w:tc>
        <w:tc>
          <w:tcPr>
            <w:tcW w:w="1344" w:type="dxa"/>
            <w:gridSpan w:val="3"/>
            <w:tcBorders>
              <w:top w:val="single" w:sz="6" w:space="0" w:color="auto"/>
              <w:left w:val="single" w:sz="6" w:space="0" w:color="auto"/>
              <w:bottom w:val="single" w:sz="6" w:space="0" w:color="auto"/>
              <w:right w:val="single" w:sz="6" w:space="0" w:color="auto"/>
            </w:tcBorders>
          </w:tcPr>
          <w:p w14:paraId="7E2245E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w:t>
            </w:r>
          </w:p>
        </w:tc>
        <w:tc>
          <w:tcPr>
            <w:tcW w:w="1633" w:type="dxa"/>
            <w:gridSpan w:val="2"/>
            <w:tcBorders>
              <w:top w:val="single" w:sz="6" w:space="0" w:color="auto"/>
              <w:left w:val="single" w:sz="6" w:space="0" w:color="auto"/>
              <w:bottom w:val="single" w:sz="6" w:space="0" w:color="auto"/>
              <w:right w:val="single" w:sz="6" w:space="0" w:color="auto"/>
            </w:tcBorders>
          </w:tcPr>
          <w:p w14:paraId="03E0B139" w14:textId="77777777" w:rsidR="00117C0D" w:rsidRPr="003954D9" w:rsidRDefault="00117C0D" w:rsidP="00117C0D">
            <w:pPr>
              <w:autoSpaceDE w:val="0"/>
              <w:autoSpaceDN w:val="0"/>
              <w:adjustRightInd w:val="0"/>
              <w:rPr>
                <w:rFonts w:ascii="Calibri" w:hAnsi="Calibri" w:cs="Calibri"/>
                <w:b/>
                <w:bCs/>
                <w:color w:val="000000"/>
                <w:sz w:val="22"/>
                <w:szCs w:val="22"/>
              </w:rPr>
            </w:pPr>
            <w:r w:rsidRPr="003954D9">
              <w:rPr>
                <w:rFonts w:ascii="Calibri" w:hAnsi="Calibri" w:cs="Calibri"/>
                <w:b/>
                <w:bCs/>
                <w:color w:val="000000"/>
                <w:sz w:val="16"/>
                <w:szCs w:val="16"/>
              </w:rPr>
              <w:t>Boarea</w:t>
            </w:r>
          </w:p>
        </w:tc>
        <w:tc>
          <w:tcPr>
            <w:tcW w:w="804" w:type="dxa"/>
            <w:vMerge w:val="restart"/>
            <w:tcBorders>
              <w:top w:val="single" w:sz="6" w:space="0" w:color="auto"/>
              <w:left w:val="single" w:sz="6" w:space="0" w:color="auto"/>
              <w:right w:val="single" w:sz="6" w:space="0" w:color="auto"/>
            </w:tcBorders>
          </w:tcPr>
          <w:p w14:paraId="5DFB866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Boende/ hushåll</w:t>
            </w:r>
          </w:p>
        </w:tc>
      </w:tr>
      <w:tr w:rsidR="00117C0D" w:rsidRPr="003954D9" w14:paraId="1DFEBDB9" w14:textId="77777777" w:rsidTr="00117C0D">
        <w:trPr>
          <w:trHeight w:val="227"/>
        </w:trPr>
        <w:tc>
          <w:tcPr>
            <w:tcW w:w="2453" w:type="dxa"/>
            <w:vMerge/>
            <w:tcBorders>
              <w:left w:val="single" w:sz="6" w:space="0" w:color="auto"/>
              <w:bottom w:val="single" w:sz="6" w:space="0" w:color="auto"/>
              <w:right w:val="single" w:sz="6" w:space="0" w:color="auto"/>
            </w:tcBorders>
          </w:tcPr>
          <w:p w14:paraId="078D0EC7" w14:textId="77777777" w:rsidR="00117C0D" w:rsidRPr="003954D9" w:rsidRDefault="00117C0D" w:rsidP="00117C0D">
            <w:pPr>
              <w:autoSpaceDE w:val="0"/>
              <w:autoSpaceDN w:val="0"/>
              <w:adjustRightInd w:val="0"/>
              <w:jc w:val="right"/>
              <w:rPr>
                <w:rFonts w:ascii="Calibri" w:hAnsi="Calibri" w:cs="Calibri"/>
                <w:b/>
                <w:bCs/>
                <w:color w:val="000000"/>
                <w:sz w:val="22"/>
                <w:szCs w:val="22"/>
              </w:rPr>
            </w:pPr>
          </w:p>
        </w:tc>
        <w:tc>
          <w:tcPr>
            <w:tcW w:w="696" w:type="dxa"/>
            <w:tcBorders>
              <w:top w:val="single" w:sz="6" w:space="0" w:color="auto"/>
              <w:left w:val="single" w:sz="6" w:space="0" w:color="auto"/>
              <w:bottom w:val="single" w:sz="6" w:space="0" w:color="auto"/>
              <w:right w:val="single" w:sz="6" w:space="0" w:color="auto"/>
            </w:tcBorders>
          </w:tcPr>
          <w:p w14:paraId="497C9E8A" w14:textId="64A92701" w:rsidR="00117C0D"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4CDB0174" w14:textId="6D3B95C1" w:rsidR="00117C0D"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709" w:type="dxa"/>
            <w:tcBorders>
              <w:top w:val="single" w:sz="6" w:space="0" w:color="auto"/>
              <w:left w:val="single" w:sz="6" w:space="0" w:color="auto"/>
              <w:bottom w:val="single" w:sz="6" w:space="0" w:color="auto"/>
              <w:right w:val="single" w:sz="6" w:space="0" w:color="auto"/>
            </w:tcBorders>
          </w:tcPr>
          <w:p w14:paraId="08D39982" w14:textId="149D7579" w:rsidR="00117C0D"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621" w:type="dxa"/>
            <w:tcBorders>
              <w:top w:val="single" w:sz="6" w:space="0" w:color="auto"/>
              <w:left w:val="single" w:sz="6" w:space="0" w:color="auto"/>
              <w:bottom w:val="single" w:sz="6" w:space="0" w:color="auto"/>
              <w:right w:val="single" w:sz="6" w:space="0" w:color="auto"/>
            </w:tcBorders>
          </w:tcPr>
          <w:p w14:paraId="38B4C5F3" w14:textId="1D02158A" w:rsidR="00117C0D"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796" w:type="dxa"/>
            <w:gridSpan w:val="2"/>
            <w:tcBorders>
              <w:top w:val="single" w:sz="6" w:space="0" w:color="auto"/>
              <w:left w:val="single" w:sz="6" w:space="0" w:color="auto"/>
              <w:bottom w:val="single" w:sz="6" w:space="0" w:color="auto"/>
              <w:right w:val="single" w:sz="6" w:space="0" w:color="auto"/>
            </w:tcBorders>
          </w:tcPr>
          <w:p w14:paraId="0A1ADE3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Medelv.</w:t>
            </w:r>
          </w:p>
        </w:tc>
        <w:tc>
          <w:tcPr>
            <w:tcW w:w="851" w:type="dxa"/>
            <w:tcBorders>
              <w:top w:val="single" w:sz="6" w:space="0" w:color="auto"/>
              <w:left w:val="single" w:sz="6" w:space="0" w:color="auto"/>
              <w:bottom w:val="single" w:sz="6" w:space="0" w:color="auto"/>
              <w:right w:val="single" w:sz="6" w:space="0" w:color="auto"/>
            </w:tcBorders>
          </w:tcPr>
          <w:p w14:paraId="43CA81E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 pers.</w:t>
            </w:r>
          </w:p>
        </w:tc>
        <w:tc>
          <w:tcPr>
            <w:tcW w:w="804" w:type="dxa"/>
            <w:vMerge/>
            <w:tcBorders>
              <w:left w:val="single" w:sz="6" w:space="0" w:color="auto"/>
              <w:bottom w:val="single" w:sz="6" w:space="0" w:color="auto"/>
              <w:right w:val="single" w:sz="6" w:space="0" w:color="auto"/>
            </w:tcBorders>
          </w:tcPr>
          <w:p w14:paraId="4AE71433" w14:textId="77777777" w:rsidR="00117C0D" w:rsidRPr="003954D9" w:rsidRDefault="00117C0D" w:rsidP="00117C0D">
            <w:pPr>
              <w:autoSpaceDE w:val="0"/>
              <w:autoSpaceDN w:val="0"/>
              <w:adjustRightInd w:val="0"/>
              <w:jc w:val="right"/>
              <w:rPr>
                <w:rFonts w:ascii="Calibri" w:hAnsi="Calibri" w:cs="Calibri"/>
                <w:b/>
                <w:bCs/>
                <w:color w:val="000000"/>
                <w:sz w:val="22"/>
                <w:szCs w:val="22"/>
              </w:rPr>
            </w:pPr>
          </w:p>
        </w:tc>
      </w:tr>
      <w:tr w:rsidR="00117C0D" w:rsidRPr="003954D9" w14:paraId="7639872C" w14:textId="77777777" w:rsidTr="00117C0D">
        <w:trPr>
          <w:trHeight w:val="227"/>
        </w:trPr>
        <w:tc>
          <w:tcPr>
            <w:tcW w:w="2453" w:type="dxa"/>
            <w:tcBorders>
              <w:top w:val="single" w:sz="6" w:space="0" w:color="auto"/>
              <w:left w:val="single" w:sz="6" w:space="0" w:color="auto"/>
              <w:bottom w:val="single" w:sz="6" w:space="0" w:color="auto"/>
              <w:right w:val="single" w:sz="6" w:space="0" w:color="auto"/>
            </w:tcBorders>
          </w:tcPr>
          <w:p w14:paraId="50C129D6" w14:textId="707F5F84"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kvinna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696" w:type="dxa"/>
            <w:tcBorders>
              <w:top w:val="single" w:sz="6" w:space="0" w:color="auto"/>
              <w:left w:val="single" w:sz="6" w:space="0" w:color="auto"/>
              <w:bottom w:val="single" w:sz="6" w:space="0" w:color="auto"/>
              <w:right w:val="single" w:sz="6" w:space="0" w:color="auto"/>
            </w:tcBorders>
          </w:tcPr>
          <w:p w14:paraId="1D6EE97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3 321</w:t>
            </w:r>
          </w:p>
        </w:tc>
        <w:tc>
          <w:tcPr>
            <w:tcW w:w="567" w:type="dxa"/>
            <w:tcBorders>
              <w:top w:val="single" w:sz="6" w:space="0" w:color="auto"/>
              <w:left w:val="single" w:sz="6" w:space="0" w:color="auto"/>
              <w:bottom w:val="single" w:sz="6" w:space="0" w:color="auto"/>
              <w:right w:val="single" w:sz="6" w:space="0" w:color="auto"/>
            </w:tcBorders>
          </w:tcPr>
          <w:p w14:paraId="42FF0AD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14,4</w:t>
            </w:r>
          </w:p>
        </w:tc>
        <w:tc>
          <w:tcPr>
            <w:tcW w:w="709" w:type="dxa"/>
            <w:tcBorders>
              <w:top w:val="single" w:sz="6" w:space="0" w:color="auto"/>
              <w:left w:val="single" w:sz="6" w:space="0" w:color="auto"/>
              <w:bottom w:val="single" w:sz="6" w:space="0" w:color="auto"/>
              <w:right w:val="single" w:sz="6" w:space="0" w:color="auto"/>
            </w:tcBorders>
          </w:tcPr>
          <w:p w14:paraId="4D50A69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3 321</w:t>
            </w:r>
          </w:p>
        </w:tc>
        <w:tc>
          <w:tcPr>
            <w:tcW w:w="621" w:type="dxa"/>
            <w:tcBorders>
              <w:top w:val="single" w:sz="6" w:space="0" w:color="auto"/>
              <w:left w:val="single" w:sz="6" w:space="0" w:color="auto"/>
              <w:bottom w:val="single" w:sz="6" w:space="0" w:color="auto"/>
              <w:right w:val="single" w:sz="6" w:space="0" w:color="auto"/>
            </w:tcBorders>
          </w:tcPr>
          <w:p w14:paraId="2A12B9D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w:t>
            </w:r>
          </w:p>
        </w:tc>
        <w:tc>
          <w:tcPr>
            <w:tcW w:w="796" w:type="dxa"/>
            <w:gridSpan w:val="2"/>
            <w:tcBorders>
              <w:top w:val="single" w:sz="6" w:space="0" w:color="auto"/>
              <w:left w:val="single" w:sz="6" w:space="0" w:color="auto"/>
              <w:bottom w:val="single" w:sz="6" w:space="0" w:color="auto"/>
              <w:right w:val="single" w:sz="6" w:space="0" w:color="auto"/>
            </w:tcBorders>
          </w:tcPr>
          <w:p w14:paraId="2B6FD9D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53,1</w:t>
            </w:r>
          </w:p>
        </w:tc>
        <w:tc>
          <w:tcPr>
            <w:tcW w:w="851" w:type="dxa"/>
            <w:tcBorders>
              <w:top w:val="single" w:sz="6" w:space="0" w:color="auto"/>
              <w:left w:val="single" w:sz="6" w:space="0" w:color="auto"/>
              <w:bottom w:val="single" w:sz="6" w:space="0" w:color="auto"/>
              <w:right w:val="single" w:sz="6" w:space="0" w:color="auto"/>
            </w:tcBorders>
          </w:tcPr>
          <w:p w14:paraId="7D053FE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53,1</w:t>
            </w:r>
          </w:p>
        </w:tc>
        <w:tc>
          <w:tcPr>
            <w:tcW w:w="804" w:type="dxa"/>
            <w:tcBorders>
              <w:top w:val="single" w:sz="6" w:space="0" w:color="auto"/>
              <w:left w:val="single" w:sz="6" w:space="0" w:color="auto"/>
              <w:bottom w:val="single" w:sz="6" w:space="0" w:color="auto"/>
              <w:right w:val="single" w:sz="6" w:space="0" w:color="auto"/>
            </w:tcBorders>
          </w:tcPr>
          <w:p w14:paraId="4D70AA1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r>
      <w:tr w:rsidR="00117C0D" w:rsidRPr="003954D9" w14:paraId="5B5DA266" w14:textId="77777777" w:rsidTr="00117C0D">
        <w:trPr>
          <w:trHeight w:val="227"/>
        </w:trPr>
        <w:tc>
          <w:tcPr>
            <w:tcW w:w="2453" w:type="dxa"/>
            <w:tcBorders>
              <w:top w:val="single" w:sz="6" w:space="0" w:color="auto"/>
              <w:left w:val="single" w:sz="6" w:space="0" w:color="auto"/>
              <w:bottom w:val="single" w:sz="6" w:space="0" w:color="auto"/>
              <w:right w:val="single" w:sz="6" w:space="0" w:color="auto"/>
            </w:tcBorders>
          </w:tcPr>
          <w:p w14:paraId="18038EE2" w14:textId="061E487E"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man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696" w:type="dxa"/>
            <w:tcBorders>
              <w:top w:val="single" w:sz="6" w:space="0" w:color="auto"/>
              <w:left w:val="single" w:sz="6" w:space="0" w:color="auto"/>
              <w:bottom w:val="single" w:sz="6" w:space="0" w:color="auto"/>
              <w:right w:val="single" w:sz="6" w:space="0" w:color="auto"/>
            </w:tcBorders>
          </w:tcPr>
          <w:p w14:paraId="5B8D3D2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4 174</w:t>
            </w:r>
          </w:p>
        </w:tc>
        <w:tc>
          <w:tcPr>
            <w:tcW w:w="567" w:type="dxa"/>
            <w:tcBorders>
              <w:top w:val="single" w:sz="6" w:space="0" w:color="auto"/>
              <w:left w:val="single" w:sz="6" w:space="0" w:color="auto"/>
              <w:bottom w:val="single" w:sz="6" w:space="0" w:color="auto"/>
              <w:right w:val="single" w:sz="6" w:space="0" w:color="auto"/>
            </w:tcBorders>
          </w:tcPr>
          <w:p w14:paraId="5470053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18,1</w:t>
            </w:r>
          </w:p>
        </w:tc>
        <w:tc>
          <w:tcPr>
            <w:tcW w:w="709" w:type="dxa"/>
            <w:tcBorders>
              <w:top w:val="single" w:sz="6" w:space="0" w:color="auto"/>
              <w:left w:val="single" w:sz="6" w:space="0" w:color="auto"/>
              <w:bottom w:val="single" w:sz="6" w:space="0" w:color="auto"/>
              <w:right w:val="single" w:sz="6" w:space="0" w:color="auto"/>
            </w:tcBorders>
          </w:tcPr>
          <w:p w14:paraId="6884049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4 174</w:t>
            </w:r>
          </w:p>
        </w:tc>
        <w:tc>
          <w:tcPr>
            <w:tcW w:w="621" w:type="dxa"/>
            <w:tcBorders>
              <w:top w:val="single" w:sz="6" w:space="0" w:color="auto"/>
              <w:left w:val="single" w:sz="6" w:space="0" w:color="auto"/>
              <w:bottom w:val="single" w:sz="6" w:space="0" w:color="auto"/>
              <w:right w:val="single" w:sz="6" w:space="0" w:color="auto"/>
            </w:tcBorders>
          </w:tcPr>
          <w:p w14:paraId="2BB0DBE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8,1</w:t>
            </w:r>
          </w:p>
        </w:tc>
        <w:tc>
          <w:tcPr>
            <w:tcW w:w="796" w:type="dxa"/>
            <w:gridSpan w:val="2"/>
            <w:tcBorders>
              <w:top w:val="single" w:sz="6" w:space="0" w:color="auto"/>
              <w:left w:val="single" w:sz="6" w:space="0" w:color="auto"/>
              <w:bottom w:val="single" w:sz="6" w:space="0" w:color="auto"/>
              <w:right w:val="single" w:sz="6" w:space="0" w:color="auto"/>
            </w:tcBorders>
          </w:tcPr>
          <w:p w14:paraId="3AF074C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51,9</w:t>
            </w:r>
          </w:p>
        </w:tc>
        <w:tc>
          <w:tcPr>
            <w:tcW w:w="851" w:type="dxa"/>
            <w:tcBorders>
              <w:top w:val="single" w:sz="6" w:space="0" w:color="auto"/>
              <w:left w:val="single" w:sz="6" w:space="0" w:color="auto"/>
              <w:bottom w:val="single" w:sz="6" w:space="0" w:color="auto"/>
              <w:right w:val="single" w:sz="6" w:space="0" w:color="auto"/>
            </w:tcBorders>
          </w:tcPr>
          <w:p w14:paraId="35BD8E1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51,9</w:t>
            </w:r>
          </w:p>
        </w:tc>
        <w:tc>
          <w:tcPr>
            <w:tcW w:w="804" w:type="dxa"/>
            <w:tcBorders>
              <w:top w:val="single" w:sz="6" w:space="0" w:color="auto"/>
              <w:left w:val="single" w:sz="6" w:space="0" w:color="auto"/>
              <w:bottom w:val="single" w:sz="6" w:space="0" w:color="auto"/>
              <w:right w:val="single" w:sz="6" w:space="0" w:color="auto"/>
            </w:tcBorders>
          </w:tcPr>
          <w:p w14:paraId="4400522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r>
      <w:tr w:rsidR="00117C0D" w:rsidRPr="003954D9" w14:paraId="53E3498A" w14:textId="77777777" w:rsidTr="00117C0D">
        <w:trPr>
          <w:trHeight w:val="227"/>
        </w:trPr>
        <w:tc>
          <w:tcPr>
            <w:tcW w:w="2453" w:type="dxa"/>
            <w:tcBorders>
              <w:top w:val="single" w:sz="6" w:space="0" w:color="auto"/>
              <w:left w:val="single" w:sz="6" w:space="0" w:color="auto"/>
              <w:bottom w:val="single" w:sz="6" w:space="0" w:color="auto"/>
              <w:right w:val="single" w:sz="6" w:space="0" w:color="auto"/>
            </w:tcBorders>
          </w:tcPr>
          <w:p w14:paraId="322C0E47" w14:textId="2D09B9C3"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kvinna u. barn </w:t>
            </w:r>
            <w:r w:rsidR="00365C66" w:rsidRPr="003954D9">
              <w:rPr>
                <w:rFonts w:ascii="Calibri" w:hAnsi="Calibri" w:cs="Calibri"/>
                <w:b/>
                <w:bCs/>
                <w:color w:val="000000"/>
                <w:sz w:val="16"/>
                <w:szCs w:val="16"/>
              </w:rPr>
              <w:t>65-år</w:t>
            </w:r>
          </w:p>
        </w:tc>
        <w:tc>
          <w:tcPr>
            <w:tcW w:w="696" w:type="dxa"/>
            <w:tcBorders>
              <w:top w:val="single" w:sz="6" w:space="0" w:color="auto"/>
              <w:left w:val="single" w:sz="6" w:space="0" w:color="auto"/>
              <w:bottom w:val="single" w:sz="6" w:space="0" w:color="auto"/>
              <w:right w:val="single" w:sz="6" w:space="0" w:color="auto"/>
            </w:tcBorders>
          </w:tcPr>
          <w:p w14:paraId="5F2C90D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2 007</w:t>
            </w:r>
          </w:p>
        </w:tc>
        <w:tc>
          <w:tcPr>
            <w:tcW w:w="567" w:type="dxa"/>
            <w:tcBorders>
              <w:top w:val="single" w:sz="6" w:space="0" w:color="auto"/>
              <w:left w:val="single" w:sz="6" w:space="0" w:color="auto"/>
              <w:bottom w:val="single" w:sz="6" w:space="0" w:color="auto"/>
              <w:right w:val="single" w:sz="6" w:space="0" w:color="auto"/>
            </w:tcBorders>
          </w:tcPr>
          <w:p w14:paraId="4BBE244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8,7</w:t>
            </w:r>
          </w:p>
        </w:tc>
        <w:tc>
          <w:tcPr>
            <w:tcW w:w="709" w:type="dxa"/>
            <w:tcBorders>
              <w:top w:val="single" w:sz="6" w:space="0" w:color="auto"/>
              <w:left w:val="single" w:sz="6" w:space="0" w:color="auto"/>
              <w:bottom w:val="single" w:sz="6" w:space="0" w:color="auto"/>
              <w:right w:val="single" w:sz="6" w:space="0" w:color="auto"/>
            </w:tcBorders>
          </w:tcPr>
          <w:p w14:paraId="5883C31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2 007</w:t>
            </w:r>
          </w:p>
        </w:tc>
        <w:tc>
          <w:tcPr>
            <w:tcW w:w="621" w:type="dxa"/>
            <w:tcBorders>
              <w:top w:val="single" w:sz="6" w:space="0" w:color="auto"/>
              <w:left w:val="single" w:sz="6" w:space="0" w:color="auto"/>
              <w:bottom w:val="single" w:sz="6" w:space="0" w:color="auto"/>
              <w:right w:val="single" w:sz="6" w:space="0" w:color="auto"/>
            </w:tcBorders>
          </w:tcPr>
          <w:p w14:paraId="51E1164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w:t>
            </w:r>
          </w:p>
        </w:tc>
        <w:tc>
          <w:tcPr>
            <w:tcW w:w="796" w:type="dxa"/>
            <w:gridSpan w:val="2"/>
            <w:tcBorders>
              <w:top w:val="single" w:sz="6" w:space="0" w:color="auto"/>
              <w:left w:val="single" w:sz="6" w:space="0" w:color="auto"/>
              <w:bottom w:val="single" w:sz="6" w:space="0" w:color="auto"/>
              <w:right w:val="single" w:sz="6" w:space="0" w:color="auto"/>
            </w:tcBorders>
          </w:tcPr>
          <w:p w14:paraId="431FE34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65,1</w:t>
            </w:r>
          </w:p>
        </w:tc>
        <w:tc>
          <w:tcPr>
            <w:tcW w:w="851" w:type="dxa"/>
            <w:tcBorders>
              <w:top w:val="single" w:sz="6" w:space="0" w:color="auto"/>
              <w:left w:val="single" w:sz="6" w:space="0" w:color="auto"/>
              <w:bottom w:val="single" w:sz="6" w:space="0" w:color="auto"/>
              <w:right w:val="single" w:sz="6" w:space="0" w:color="auto"/>
            </w:tcBorders>
          </w:tcPr>
          <w:p w14:paraId="395FEE7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65,1</w:t>
            </w:r>
          </w:p>
        </w:tc>
        <w:tc>
          <w:tcPr>
            <w:tcW w:w="804" w:type="dxa"/>
            <w:tcBorders>
              <w:top w:val="single" w:sz="6" w:space="0" w:color="auto"/>
              <w:left w:val="single" w:sz="6" w:space="0" w:color="auto"/>
              <w:bottom w:val="single" w:sz="6" w:space="0" w:color="auto"/>
              <w:right w:val="single" w:sz="6" w:space="0" w:color="auto"/>
            </w:tcBorders>
          </w:tcPr>
          <w:p w14:paraId="304B4D5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r>
      <w:tr w:rsidR="00117C0D" w:rsidRPr="003954D9" w14:paraId="2B2C0E00" w14:textId="77777777" w:rsidTr="00117C0D">
        <w:trPr>
          <w:trHeight w:val="227"/>
        </w:trPr>
        <w:tc>
          <w:tcPr>
            <w:tcW w:w="2453" w:type="dxa"/>
            <w:tcBorders>
              <w:top w:val="single" w:sz="6" w:space="0" w:color="auto"/>
              <w:left w:val="single" w:sz="6" w:space="0" w:color="auto"/>
              <w:bottom w:val="single" w:sz="6" w:space="0" w:color="auto"/>
              <w:right w:val="single" w:sz="6" w:space="0" w:color="auto"/>
            </w:tcBorders>
          </w:tcPr>
          <w:p w14:paraId="518916C9" w14:textId="44EEDEEA"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man u. barn </w:t>
            </w:r>
            <w:r w:rsidR="00365C66" w:rsidRPr="003954D9">
              <w:rPr>
                <w:rFonts w:ascii="Calibri" w:hAnsi="Calibri" w:cs="Calibri"/>
                <w:b/>
                <w:bCs/>
                <w:color w:val="000000"/>
                <w:sz w:val="16"/>
                <w:szCs w:val="16"/>
              </w:rPr>
              <w:t>65-år</w:t>
            </w:r>
          </w:p>
        </w:tc>
        <w:tc>
          <w:tcPr>
            <w:tcW w:w="696" w:type="dxa"/>
            <w:tcBorders>
              <w:top w:val="single" w:sz="6" w:space="0" w:color="auto"/>
              <w:left w:val="single" w:sz="6" w:space="0" w:color="auto"/>
              <w:bottom w:val="single" w:sz="6" w:space="0" w:color="auto"/>
              <w:right w:val="single" w:sz="6" w:space="0" w:color="auto"/>
            </w:tcBorders>
          </w:tcPr>
          <w:p w14:paraId="133C0D3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999</w:t>
            </w:r>
          </w:p>
        </w:tc>
        <w:tc>
          <w:tcPr>
            <w:tcW w:w="567" w:type="dxa"/>
            <w:tcBorders>
              <w:top w:val="single" w:sz="6" w:space="0" w:color="auto"/>
              <w:left w:val="single" w:sz="6" w:space="0" w:color="auto"/>
              <w:bottom w:val="single" w:sz="6" w:space="0" w:color="auto"/>
              <w:right w:val="single" w:sz="6" w:space="0" w:color="auto"/>
            </w:tcBorders>
          </w:tcPr>
          <w:p w14:paraId="01D2C10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w:t>
            </w:r>
          </w:p>
        </w:tc>
        <w:tc>
          <w:tcPr>
            <w:tcW w:w="709" w:type="dxa"/>
            <w:tcBorders>
              <w:top w:val="single" w:sz="6" w:space="0" w:color="auto"/>
              <w:left w:val="single" w:sz="6" w:space="0" w:color="auto"/>
              <w:bottom w:val="single" w:sz="6" w:space="0" w:color="auto"/>
              <w:right w:val="single" w:sz="6" w:space="0" w:color="auto"/>
            </w:tcBorders>
          </w:tcPr>
          <w:p w14:paraId="0D450F0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999</w:t>
            </w:r>
          </w:p>
        </w:tc>
        <w:tc>
          <w:tcPr>
            <w:tcW w:w="621" w:type="dxa"/>
            <w:tcBorders>
              <w:top w:val="single" w:sz="6" w:space="0" w:color="auto"/>
              <w:left w:val="single" w:sz="6" w:space="0" w:color="auto"/>
              <w:bottom w:val="single" w:sz="6" w:space="0" w:color="auto"/>
              <w:right w:val="single" w:sz="6" w:space="0" w:color="auto"/>
            </w:tcBorders>
          </w:tcPr>
          <w:p w14:paraId="2D5E4A5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w:t>
            </w:r>
          </w:p>
        </w:tc>
        <w:tc>
          <w:tcPr>
            <w:tcW w:w="796" w:type="dxa"/>
            <w:gridSpan w:val="2"/>
            <w:tcBorders>
              <w:top w:val="single" w:sz="6" w:space="0" w:color="auto"/>
              <w:left w:val="single" w:sz="6" w:space="0" w:color="auto"/>
              <w:bottom w:val="single" w:sz="6" w:space="0" w:color="auto"/>
              <w:right w:val="single" w:sz="6" w:space="0" w:color="auto"/>
            </w:tcBorders>
          </w:tcPr>
          <w:p w14:paraId="1556274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57,5</w:t>
            </w:r>
          </w:p>
        </w:tc>
        <w:tc>
          <w:tcPr>
            <w:tcW w:w="851" w:type="dxa"/>
            <w:tcBorders>
              <w:top w:val="single" w:sz="6" w:space="0" w:color="auto"/>
              <w:left w:val="single" w:sz="6" w:space="0" w:color="auto"/>
              <w:bottom w:val="single" w:sz="6" w:space="0" w:color="auto"/>
              <w:right w:val="single" w:sz="6" w:space="0" w:color="auto"/>
            </w:tcBorders>
          </w:tcPr>
          <w:p w14:paraId="252D0D1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57,5</w:t>
            </w:r>
          </w:p>
        </w:tc>
        <w:tc>
          <w:tcPr>
            <w:tcW w:w="804" w:type="dxa"/>
            <w:tcBorders>
              <w:top w:val="single" w:sz="6" w:space="0" w:color="auto"/>
              <w:left w:val="single" w:sz="6" w:space="0" w:color="auto"/>
              <w:bottom w:val="single" w:sz="6" w:space="0" w:color="auto"/>
              <w:right w:val="single" w:sz="6" w:space="0" w:color="auto"/>
            </w:tcBorders>
          </w:tcPr>
          <w:p w14:paraId="4C5D1C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r>
      <w:tr w:rsidR="00117C0D" w:rsidRPr="003954D9" w14:paraId="770DEA0A" w14:textId="77777777" w:rsidTr="00117C0D">
        <w:trPr>
          <w:trHeight w:val="227"/>
        </w:trPr>
        <w:tc>
          <w:tcPr>
            <w:tcW w:w="2453" w:type="dxa"/>
            <w:tcBorders>
              <w:top w:val="single" w:sz="6" w:space="0" w:color="auto"/>
              <w:left w:val="single" w:sz="6" w:space="0" w:color="auto"/>
              <w:bottom w:val="single" w:sz="6" w:space="0" w:color="auto"/>
              <w:right w:val="single" w:sz="6" w:space="0" w:color="auto"/>
            </w:tcBorders>
          </w:tcPr>
          <w:p w14:paraId="5421D9E2" w14:textId="53397335"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Ensamst. kvinna m.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696" w:type="dxa"/>
            <w:tcBorders>
              <w:top w:val="single" w:sz="6" w:space="0" w:color="auto"/>
              <w:left w:val="single" w:sz="6" w:space="0" w:color="auto"/>
              <w:bottom w:val="single" w:sz="6" w:space="0" w:color="auto"/>
              <w:right w:val="single" w:sz="6" w:space="0" w:color="auto"/>
            </w:tcBorders>
          </w:tcPr>
          <w:p w14:paraId="31B0A2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1 606</w:t>
            </w:r>
          </w:p>
        </w:tc>
        <w:tc>
          <w:tcPr>
            <w:tcW w:w="567" w:type="dxa"/>
            <w:tcBorders>
              <w:top w:val="single" w:sz="6" w:space="0" w:color="auto"/>
              <w:left w:val="single" w:sz="6" w:space="0" w:color="auto"/>
              <w:bottom w:val="single" w:sz="6" w:space="0" w:color="auto"/>
              <w:right w:val="single" w:sz="6" w:space="0" w:color="auto"/>
            </w:tcBorders>
          </w:tcPr>
          <w:p w14:paraId="605D65B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c>
          <w:tcPr>
            <w:tcW w:w="709" w:type="dxa"/>
            <w:tcBorders>
              <w:top w:val="single" w:sz="6" w:space="0" w:color="auto"/>
              <w:left w:val="single" w:sz="6" w:space="0" w:color="auto"/>
              <w:bottom w:val="single" w:sz="6" w:space="0" w:color="auto"/>
              <w:right w:val="single" w:sz="6" w:space="0" w:color="auto"/>
            </w:tcBorders>
          </w:tcPr>
          <w:p w14:paraId="7A14176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4 704</w:t>
            </w:r>
          </w:p>
        </w:tc>
        <w:tc>
          <w:tcPr>
            <w:tcW w:w="621" w:type="dxa"/>
            <w:tcBorders>
              <w:top w:val="single" w:sz="6" w:space="0" w:color="auto"/>
              <w:left w:val="single" w:sz="6" w:space="0" w:color="auto"/>
              <w:bottom w:val="single" w:sz="6" w:space="0" w:color="auto"/>
              <w:right w:val="single" w:sz="6" w:space="0" w:color="auto"/>
            </w:tcBorders>
          </w:tcPr>
          <w:p w14:paraId="6FD21F1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9,1</w:t>
            </w:r>
          </w:p>
        </w:tc>
        <w:tc>
          <w:tcPr>
            <w:tcW w:w="796" w:type="dxa"/>
            <w:gridSpan w:val="2"/>
            <w:tcBorders>
              <w:top w:val="single" w:sz="6" w:space="0" w:color="auto"/>
              <w:left w:val="single" w:sz="6" w:space="0" w:color="auto"/>
              <w:bottom w:val="single" w:sz="6" w:space="0" w:color="auto"/>
              <w:right w:val="single" w:sz="6" w:space="0" w:color="auto"/>
            </w:tcBorders>
          </w:tcPr>
          <w:p w14:paraId="6B004F9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78,0</w:t>
            </w:r>
          </w:p>
        </w:tc>
        <w:tc>
          <w:tcPr>
            <w:tcW w:w="851" w:type="dxa"/>
            <w:tcBorders>
              <w:top w:val="single" w:sz="6" w:space="0" w:color="auto"/>
              <w:left w:val="single" w:sz="6" w:space="0" w:color="auto"/>
              <w:bottom w:val="single" w:sz="6" w:space="0" w:color="auto"/>
              <w:right w:val="single" w:sz="6" w:space="0" w:color="auto"/>
            </w:tcBorders>
          </w:tcPr>
          <w:p w14:paraId="05FAF6C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26,6</w:t>
            </w:r>
          </w:p>
        </w:tc>
        <w:tc>
          <w:tcPr>
            <w:tcW w:w="804" w:type="dxa"/>
            <w:tcBorders>
              <w:top w:val="single" w:sz="6" w:space="0" w:color="auto"/>
              <w:left w:val="single" w:sz="6" w:space="0" w:color="auto"/>
              <w:bottom w:val="single" w:sz="6" w:space="0" w:color="auto"/>
              <w:right w:val="single" w:sz="6" w:space="0" w:color="auto"/>
            </w:tcBorders>
          </w:tcPr>
          <w:p w14:paraId="07DAFC4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w:t>
            </w:r>
          </w:p>
        </w:tc>
      </w:tr>
      <w:tr w:rsidR="00117C0D" w:rsidRPr="003954D9" w14:paraId="5C4EF3FC" w14:textId="77777777" w:rsidTr="00117C0D">
        <w:trPr>
          <w:trHeight w:val="227"/>
        </w:trPr>
        <w:tc>
          <w:tcPr>
            <w:tcW w:w="2453" w:type="dxa"/>
            <w:tcBorders>
              <w:top w:val="single" w:sz="6" w:space="0" w:color="auto"/>
              <w:left w:val="single" w:sz="6" w:space="0" w:color="auto"/>
              <w:bottom w:val="single" w:sz="6" w:space="0" w:color="auto"/>
              <w:right w:val="single" w:sz="6" w:space="0" w:color="auto"/>
            </w:tcBorders>
          </w:tcPr>
          <w:p w14:paraId="6BD87A31" w14:textId="69272745"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Ensamst. man m.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696" w:type="dxa"/>
            <w:tcBorders>
              <w:top w:val="single" w:sz="6" w:space="0" w:color="auto"/>
              <w:left w:val="single" w:sz="6" w:space="0" w:color="auto"/>
              <w:bottom w:val="single" w:sz="6" w:space="0" w:color="auto"/>
              <w:right w:val="single" w:sz="6" w:space="0" w:color="auto"/>
            </w:tcBorders>
          </w:tcPr>
          <w:p w14:paraId="6AD48DA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567" w:type="dxa"/>
            <w:tcBorders>
              <w:top w:val="single" w:sz="6" w:space="0" w:color="auto"/>
              <w:left w:val="single" w:sz="6" w:space="0" w:color="auto"/>
              <w:bottom w:val="single" w:sz="6" w:space="0" w:color="auto"/>
              <w:right w:val="single" w:sz="6" w:space="0" w:color="auto"/>
            </w:tcBorders>
          </w:tcPr>
          <w:p w14:paraId="774C2AF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401A49E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654</w:t>
            </w:r>
          </w:p>
        </w:tc>
        <w:tc>
          <w:tcPr>
            <w:tcW w:w="621" w:type="dxa"/>
            <w:tcBorders>
              <w:top w:val="single" w:sz="6" w:space="0" w:color="auto"/>
              <w:left w:val="single" w:sz="6" w:space="0" w:color="auto"/>
              <w:bottom w:val="single" w:sz="6" w:space="0" w:color="auto"/>
              <w:right w:val="single" w:sz="6" w:space="0" w:color="auto"/>
            </w:tcBorders>
          </w:tcPr>
          <w:p w14:paraId="4B9332C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w:t>
            </w:r>
          </w:p>
        </w:tc>
        <w:tc>
          <w:tcPr>
            <w:tcW w:w="796" w:type="dxa"/>
            <w:gridSpan w:val="2"/>
            <w:tcBorders>
              <w:top w:val="single" w:sz="6" w:space="0" w:color="auto"/>
              <w:left w:val="single" w:sz="6" w:space="0" w:color="auto"/>
              <w:bottom w:val="single" w:sz="6" w:space="0" w:color="auto"/>
              <w:right w:val="single" w:sz="6" w:space="0" w:color="auto"/>
            </w:tcBorders>
          </w:tcPr>
          <w:p w14:paraId="691118F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76,3</w:t>
            </w:r>
          </w:p>
        </w:tc>
        <w:tc>
          <w:tcPr>
            <w:tcW w:w="851" w:type="dxa"/>
            <w:tcBorders>
              <w:top w:val="single" w:sz="6" w:space="0" w:color="auto"/>
              <w:left w:val="single" w:sz="6" w:space="0" w:color="auto"/>
              <w:bottom w:val="single" w:sz="6" w:space="0" w:color="auto"/>
              <w:right w:val="single" w:sz="6" w:space="0" w:color="auto"/>
            </w:tcBorders>
          </w:tcPr>
          <w:p w14:paraId="4FF8DAC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27,9</w:t>
            </w:r>
          </w:p>
        </w:tc>
        <w:tc>
          <w:tcPr>
            <w:tcW w:w="804" w:type="dxa"/>
            <w:tcBorders>
              <w:top w:val="single" w:sz="6" w:space="0" w:color="auto"/>
              <w:left w:val="single" w:sz="6" w:space="0" w:color="auto"/>
              <w:bottom w:val="single" w:sz="6" w:space="0" w:color="auto"/>
              <w:right w:val="single" w:sz="6" w:space="0" w:color="auto"/>
            </w:tcBorders>
          </w:tcPr>
          <w:p w14:paraId="18ED227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w:t>
            </w:r>
          </w:p>
        </w:tc>
      </w:tr>
      <w:tr w:rsidR="00117C0D" w:rsidRPr="003954D9" w14:paraId="7E83889B" w14:textId="77777777" w:rsidTr="00117C0D">
        <w:trPr>
          <w:trHeight w:val="227"/>
        </w:trPr>
        <w:tc>
          <w:tcPr>
            <w:tcW w:w="2453" w:type="dxa"/>
            <w:tcBorders>
              <w:top w:val="single" w:sz="6" w:space="0" w:color="auto"/>
              <w:left w:val="single" w:sz="6" w:space="0" w:color="auto"/>
              <w:bottom w:val="single" w:sz="6" w:space="0" w:color="auto"/>
              <w:right w:val="single" w:sz="6" w:space="0" w:color="auto"/>
            </w:tcBorders>
          </w:tcPr>
          <w:p w14:paraId="5BF2E77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Summa</w:t>
            </w:r>
          </w:p>
        </w:tc>
        <w:tc>
          <w:tcPr>
            <w:tcW w:w="696" w:type="dxa"/>
            <w:tcBorders>
              <w:top w:val="single" w:sz="6" w:space="0" w:color="auto"/>
              <w:left w:val="single" w:sz="6" w:space="0" w:color="auto"/>
              <w:bottom w:val="single" w:sz="6" w:space="0" w:color="auto"/>
              <w:right w:val="single" w:sz="6" w:space="0" w:color="auto"/>
            </w:tcBorders>
          </w:tcPr>
          <w:p w14:paraId="10A6565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12 346</w:t>
            </w:r>
          </w:p>
        </w:tc>
        <w:tc>
          <w:tcPr>
            <w:tcW w:w="567" w:type="dxa"/>
            <w:tcBorders>
              <w:top w:val="single" w:sz="6" w:space="0" w:color="auto"/>
              <w:left w:val="single" w:sz="6" w:space="0" w:color="auto"/>
              <w:bottom w:val="single" w:sz="6" w:space="0" w:color="auto"/>
              <w:right w:val="single" w:sz="6" w:space="0" w:color="auto"/>
            </w:tcBorders>
          </w:tcPr>
          <w:p w14:paraId="584AEB1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53,6</w:t>
            </w:r>
          </w:p>
        </w:tc>
        <w:tc>
          <w:tcPr>
            <w:tcW w:w="709" w:type="dxa"/>
            <w:tcBorders>
              <w:top w:val="single" w:sz="6" w:space="0" w:color="auto"/>
              <w:left w:val="single" w:sz="6" w:space="0" w:color="auto"/>
              <w:bottom w:val="single" w:sz="6" w:space="0" w:color="auto"/>
              <w:right w:val="single" w:sz="6" w:space="0" w:color="auto"/>
            </w:tcBorders>
          </w:tcPr>
          <w:p w14:paraId="4D2AE1D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15 859</w:t>
            </w:r>
          </w:p>
        </w:tc>
        <w:tc>
          <w:tcPr>
            <w:tcW w:w="621" w:type="dxa"/>
            <w:tcBorders>
              <w:top w:val="single" w:sz="6" w:space="0" w:color="auto"/>
              <w:left w:val="single" w:sz="6" w:space="0" w:color="auto"/>
              <w:bottom w:val="single" w:sz="6" w:space="0" w:color="auto"/>
              <w:right w:val="single" w:sz="6" w:space="0" w:color="auto"/>
            </w:tcBorders>
          </w:tcPr>
          <w:p w14:paraId="012716A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30,8</w:t>
            </w:r>
          </w:p>
        </w:tc>
        <w:tc>
          <w:tcPr>
            <w:tcW w:w="796" w:type="dxa"/>
            <w:gridSpan w:val="2"/>
            <w:tcBorders>
              <w:top w:val="single" w:sz="6" w:space="0" w:color="auto"/>
              <w:left w:val="single" w:sz="6" w:space="0" w:color="auto"/>
              <w:bottom w:val="single" w:sz="6" w:space="0" w:color="auto"/>
              <w:right w:val="single" w:sz="6" w:space="0" w:color="auto"/>
            </w:tcBorders>
          </w:tcPr>
          <w:p w14:paraId="539CCFD2"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41DD8C3F"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804" w:type="dxa"/>
            <w:tcBorders>
              <w:top w:val="single" w:sz="6" w:space="0" w:color="auto"/>
              <w:left w:val="single" w:sz="6" w:space="0" w:color="auto"/>
              <w:bottom w:val="single" w:sz="6" w:space="0" w:color="auto"/>
              <w:right w:val="single" w:sz="6" w:space="0" w:color="auto"/>
            </w:tcBorders>
          </w:tcPr>
          <w:p w14:paraId="6B5A33D6"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r>
    </w:tbl>
    <w:p w14:paraId="171CA9DB" w14:textId="4A0C7C7B"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 xml:space="preserve">Tabell 4:3 Hushåll med </w:t>
      </w:r>
      <w:r w:rsidR="00D36DC3" w:rsidRPr="003954D9">
        <w:rPr>
          <w:rFonts w:asciiTheme="majorHAnsi" w:eastAsiaTheme="majorEastAsia" w:hAnsiTheme="majorHAnsi" w:cstheme="majorBidi"/>
          <w:color w:val="243F60" w:themeColor="accent1" w:themeShade="7F"/>
        </w:rPr>
        <w:t>hemmavarande</w:t>
      </w:r>
      <w:r w:rsidRPr="003954D9">
        <w:rPr>
          <w:rFonts w:asciiTheme="majorHAnsi" w:eastAsiaTheme="majorEastAsia" w:hAnsiTheme="majorHAnsi" w:cstheme="majorBidi"/>
          <w:color w:val="243F60" w:themeColor="accent1" w:themeShade="7F"/>
        </w:rPr>
        <w:t xml:space="preserve"> vuxna barn </w:t>
      </w:r>
      <w:r w:rsidR="00365C66" w:rsidRPr="003954D9">
        <w:rPr>
          <w:rFonts w:asciiTheme="majorHAnsi" w:eastAsiaTheme="majorEastAsia" w:hAnsiTheme="majorHAnsi" w:cstheme="majorBidi"/>
          <w:color w:val="243F60" w:themeColor="accent1" w:themeShade="7F"/>
        </w:rPr>
        <w:t>20–29</w:t>
      </w:r>
      <w:r w:rsidRPr="003954D9">
        <w:rPr>
          <w:rFonts w:asciiTheme="majorHAnsi" w:eastAsiaTheme="majorEastAsia" w:hAnsiTheme="majorHAnsi" w:cstheme="majorBidi"/>
          <w:color w:val="243F60" w:themeColor="accent1" w:themeShade="7F"/>
        </w:rPr>
        <w:t xml:space="preserve"> år, antal hushåll, personer, lägenhetsyta – hela urvalet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4"/>
        <w:gridCol w:w="622"/>
        <w:gridCol w:w="795"/>
        <w:gridCol w:w="653"/>
        <w:gridCol w:w="765"/>
        <w:gridCol w:w="902"/>
        <w:gridCol w:w="816"/>
        <w:gridCol w:w="1400"/>
      </w:tblGrid>
      <w:tr w:rsidR="00117C0D" w:rsidRPr="003954D9" w14:paraId="6A15E8E5" w14:textId="77777777" w:rsidTr="00F32099">
        <w:trPr>
          <w:trHeight w:val="227"/>
        </w:trPr>
        <w:tc>
          <w:tcPr>
            <w:tcW w:w="3144" w:type="dxa"/>
            <w:vMerge w:val="restart"/>
          </w:tcPr>
          <w:p w14:paraId="41AD00A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Hushållstyp</w:t>
            </w:r>
          </w:p>
        </w:tc>
        <w:tc>
          <w:tcPr>
            <w:tcW w:w="1417" w:type="dxa"/>
            <w:gridSpan w:val="2"/>
          </w:tcPr>
          <w:p w14:paraId="24FF45E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Hushåll</w:t>
            </w:r>
          </w:p>
        </w:tc>
        <w:tc>
          <w:tcPr>
            <w:tcW w:w="1418" w:type="dxa"/>
            <w:gridSpan w:val="2"/>
          </w:tcPr>
          <w:p w14:paraId="7028DDE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w:t>
            </w:r>
          </w:p>
        </w:tc>
        <w:tc>
          <w:tcPr>
            <w:tcW w:w="1718" w:type="dxa"/>
            <w:gridSpan w:val="2"/>
          </w:tcPr>
          <w:p w14:paraId="6AD6730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Boarea</w:t>
            </w:r>
          </w:p>
        </w:tc>
        <w:tc>
          <w:tcPr>
            <w:tcW w:w="1400" w:type="dxa"/>
          </w:tcPr>
          <w:p w14:paraId="400710A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Boende/hushåll</w:t>
            </w:r>
          </w:p>
        </w:tc>
      </w:tr>
      <w:tr w:rsidR="00117C0D" w:rsidRPr="003954D9" w14:paraId="35CDE1A9" w14:textId="77777777" w:rsidTr="00F32099">
        <w:trPr>
          <w:trHeight w:val="227"/>
        </w:trPr>
        <w:tc>
          <w:tcPr>
            <w:tcW w:w="3144" w:type="dxa"/>
            <w:vMerge/>
          </w:tcPr>
          <w:p w14:paraId="6594956C"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p>
        </w:tc>
        <w:tc>
          <w:tcPr>
            <w:tcW w:w="622" w:type="dxa"/>
          </w:tcPr>
          <w:p w14:paraId="10353039" w14:textId="7C111FA0" w:rsidR="00117C0D"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N </w:t>
            </w:r>
          </w:p>
        </w:tc>
        <w:tc>
          <w:tcPr>
            <w:tcW w:w="795" w:type="dxa"/>
          </w:tcPr>
          <w:p w14:paraId="6387A1F8" w14:textId="450B9DAA" w:rsidR="00117C0D"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653" w:type="dxa"/>
          </w:tcPr>
          <w:p w14:paraId="655D87D3" w14:textId="5234E699" w:rsidR="00117C0D"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765" w:type="dxa"/>
          </w:tcPr>
          <w:p w14:paraId="50309699" w14:textId="7C0AB78C" w:rsidR="00117C0D" w:rsidRPr="003954D9" w:rsidRDefault="00F32099"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w:t>
            </w:r>
          </w:p>
        </w:tc>
        <w:tc>
          <w:tcPr>
            <w:tcW w:w="902" w:type="dxa"/>
          </w:tcPr>
          <w:p w14:paraId="730E497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Medelv.</w:t>
            </w:r>
          </w:p>
        </w:tc>
        <w:tc>
          <w:tcPr>
            <w:tcW w:w="816" w:type="dxa"/>
          </w:tcPr>
          <w:p w14:paraId="06254AE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 pers.</w:t>
            </w:r>
          </w:p>
        </w:tc>
        <w:tc>
          <w:tcPr>
            <w:tcW w:w="1400" w:type="dxa"/>
          </w:tcPr>
          <w:p w14:paraId="5FB820C4" w14:textId="77777777" w:rsidR="00117C0D" w:rsidRPr="003954D9" w:rsidRDefault="00117C0D" w:rsidP="00117C0D">
            <w:pPr>
              <w:autoSpaceDE w:val="0"/>
              <w:autoSpaceDN w:val="0"/>
              <w:adjustRightInd w:val="0"/>
              <w:jc w:val="right"/>
              <w:rPr>
                <w:rFonts w:ascii="Calibri" w:hAnsi="Calibri" w:cs="Calibri"/>
                <w:b/>
                <w:bCs/>
                <w:color w:val="000000"/>
                <w:sz w:val="16"/>
                <w:szCs w:val="16"/>
              </w:rPr>
            </w:pPr>
          </w:p>
        </w:tc>
      </w:tr>
      <w:tr w:rsidR="00117C0D" w:rsidRPr="003954D9" w14:paraId="56F89197" w14:textId="77777777" w:rsidTr="00F32099">
        <w:trPr>
          <w:trHeight w:val="227"/>
        </w:trPr>
        <w:tc>
          <w:tcPr>
            <w:tcW w:w="3144" w:type="dxa"/>
          </w:tcPr>
          <w:p w14:paraId="3656DDCC" w14:textId="60EE5298"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Hushåll med </w:t>
            </w:r>
            <w:r w:rsidR="00D36DC3" w:rsidRPr="003954D9">
              <w:rPr>
                <w:rFonts w:ascii="Calibri" w:hAnsi="Calibri" w:cs="Calibri"/>
                <w:b/>
                <w:bCs/>
                <w:color w:val="000000"/>
                <w:sz w:val="16"/>
                <w:szCs w:val="16"/>
              </w:rPr>
              <w:t>hemmavarande</w:t>
            </w:r>
            <w:r w:rsidRPr="003954D9">
              <w:rPr>
                <w:rFonts w:ascii="Calibri" w:hAnsi="Calibri" w:cs="Calibri"/>
                <w:b/>
                <w:bCs/>
                <w:color w:val="000000"/>
                <w:sz w:val="16"/>
                <w:szCs w:val="16"/>
              </w:rPr>
              <w:t xml:space="preserve"> barn </w:t>
            </w:r>
            <w:r w:rsidR="00365C66" w:rsidRPr="003954D9">
              <w:rPr>
                <w:rFonts w:ascii="Calibri" w:hAnsi="Calibri" w:cs="Calibri"/>
                <w:b/>
                <w:bCs/>
                <w:color w:val="000000"/>
                <w:sz w:val="16"/>
                <w:szCs w:val="16"/>
              </w:rPr>
              <w:t>20–29</w:t>
            </w:r>
            <w:r w:rsidRPr="003954D9">
              <w:rPr>
                <w:rFonts w:ascii="Calibri" w:hAnsi="Calibri" w:cs="Calibri"/>
                <w:b/>
                <w:bCs/>
                <w:color w:val="000000"/>
                <w:sz w:val="16"/>
                <w:szCs w:val="16"/>
              </w:rPr>
              <w:t xml:space="preserve"> år</w:t>
            </w:r>
          </w:p>
        </w:tc>
        <w:tc>
          <w:tcPr>
            <w:tcW w:w="622" w:type="dxa"/>
          </w:tcPr>
          <w:p w14:paraId="3D87A6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1 243</w:t>
            </w:r>
          </w:p>
        </w:tc>
        <w:tc>
          <w:tcPr>
            <w:tcW w:w="795" w:type="dxa"/>
          </w:tcPr>
          <w:p w14:paraId="181C182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5,4</w:t>
            </w:r>
          </w:p>
        </w:tc>
        <w:tc>
          <w:tcPr>
            <w:tcW w:w="653" w:type="dxa"/>
          </w:tcPr>
          <w:p w14:paraId="08D6AD1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4 573</w:t>
            </w:r>
          </w:p>
        </w:tc>
        <w:tc>
          <w:tcPr>
            <w:tcW w:w="765" w:type="dxa"/>
          </w:tcPr>
          <w:p w14:paraId="2EBC066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8,9</w:t>
            </w:r>
          </w:p>
        </w:tc>
        <w:tc>
          <w:tcPr>
            <w:tcW w:w="902" w:type="dxa"/>
          </w:tcPr>
          <w:p w14:paraId="7E4F7C1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81,1</w:t>
            </w:r>
          </w:p>
        </w:tc>
        <w:tc>
          <w:tcPr>
            <w:tcW w:w="816" w:type="dxa"/>
          </w:tcPr>
          <w:p w14:paraId="4A580E7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22,0</w:t>
            </w:r>
          </w:p>
        </w:tc>
        <w:tc>
          <w:tcPr>
            <w:tcW w:w="1400" w:type="dxa"/>
          </w:tcPr>
          <w:p w14:paraId="2F2FC72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w:t>
            </w:r>
          </w:p>
        </w:tc>
      </w:tr>
    </w:tbl>
    <w:p w14:paraId="3640EAA1" w14:textId="7CD18029"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4:4: Hushållstyper, andelar i stadsdelarna samt totalt antal hushåll</w:t>
      </w:r>
    </w:p>
    <w:tbl>
      <w:tblPr>
        <w:tblW w:w="99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795"/>
        <w:gridCol w:w="884"/>
        <w:gridCol w:w="872"/>
        <w:gridCol w:w="721"/>
        <w:gridCol w:w="826"/>
        <w:gridCol w:w="840"/>
        <w:gridCol w:w="810"/>
        <w:gridCol w:w="913"/>
        <w:gridCol w:w="884"/>
        <w:gridCol w:w="951"/>
      </w:tblGrid>
      <w:tr w:rsidR="00117C0D" w:rsidRPr="003954D9" w14:paraId="5F4F0AAB" w14:textId="77777777" w:rsidTr="00117C0D">
        <w:trPr>
          <w:trHeight w:val="227"/>
        </w:trPr>
        <w:tc>
          <w:tcPr>
            <w:tcW w:w="1477" w:type="dxa"/>
          </w:tcPr>
          <w:p w14:paraId="7375FEB9"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Hushållstyp</w:t>
            </w:r>
          </w:p>
        </w:tc>
        <w:tc>
          <w:tcPr>
            <w:tcW w:w="795" w:type="dxa"/>
          </w:tcPr>
          <w:p w14:paraId="10B9F00D"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84" w:type="dxa"/>
          </w:tcPr>
          <w:p w14:paraId="483AEB7A"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Askim-Frölunda-Högsbo</w:t>
            </w:r>
          </w:p>
        </w:tc>
        <w:tc>
          <w:tcPr>
            <w:tcW w:w="872" w:type="dxa"/>
          </w:tcPr>
          <w:p w14:paraId="17688F79"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21" w:type="dxa"/>
          </w:tcPr>
          <w:p w14:paraId="2154DADE"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26" w:type="dxa"/>
          </w:tcPr>
          <w:p w14:paraId="4F5D3C2E"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Majorna-Linné</w:t>
            </w:r>
          </w:p>
        </w:tc>
        <w:tc>
          <w:tcPr>
            <w:tcW w:w="840" w:type="dxa"/>
          </w:tcPr>
          <w:p w14:paraId="46DAA021"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810" w:type="dxa"/>
          </w:tcPr>
          <w:p w14:paraId="4C3DEFA6"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913" w:type="dxa"/>
          </w:tcPr>
          <w:p w14:paraId="7F1F8F17"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Örgryte-Härlanda</w:t>
            </w:r>
          </w:p>
        </w:tc>
        <w:tc>
          <w:tcPr>
            <w:tcW w:w="884" w:type="dxa"/>
          </w:tcPr>
          <w:p w14:paraId="78C152BF"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951" w:type="dxa"/>
          </w:tcPr>
          <w:p w14:paraId="2B907115"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117C0D" w:rsidRPr="003954D9" w14:paraId="74C4F9EA" w14:textId="77777777" w:rsidTr="00117C0D">
        <w:trPr>
          <w:trHeight w:val="227"/>
        </w:trPr>
        <w:tc>
          <w:tcPr>
            <w:tcW w:w="1477" w:type="dxa"/>
          </w:tcPr>
          <w:p w14:paraId="76592C5E" w14:textId="52C56CC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Ensambo u. barn </w:t>
            </w:r>
            <w:r w:rsidR="00365C66" w:rsidRPr="003954D9">
              <w:rPr>
                <w:rFonts w:ascii="Calibri" w:eastAsiaTheme="minorHAnsi" w:hAnsi="Calibri" w:cs="Calibri"/>
                <w:b/>
                <w:color w:val="000000"/>
                <w:sz w:val="16"/>
                <w:szCs w:val="16"/>
                <w:lang w:eastAsia="en-US"/>
              </w:rPr>
              <w:t>18–64</w:t>
            </w:r>
            <w:r w:rsidRPr="003954D9">
              <w:rPr>
                <w:rFonts w:ascii="Calibri" w:eastAsiaTheme="minorHAnsi" w:hAnsi="Calibri" w:cs="Calibri"/>
                <w:b/>
                <w:color w:val="000000"/>
                <w:sz w:val="16"/>
                <w:szCs w:val="16"/>
                <w:lang w:eastAsia="en-US"/>
              </w:rPr>
              <w:t xml:space="preserve"> år</w:t>
            </w:r>
          </w:p>
        </w:tc>
        <w:tc>
          <w:tcPr>
            <w:tcW w:w="795" w:type="dxa"/>
          </w:tcPr>
          <w:p w14:paraId="560801B7"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20,2</w:t>
            </w:r>
          </w:p>
        </w:tc>
        <w:tc>
          <w:tcPr>
            <w:tcW w:w="884" w:type="dxa"/>
          </w:tcPr>
          <w:p w14:paraId="0C36B52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33,4</w:t>
            </w:r>
          </w:p>
        </w:tc>
        <w:tc>
          <w:tcPr>
            <w:tcW w:w="872" w:type="dxa"/>
          </w:tcPr>
          <w:p w14:paraId="29D073A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44,6</w:t>
            </w:r>
          </w:p>
        </w:tc>
        <w:tc>
          <w:tcPr>
            <w:tcW w:w="721" w:type="dxa"/>
          </w:tcPr>
          <w:p w14:paraId="3CF2C43C"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48,2</w:t>
            </w:r>
          </w:p>
        </w:tc>
        <w:tc>
          <w:tcPr>
            <w:tcW w:w="826" w:type="dxa"/>
          </w:tcPr>
          <w:p w14:paraId="485F0C7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38,1</w:t>
            </w:r>
          </w:p>
        </w:tc>
        <w:tc>
          <w:tcPr>
            <w:tcW w:w="840" w:type="dxa"/>
          </w:tcPr>
          <w:p w14:paraId="016DDC7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33,6</w:t>
            </w:r>
          </w:p>
        </w:tc>
        <w:tc>
          <w:tcPr>
            <w:tcW w:w="810" w:type="dxa"/>
          </w:tcPr>
          <w:p w14:paraId="6EAF93A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28,6</w:t>
            </w:r>
          </w:p>
        </w:tc>
        <w:tc>
          <w:tcPr>
            <w:tcW w:w="913" w:type="dxa"/>
          </w:tcPr>
          <w:p w14:paraId="60C0400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35,9</w:t>
            </w:r>
          </w:p>
        </w:tc>
        <w:tc>
          <w:tcPr>
            <w:tcW w:w="884" w:type="dxa"/>
          </w:tcPr>
          <w:p w14:paraId="4A64B07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32,2</w:t>
            </w:r>
          </w:p>
        </w:tc>
        <w:tc>
          <w:tcPr>
            <w:tcW w:w="951" w:type="dxa"/>
          </w:tcPr>
          <w:p w14:paraId="13D1DAD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32,6</w:t>
            </w:r>
          </w:p>
        </w:tc>
      </w:tr>
      <w:tr w:rsidR="00117C0D" w:rsidRPr="003954D9" w14:paraId="1784D283" w14:textId="77777777" w:rsidTr="00117C0D">
        <w:trPr>
          <w:trHeight w:val="227"/>
        </w:trPr>
        <w:tc>
          <w:tcPr>
            <w:tcW w:w="1477" w:type="dxa"/>
          </w:tcPr>
          <w:p w14:paraId="43B46C5C" w14:textId="77851F45"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Ensambo u. barn </w:t>
            </w:r>
            <w:r w:rsidR="00365C66" w:rsidRPr="003954D9">
              <w:rPr>
                <w:rFonts w:ascii="Calibri" w:eastAsiaTheme="minorHAnsi" w:hAnsi="Calibri" w:cs="Calibri"/>
                <w:b/>
                <w:color w:val="000000"/>
                <w:sz w:val="16"/>
                <w:szCs w:val="16"/>
                <w:lang w:eastAsia="en-US"/>
              </w:rPr>
              <w:t>65-år</w:t>
            </w:r>
          </w:p>
        </w:tc>
        <w:tc>
          <w:tcPr>
            <w:tcW w:w="795" w:type="dxa"/>
          </w:tcPr>
          <w:p w14:paraId="7BADE40E"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10,6</w:t>
            </w:r>
          </w:p>
        </w:tc>
        <w:tc>
          <w:tcPr>
            <w:tcW w:w="884" w:type="dxa"/>
          </w:tcPr>
          <w:p w14:paraId="5912D6B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11,5</w:t>
            </w:r>
          </w:p>
        </w:tc>
        <w:tc>
          <w:tcPr>
            <w:tcW w:w="872" w:type="dxa"/>
          </w:tcPr>
          <w:p w14:paraId="42C4C8A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15,3</w:t>
            </w:r>
          </w:p>
        </w:tc>
        <w:tc>
          <w:tcPr>
            <w:tcW w:w="721" w:type="dxa"/>
          </w:tcPr>
          <w:p w14:paraId="1251BCA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11,5</w:t>
            </w:r>
          </w:p>
        </w:tc>
        <w:tc>
          <w:tcPr>
            <w:tcW w:w="826" w:type="dxa"/>
          </w:tcPr>
          <w:p w14:paraId="64BE34CB"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17,6</w:t>
            </w:r>
          </w:p>
        </w:tc>
        <w:tc>
          <w:tcPr>
            <w:tcW w:w="840" w:type="dxa"/>
          </w:tcPr>
          <w:p w14:paraId="6FFC347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13,2</w:t>
            </w:r>
          </w:p>
        </w:tc>
        <w:tc>
          <w:tcPr>
            <w:tcW w:w="810" w:type="dxa"/>
          </w:tcPr>
          <w:p w14:paraId="3974FE6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12,3</w:t>
            </w:r>
          </w:p>
        </w:tc>
        <w:tc>
          <w:tcPr>
            <w:tcW w:w="913" w:type="dxa"/>
          </w:tcPr>
          <w:p w14:paraId="5850EBD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16,3</w:t>
            </w:r>
          </w:p>
        </w:tc>
        <w:tc>
          <w:tcPr>
            <w:tcW w:w="884" w:type="dxa"/>
          </w:tcPr>
          <w:p w14:paraId="337588C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13,9</w:t>
            </w:r>
          </w:p>
        </w:tc>
        <w:tc>
          <w:tcPr>
            <w:tcW w:w="951" w:type="dxa"/>
          </w:tcPr>
          <w:p w14:paraId="3F0E028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r>
      <w:tr w:rsidR="00117C0D" w:rsidRPr="003954D9" w14:paraId="1E03184C" w14:textId="77777777" w:rsidTr="00117C0D">
        <w:trPr>
          <w:trHeight w:val="227"/>
        </w:trPr>
        <w:tc>
          <w:tcPr>
            <w:tcW w:w="1477" w:type="dxa"/>
          </w:tcPr>
          <w:p w14:paraId="5D8CA5A8" w14:textId="202FF1D3"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Ensamst. m.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795" w:type="dxa"/>
          </w:tcPr>
          <w:p w14:paraId="77BC1577" w14:textId="77777777" w:rsidR="00117C0D" w:rsidRPr="003954D9" w:rsidRDefault="00117C0D" w:rsidP="00117C0D">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9,8</w:t>
            </w:r>
          </w:p>
        </w:tc>
        <w:tc>
          <w:tcPr>
            <w:tcW w:w="884" w:type="dxa"/>
          </w:tcPr>
          <w:p w14:paraId="0590649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9,4</w:t>
            </w:r>
          </w:p>
        </w:tc>
        <w:tc>
          <w:tcPr>
            <w:tcW w:w="872" w:type="dxa"/>
          </w:tcPr>
          <w:p w14:paraId="0F7030D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6,0</w:t>
            </w:r>
          </w:p>
        </w:tc>
        <w:tc>
          <w:tcPr>
            <w:tcW w:w="721" w:type="dxa"/>
          </w:tcPr>
          <w:p w14:paraId="5E0EEAEB"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4,4</w:t>
            </w:r>
          </w:p>
        </w:tc>
        <w:tc>
          <w:tcPr>
            <w:tcW w:w="826" w:type="dxa"/>
          </w:tcPr>
          <w:p w14:paraId="7D571D6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5,3</w:t>
            </w:r>
          </w:p>
        </w:tc>
        <w:tc>
          <w:tcPr>
            <w:tcW w:w="840" w:type="dxa"/>
          </w:tcPr>
          <w:p w14:paraId="120FBEB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8,7</w:t>
            </w:r>
          </w:p>
        </w:tc>
        <w:tc>
          <w:tcPr>
            <w:tcW w:w="810" w:type="dxa"/>
          </w:tcPr>
          <w:p w14:paraId="0113C18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913" w:type="dxa"/>
          </w:tcPr>
          <w:p w14:paraId="6DF526F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6,0</w:t>
            </w:r>
          </w:p>
        </w:tc>
        <w:tc>
          <w:tcPr>
            <w:tcW w:w="884" w:type="dxa"/>
          </w:tcPr>
          <w:p w14:paraId="70E4F5B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8,8</w:t>
            </w:r>
          </w:p>
        </w:tc>
        <w:tc>
          <w:tcPr>
            <w:tcW w:w="951" w:type="dxa"/>
          </w:tcPr>
          <w:p w14:paraId="1AB49D4B"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9,7</w:t>
            </w:r>
          </w:p>
        </w:tc>
      </w:tr>
      <w:tr w:rsidR="00117C0D" w:rsidRPr="003954D9" w14:paraId="617891D2" w14:textId="77777777" w:rsidTr="00117C0D">
        <w:trPr>
          <w:trHeight w:val="227"/>
        </w:trPr>
        <w:tc>
          <w:tcPr>
            <w:tcW w:w="1477" w:type="dxa"/>
          </w:tcPr>
          <w:p w14:paraId="77C7CB1C" w14:textId="0A3842C6"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u. barn </w:t>
            </w:r>
            <w:r w:rsidR="00365C66" w:rsidRPr="003954D9">
              <w:rPr>
                <w:rFonts w:ascii="Calibri" w:eastAsiaTheme="minorHAnsi" w:hAnsi="Calibri" w:cs="Calibri"/>
                <w:b/>
                <w:color w:val="000000"/>
                <w:sz w:val="16"/>
                <w:szCs w:val="16"/>
                <w:lang w:eastAsia="en-US"/>
              </w:rPr>
              <w:t>18–64</w:t>
            </w:r>
            <w:r w:rsidRPr="003954D9">
              <w:rPr>
                <w:rFonts w:ascii="Calibri" w:eastAsiaTheme="minorHAnsi" w:hAnsi="Calibri" w:cs="Calibri"/>
                <w:b/>
                <w:color w:val="000000"/>
                <w:sz w:val="16"/>
                <w:szCs w:val="16"/>
                <w:lang w:eastAsia="en-US"/>
              </w:rPr>
              <w:t xml:space="preserve"> år</w:t>
            </w:r>
          </w:p>
        </w:tc>
        <w:tc>
          <w:tcPr>
            <w:tcW w:w="795" w:type="dxa"/>
          </w:tcPr>
          <w:p w14:paraId="46C7F78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8,5</w:t>
            </w:r>
          </w:p>
        </w:tc>
        <w:tc>
          <w:tcPr>
            <w:tcW w:w="884" w:type="dxa"/>
          </w:tcPr>
          <w:p w14:paraId="006F770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11,8</w:t>
            </w:r>
          </w:p>
        </w:tc>
        <w:tc>
          <w:tcPr>
            <w:tcW w:w="872" w:type="dxa"/>
          </w:tcPr>
          <w:p w14:paraId="4F35BC2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9,9</w:t>
            </w:r>
          </w:p>
        </w:tc>
        <w:tc>
          <w:tcPr>
            <w:tcW w:w="721" w:type="dxa"/>
          </w:tcPr>
          <w:p w14:paraId="5B800CF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11,1</w:t>
            </w:r>
          </w:p>
        </w:tc>
        <w:tc>
          <w:tcPr>
            <w:tcW w:w="826" w:type="dxa"/>
          </w:tcPr>
          <w:p w14:paraId="5A7F55FF"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12,8</w:t>
            </w:r>
          </w:p>
        </w:tc>
        <w:tc>
          <w:tcPr>
            <w:tcW w:w="840" w:type="dxa"/>
          </w:tcPr>
          <w:p w14:paraId="6212FCC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9,6</w:t>
            </w:r>
          </w:p>
        </w:tc>
        <w:tc>
          <w:tcPr>
            <w:tcW w:w="810" w:type="dxa"/>
          </w:tcPr>
          <w:p w14:paraId="0D78B378"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2060"/>
                <w:sz w:val="16"/>
                <w:szCs w:val="16"/>
                <w:lang w:eastAsia="en-US"/>
              </w:rPr>
              <w:t>8,0</w:t>
            </w:r>
          </w:p>
        </w:tc>
        <w:tc>
          <w:tcPr>
            <w:tcW w:w="913" w:type="dxa"/>
          </w:tcPr>
          <w:p w14:paraId="6A89AD2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9,5</w:t>
            </w:r>
          </w:p>
        </w:tc>
        <w:tc>
          <w:tcPr>
            <w:tcW w:w="884" w:type="dxa"/>
          </w:tcPr>
          <w:p w14:paraId="3EC4919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11,0</w:t>
            </w:r>
          </w:p>
        </w:tc>
        <w:tc>
          <w:tcPr>
            <w:tcW w:w="951" w:type="dxa"/>
          </w:tcPr>
          <w:p w14:paraId="1612920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9,7</w:t>
            </w:r>
          </w:p>
        </w:tc>
      </w:tr>
      <w:tr w:rsidR="00117C0D" w:rsidRPr="003954D9" w14:paraId="296FDD8B" w14:textId="77777777" w:rsidTr="00117C0D">
        <w:trPr>
          <w:trHeight w:val="227"/>
        </w:trPr>
        <w:tc>
          <w:tcPr>
            <w:tcW w:w="1477" w:type="dxa"/>
          </w:tcPr>
          <w:p w14:paraId="697F147B" w14:textId="7C0EDE4C"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u. barn </w:t>
            </w:r>
            <w:r w:rsidR="00365C66" w:rsidRPr="003954D9">
              <w:rPr>
                <w:rFonts w:ascii="Calibri" w:eastAsiaTheme="minorHAnsi" w:hAnsi="Calibri" w:cs="Calibri"/>
                <w:b/>
                <w:color w:val="000000"/>
                <w:sz w:val="16"/>
                <w:szCs w:val="16"/>
                <w:lang w:eastAsia="en-US"/>
              </w:rPr>
              <w:t>65-år</w:t>
            </w:r>
          </w:p>
        </w:tc>
        <w:tc>
          <w:tcPr>
            <w:tcW w:w="795" w:type="dxa"/>
          </w:tcPr>
          <w:p w14:paraId="4B41A1C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2,8</w:t>
            </w:r>
          </w:p>
        </w:tc>
        <w:tc>
          <w:tcPr>
            <w:tcW w:w="884" w:type="dxa"/>
          </w:tcPr>
          <w:p w14:paraId="2FE91DA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w:t>
            </w:r>
          </w:p>
        </w:tc>
        <w:tc>
          <w:tcPr>
            <w:tcW w:w="872" w:type="dxa"/>
          </w:tcPr>
          <w:p w14:paraId="1D22490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w:t>
            </w:r>
          </w:p>
        </w:tc>
        <w:tc>
          <w:tcPr>
            <w:tcW w:w="721" w:type="dxa"/>
          </w:tcPr>
          <w:p w14:paraId="4758A3CE"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1,2</w:t>
            </w:r>
          </w:p>
        </w:tc>
        <w:tc>
          <w:tcPr>
            <w:tcW w:w="826" w:type="dxa"/>
          </w:tcPr>
          <w:p w14:paraId="2E90DEE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w:t>
            </w:r>
          </w:p>
        </w:tc>
        <w:tc>
          <w:tcPr>
            <w:tcW w:w="840" w:type="dxa"/>
          </w:tcPr>
          <w:p w14:paraId="06C3AE7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w:t>
            </w:r>
          </w:p>
        </w:tc>
        <w:tc>
          <w:tcPr>
            <w:tcW w:w="810" w:type="dxa"/>
          </w:tcPr>
          <w:p w14:paraId="1C09CD3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2,9</w:t>
            </w:r>
          </w:p>
        </w:tc>
        <w:tc>
          <w:tcPr>
            <w:tcW w:w="913" w:type="dxa"/>
          </w:tcPr>
          <w:p w14:paraId="3F11E48F"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6,1</w:t>
            </w:r>
          </w:p>
        </w:tc>
        <w:tc>
          <w:tcPr>
            <w:tcW w:w="884" w:type="dxa"/>
          </w:tcPr>
          <w:p w14:paraId="2C7A234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w:t>
            </w:r>
          </w:p>
        </w:tc>
        <w:tc>
          <w:tcPr>
            <w:tcW w:w="951" w:type="dxa"/>
          </w:tcPr>
          <w:p w14:paraId="64A8591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w:t>
            </w:r>
          </w:p>
        </w:tc>
      </w:tr>
      <w:tr w:rsidR="00117C0D" w:rsidRPr="003954D9" w14:paraId="59E6F00F" w14:textId="77777777" w:rsidTr="00117C0D">
        <w:trPr>
          <w:trHeight w:val="227"/>
        </w:trPr>
        <w:tc>
          <w:tcPr>
            <w:tcW w:w="1477" w:type="dxa"/>
          </w:tcPr>
          <w:p w14:paraId="4392EAD2" w14:textId="4BC0E1A4"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m. 1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795" w:type="dxa"/>
          </w:tcPr>
          <w:p w14:paraId="7647658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6,6</w:t>
            </w:r>
          </w:p>
        </w:tc>
        <w:tc>
          <w:tcPr>
            <w:tcW w:w="884" w:type="dxa"/>
          </w:tcPr>
          <w:p w14:paraId="2C0E29A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5,3</w:t>
            </w:r>
          </w:p>
        </w:tc>
        <w:tc>
          <w:tcPr>
            <w:tcW w:w="872" w:type="dxa"/>
          </w:tcPr>
          <w:p w14:paraId="3660EE9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4,6</w:t>
            </w:r>
          </w:p>
        </w:tc>
        <w:tc>
          <w:tcPr>
            <w:tcW w:w="721" w:type="dxa"/>
          </w:tcPr>
          <w:p w14:paraId="3FAD1707"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3,1</w:t>
            </w:r>
          </w:p>
        </w:tc>
        <w:tc>
          <w:tcPr>
            <w:tcW w:w="826" w:type="dxa"/>
          </w:tcPr>
          <w:p w14:paraId="6E59460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w:t>
            </w:r>
          </w:p>
        </w:tc>
        <w:tc>
          <w:tcPr>
            <w:tcW w:w="840" w:type="dxa"/>
          </w:tcPr>
          <w:p w14:paraId="71E0564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4,8</w:t>
            </w:r>
          </w:p>
        </w:tc>
        <w:tc>
          <w:tcPr>
            <w:tcW w:w="810" w:type="dxa"/>
          </w:tcPr>
          <w:p w14:paraId="4659E20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5,8</w:t>
            </w:r>
          </w:p>
        </w:tc>
        <w:tc>
          <w:tcPr>
            <w:tcW w:w="913" w:type="dxa"/>
          </w:tcPr>
          <w:p w14:paraId="01417F2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4,6</w:t>
            </w:r>
          </w:p>
        </w:tc>
        <w:tc>
          <w:tcPr>
            <w:tcW w:w="884" w:type="dxa"/>
          </w:tcPr>
          <w:p w14:paraId="48B82674" w14:textId="77777777" w:rsidR="00117C0D" w:rsidRPr="003954D9" w:rsidRDefault="00117C0D" w:rsidP="00117C0D">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color w:val="FF0000"/>
                <w:sz w:val="16"/>
                <w:szCs w:val="16"/>
                <w:lang w:eastAsia="en-US"/>
              </w:rPr>
              <w:t>6,9</w:t>
            </w:r>
          </w:p>
        </w:tc>
        <w:tc>
          <w:tcPr>
            <w:tcW w:w="951" w:type="dxa"/>
          </w:tcPr>
          <w:p w14:paraId="5BA812D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5,0</w:t>
            </w:r>
          </w:p>
        </w:tc>
      </w:tr>
      <w:tr w:rsidR="00117C0D" w:rsidRPr="003954D9" w14:paraId="14185EDD" w14:textId="77777777" w:rsidTr="00117C0D">
        <w:trPr>
          <w:trHeight w:val="227"/>
        </w:trPr>
        <w:tc>
          <w:tcPr>
            <w:tcW w:w="1477" w:type="dxa"/>
          </w:tcPr>
          <w:p w14:paraId="0B944D43" w14:textId="0DAE6281"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m. 2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795" w:type="dxa"/>
          </w:tcPr>
          <w:p w14:paraId="5364C6B3"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7,0</w:t>
            </w:r>
          </w:p>
        </w:tc>
        <w:tc>
          <w:tcPr>
            <w:tcW w:w="884" w:type="dxa"/>
          </w:tcPr>
          <w:p w14:paraId="5C27A62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5,8</w:t>
            </w:r>
          </w:p>
        </w:tc>
        <w:tc>
          <w:tcPr>
            <w:tcW w:w="872" w:type="dxa"/>
          </w:tcPr>
          <w:p w14:paraId="781F14C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w:t>
            </w:r>
          </w:p>
        </w:tc>
        <w:tc>
          <w:tcPr>
            <w:tcW w:w="721" w:type="dxa"/>
          </w:tcPr>
          <w:p w14:paraId="5B6D80AB"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2,6</w:t>
            </w:r>
          </w:p>
        </w:tc>
        <w:tc>
          <w:tcPr>
            <w:tcW w:w="826" w:type="dxa"/>
          </w:tcPr>
          <w:p w14:paraId="12EE008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w:t>
            </w:r>
          </w:p>
        </w:tc>
        <w:tc>
          <w:tcPr>
            <w:tcW w:w="840" w:type="dxa"/>
          </w:tcPr>
          <w:p w14:paraId="4F9818A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w:t>
            </w:r>
          </w:p>
        </w:tc>
        <w:tc>
          <w:tcPr>
            <w:tcW w:w="810" w:type="dxa"/>
          </w:tcPr>
          <w:p w14:paraId="18F6D36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5,6</w:t>
            </w:r>
          </w:p>
        </w:tc>
        <w:tc>
          <w:tcPr>
            <w:tcW w:w="913" w:type="dxa"/>
          </w:tcPr>
          <w:p w14:paraId="5018DF3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4,4</w:t>
            </w:r>
          </w:p>
        </w:tc>
        <w:tc>
          <w:tcPr>
            <w:tcW w:w="884" w:type="dxa"/>
          </w:tcPr>
          <w:p w14:paraId="6539630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w:t>
            </w:r>
          </w:p>
        </w:tc>
        <w:tc>
          <w:tcPr>
            <w:tcW w:w="951" w:type="dxa"/>
          </w:tcPr>
          <w:p w14:paraId="6598058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5,4</w:t>
            </w:r>
          </w:p>
        </w:tc>
      </w:tr>
      <w:tr w:rsidR="00117C0D" w:rsidRPr="003954D9" w14:paraId="38450933" w14:textId="77777777" w:rsidTr="00117C0D">
        <w:trPr>
          <w:trHeight w:val="227"/>
        </w:trPr>
        <w:tc>
          <w:tcPr>
            <w:tcW w:w="1477" w:type="dxa"/>
          </w:tcPr>
          <w:p w14:paraId="05FC09D3" w14:textId="0A4588CA"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Sambo m. 3- barn </w:t>
            </w:r>
            <w:r w:rsidR="00365C66" w:rsidRPr="003954D9">
              <w:rPr>
                <w:rFonts w:ascii="Calibri" w:eastAsiaTheme="minorHAnsi" w:hAnsi="Calibri" w:cs="Calibri"/>
                <w:b/>
                <w:color w:val="000000"/>
                <w:sz w:val="16"/>
                <w:szCs w:val="16"/>
                <w:lang w:eastAsia="en-US"/>
              </w:rPr>
              <w:t>0–19</w:t>
            </w:r>
            <w:r w:rsidRPr="003954D9">
              <w:rPr>
                <w:rFonts w:ascii="Calibri" w:eastAsiaTheme="minorHAnsi" w:hAnsi="Calibri" w:cs="Calibri"/>
                <w:b/>
                <w:color w:val="000000"/>
                <w:sz w:val="16"/>
                <w:szCs w:val="16"/>
                <w:lang w:eastAsia="en-US"/>
              </w:rPr>
              <w:t xml:space="preserve"> år</w:t>
            </w:r>
          </w:p>
        </w:tc>
        <w:tc>
          <w:tcPr>
            <w:tcW w:w="795" w:type="dxa"/>
          </w:tcPr>
          <w:p w14:paraId="31118658"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6,6</w:t>
            </w:r>
          </w:p>
        </w:tc>
        <w:tc>
          <w:tcPr>
            <w:tcW w:w="884" w:type="dxa"/>
          </w:tcPr>
          <w:p w14:paraId="085BBBA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2,8</w:t>
            </w:r>
          </w:p>
        </w:tc>
        <w:tc>
          <w:tcPr>
            <w:tcW w:w="872" w:type="dxa"/>
          </w:tcPr>
          <w:p w14:paraId="4239EB47"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0,8</w:t>
            </w:r>
          </w:p>
        </w:tc>
        <w:tc>
          <w:tcPr>
            <w:tcW w:w="721" w:type="dxa"/>
          </w:tcPr>
          <w:p w14:paraId="4303C9D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w:t>
            </w:r>
          </w:p>
        </w:tc>
        <w:tc>
          <w:tcPr>
            <w:tcW w:w="826" w:type="dxa"/>
          </w:tcPr>
          <w:p w14:paraId="036284FD" w14:textId="77777777" w:rsidR="00117C0D" w:rsidRPr="003954D9" w:rsidRDefault="00117C0D" w:rsidP="00117C0D">
            <w:pPr>
              <w:autoSpaceDE w:val="0"/>
              <w:autoSpaceDN w:val="0"/>
              <w:adjustRightInd w:val="0"/>
              <w:jc w:val="right"/>
              <w:rPr>
                <w:rFonts w:ascii="Calibri" w:eastAsiaTheme="minorHAnsi" w:hAnsi="Calibri" w:cs="Calibri"/>
                <w:b/>
                <w:color w:val="002060"/>
                <w:sz w:val="16"/>
                <w:szCs w:val="16"/>
                <w:lang w:eastAsia="en-US"/>
              </w:rPr>
            </w:pPr>
            <w:r w:rsidRPr="003954D9">
              <w:rPr>
                <w:rFonts w:ascii="Calibri" w:eastAsiaTheme="minorHAnsi" w:hAnsi="Calibri" w:cs="Calibri"/>
                <w:b/>
                <w:color w:val="002060"/>
                <w:sz w:val="16"/>
                <w:szCs w:val="16"/>
                <w:lang w:eastAsia="en-US"/>
              </w:rPr>
              <w:t>0,9</w:t>
            </w:r>
          </w:p>
        </w:tc>
        <w:tc>
          <w:tcPr>
            <w:tcW w:w="840" w:type="dxa"/>
          </w:tcPr>
          <w:p w14:paraId="75948F8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w:t>
            </w:r>
          </w:p>
        </w:tc>
        <w:tc>
          <w:tcPr>
            <w:tcW w:w="810" w:type="dxa"/>
          </w:tcPr>
          <w:p w14:paraId="5F5277D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3,9</w:t>
            </w:r>
          </w:p>
        </w:tc>
        <w:tc>
          <w:tcPr>
            <w:tcW w:w="913" w:type="dxa"/>
          </w:tcPr>
          <w:p w14:paraId="79CD736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w:t>
            </w:r>
          </w:p>
        </w:tc>
        <w:tc>
          <w:tcPr>
            <w:tcW w:w="884" w:type="dxa"/>
          </w:tcPr>
          <w:p w14:paraId="59D1755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w:t>
            </w:r>
          </w:p>
        </w:tc>
        <w:tc>
          <w:tcPr>
            <w:tcW w:w="951" w:type="dxa"/>
          </w:tcPr>
          <w:p w14:paraId="538F373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3,9</w:t>
            </w:r>
          </w:p>
        </w:tc>
      </w:tr>
      <w:tr w:rsidR="00117C0D" w:rsidRPr="003954D9" w14:paraId="71152018" w14:textId="77777777" w:rsidTr="00117C0D">
        <w:trPr>
          <w:trHeight w:val="227"/>
        </w:trPr>
        <w:tc>
          <w:tcPr>
            <w:tcW w:w="1477" w:type="dxa"/>
          </w:tcPr>
          <w:p w14:paraId="4B7EBE6C"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 xml:space="preserve">Övr. hushåll u. barn </w:t>
            </w:r>
          </w:p>
        </w:tc>
        <w:tc>
          <w:tcPr>
            <w:tcW w:w="795" w:type="dxa"/>
          </w:tcPr>
          <w:p w14:paraId="585C075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8,6</w:t>
            </w:r>
          </w:p>
        </w:tc>
        <w:tc>
          <w:tcPr>
            <w:tcW w:w="884" w:type="dxa"/>
          </w:tcPr>
          <w:p w14:paraId="5D930AE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6,0</w:t>
            </w:r>
          </w:p>
        </w:tc>
        <w:tc>
          <w:tcPr>
            <w:tcW w:w="872" w:type="dxa"/>
          </w:tcPr>
          <w:p w14:paraId="6D15CF0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6,6</w:t>
            </w:r>
          </w:p>
        </w:tc>
        <w:tc>
          <w:tcPr>
            <w:tcW w:w="721" w:type="dxa"/>
          </w:tcPr>
          <w:p w14:paraId="78B51A15"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9,9</w:t>
            </w:r>
          </w:p>
        </w:tc>
        <w:tc>
          <w:tcPr>
            <w:tcW w:w="826" w:type="dxa"/>
          </w:tcPr>
          <w:p w14:paraId="56B69B4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6,6</w:t>
            </w:r>
          </w:p>
        </w:tc>
        <w:tc>
          <w:tcPr>
            <w:tcW w:w="840" w:type="dxa"/>
          </w:tcPr>
          <w:p w14:paraId="366FD22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7,4</w:t>
            </w:r>
          </w:p>
        </w:tc>
        <w:tc>
          <w:tcPr>
            <w:tcW w:w="810" w:type="dxa"/>
          </w:tcPr>
          <w:p w14:paraId="7ADEEAF3" w14:textId="77777777" w:rsidR="00117C0D" w:rsidRPr="003954D9" w:rsidRDefault="00117C0D" w:rsidP="00117C0D">
            <w:pPr>
              <w:autoSpaceDE w:val="0"/>
              <w:autoSpaceDN w:val="0"/>
              <w:adjustRightInd w:val="0"/>
              <w:jc w:val="right"/>
              <w:rPr>
                <w:rFonts w:ascii="Calibri" w:eastAsiaTheme="minorHAnsi" w:hAnsi="Calibri" w:cs="Calibri"/>
                <w:color w:val="FF0000"/>
                <w:sz w:val="16"/>
                <w:szCs w:val="16"/>
                <w:lang w:eastAsia="en-US"/>
              </w:rPr>
            </w:pPr>
            <w:r w:rsidRPr="003954D9">
              <w:rPr>
                <w:rFonts w:ascii="Calibri" w:eastAsiaTheme="minorHAnsi" w:hAnsi="Calibri" w:cs="Calibri"/>
                <w:sz w:val="16"/>
                <w:szCs w:val="16"/>
                <w:lang w:eastAsia="en-US"/>
              </w:rPr>
              <w:t>9,5</w:t>
            </w:r>
          </w:p>
        </w:tc>
        <w:tc>
          <w:tcPr>
            <w:tcW w:w="913" w:type="dxa"/>
          </w:tcPr>
          <w:p w14:paraId="54E86DF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7,1</w:t>
            </w:r>
          </w:p>
        </w:tc>
        <w:tc>
          <w:tcPr>
            <w:tcW w:w="884" w:type="dxa"/>
          </w:tcPr>
          <w:p w14:paraId="73CFF9D7"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4,7</w:t>
            </w:r>
          </w:p>
        </w:tc>
        <w:tc>
          <w:tcPr>
            <w:tcW w:w="951" w:type="dxa"/>
          </w:tcPr>
          <w:p w14:paraId="0CB0AE2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9,2</w:t>
            </w:r>
          </w:p>
        </w:tc>
      </w:tr>
      <w:tr w:rsidR="00117C0D" w:rsidRPr="003954D9" w14:paraId="5BDE4EE8" w14:textId="77777777" w:rsidTr="00117C0D">
        <w:trPr>
          <w:trHeight w:val="227"/>
        </w:trPr>
        <w:tc>
          <w:tcPr>
            <w:tcW w:w="1477" w:type="dxa"/>
          </w:tcPr>
          <w:p w14:paraId="527D3F70"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Övr. hushåll m. barn</w:t>
            </w:r>
          </w:p>
        </w:tc>
        <w:tc>
          <w:tcPr>
            <w:tcW w:w="795" w:type="dxa"/>
          </w:tcPr>
          <w:p w14:paraId="29F79C4E"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19,3</w:t>
            </w:r>
          </w:p>
        </w:tc>
        <w:tc>
          <w:tcPr>
            <w:tcW w:w="884" w:type="dxa"/>
          </w:tcPr>
          <w:p w14:paraId="1B34366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10,2</w:t>
            </w:r>
          </w:p>
        </w:tc>
        <w:tc>
          <w:tcPr>
            <w:tcW w:w="872" w:type="dxa"/>
          </w:tcPr>
          <w:p w14:paraId="3D17CDA2"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5,7</w:t>
            </w:r>
          </w:p>
        </w:tc>
        <w:tc>
          <w:tcPr>
            <w:tcW w:w="721" w:type="dxa"/>
          </w:tcPr>
          <w:p w14:paraId="55388CE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6,7</w:t>
            </w:r>
          </w:p>
        </w:tc>
        <w:tc>
          <w:tcPr>
            <w:tcW w:w="826" w:type="dxa"/>
          </w:tcPr>
          <w:p w14:paraId="7581631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7,0</w:t>
            </w:r>
          </w:p>
        </w:tc>
        <w:tc>
          <w:tcPr>
            <w:tcW w:w="840" w:type="dxa"/>
          </w:tcPr>
          <w:p w14:paraId="7FC32A8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11,8</w:t>
            </w:r>
          </w:p>
        </w:tc>
        <w:tc>
          <w:tcPr>
            <w:tcW w:w="810" w:type="dxa"/>
          </w:tcPr>
          <w:p w14:paraId="7D43F18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15,2</w:t>
            </w:r>
          </w:p>
        </w:tc>
        <w:tc>
          <w:tcPr>
            <w:tcW w:w="913" w:type="dxa"/>
          </w:tcPr>
          <w:p w14:paraId="3295E2E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884" w:type="dxa"/>
          </w:tcPr>
          <w:p w14:paraId="3B2F3C9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12,6</w:t>
            </w:r>
          </w:p>
        </w:tc>
        <w:tc>
          <w:tcPr>
            <w:tcW w:w="951" w:type="dxa"/>
          </w:tcPr>
          <w:p w14:paraId="1E346A4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10,4</w:t>
            </w:r>
          </w:p>
        </w:tc>
      </w:tr>
      <w:tr w:rsidR="00117C0D" w:rsidRPr="003954D9" w14:paraId="11E494E4" w14:textId="77777777" w:rsidTr="00117C0D">
        <w:trPr>
          <w:trHeight w:val="227"/>
        </w:trPr>
        <w:tc>
          <w:tcPr>
            <w:tcW w:w="1477" w:type="dxa"/>
          </w:tcPr>
          <w:p w14:paraId="7A85F2B2"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Alla</w:t>
            </w:r>
          </w:p>
        </w:tc>
        <w:tc>
          <w:tcPr>
            <w:tcW w:w="795" w:type="dxa"/>
          </w:tcPr>
          <w:p w14:paraId="7FBC7D6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84" w:type="dxa"/>
          </w:tcPr>
          <w:p w14:paraId="7D23405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72" w:type="dxa"/>
          </w:tcPr>
          <w:p w14:paraId="4C69244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721" w:type="dxa"/>
          </w:tcPr>
          <w:p w14:paraId="78A262D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26" w:type="dxa"/>
          </w:tcPr>
          <w:p w14:paraId="08B65C7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40" w:type="dxa"/>
          </w:tcPr>
          <w:p w14:paraId="57055DF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10" w:type="dxa"/>
          </w:tcPr>
          <w:p w14:paraId="03F219A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913" w:type="dxa"/>
          </w:tcPr>
          <w:p w14:paraId="79CE13F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84" w:type="dxa"/>
          </w:tcPr>
          <w:p w14:paraId="71E1132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951" w:type="dxa"/>
          </w:tcPr>
          <w:p w14:paraId="62A93F0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r>
      <w:tr w:rsidR="00117C0D" w:rsidRPr="003954D9" w14:paraId="2E2BF59D" w14:textId="77777777" w:rsidTr="00117C0D">
        <w:trPr>
          <w:trHeight w:val="227"/>
        </w:trPr>
        <w:tc>
          <w:tcPr>
            <w:tcW w:w="1477" w:type="dxa"/>
          </w:tcPr>
          <w:p w14:paraId="0930A707"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Antal</w:t>
            </w:r>
          </w:p>
        </w:tc>
        <w:tc>
          <w:tcPr>
            <w:tcW w:w="795" w:type="dxa"/>
          </w:tcPr>
          <w:p w14:paraId="2A8473DD"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4 480</w:t>
            </w:r>
          </w:p>
        </w:tc>
        <w:tc>
          <w:tcPr>
            <w:tcW w:w="884" w:type="dxa"/>
          </w:tcPr>
          <w:p w14:paraId="365DA13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2 390</w:t>
            </w:r>
          </w:p>
        </w:tc>
        <w:tc>
          <w:tcPr>
            <w:tcW w:w="872" w:type="dxa"/>
          </w:tcPr>
          <w:p w14:paraId="40FF13E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2 060</w:t>
            </w:r>
          </w:p>
        </w:tc>
        <w:tc>
          <w:tcPr>
            <w:tcW w:w="721" w:type="dxa"/>
          </w:tcPr>
          <w:p w14:paraId="14AB32A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908</w:t>
            </w:r>
          </w:p>
        </w:tc>
        <w:tc>
          <w:tcPr>
            <w:tcW w:w="826" w:type="dxa"/>
          </w:tcPr>
          <w:p w14:paraId="06C1F65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2 651</w:t>
            </w:r>
          </w:p>
        </w:tc>
        <w:tc>
          <w:tcPr>
            <w:tcW w:w="840" w:type="dxa"/>
          </w:tcPr>
          <w:p w14:paraId="5A138B9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1 385</w:t>
            </w:r>
          </w:p>
        </w:tc>
        <w:tc>
          <w:tcPr>
            <w:tcW w:w="810" w:type="dxa"/>
          </w:tcPr>
          <w:p w14:paraId="3ADF1DF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2 790</w:t>
            </w:r>
          </w:p>
        </w:tc>
        <w:tc>
          <w:tcPr>
            <w:tcW w:w="913" w:type="dxa"/>
          </w:tcPr>
          <w:p w14:paraId="1C8D34B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2 589</w:t>
            </w:r>
          </w:p>
        </w:tc>
        <w:tc>
          <w:tcPr>
            <w:tcW w:w="884" w:type="dxa"/>
          </w:tcPr>
          <w:p w14:paraId="702D36B6"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317</w:t>
            </w:r>
          </w:p>
        </w:tc>
        <w:tc>
          <w:tcPr>
            <w:tcW w:w="951" w:type="dxa"/>
          </w:tcPr>
          <w:p w14:paraId="1198CE3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3 482</w:t>
            </w:r>
          </w:p>
        </w:tc>
      </w:tr>
    </w:tbl>
    <w:p w14:paraId="677A5582" w14:textId="77777777" w:rsidR="00117C0D" w:rsidRPr="003954D9" w:rsidRDefault="00117C0D" w:rsidP="00117C0D">
      <w:pPr>
        <w:rPr>
          <w:sz w:val="16"/>
          <w:szCs w:val="16"/>
        </w:rPr>
      </w:pPr>
      <w:r w:rsidRPr="00155ABC">
        <w:rPr>
          <w:b/>
          <w:color w:val="FF6600"/>
          <w:sz w:val="16"/>
          <w:szCs w:val="16"/>
        </w:rPr>
        <w:t>Röd färg högsta</w:t>
      </w:r>
      <w:r w:rsidRPr="003954D9">
        <w:rPr>
          <w:color w:val="FF6600"/>
          <w:sz w:val="16"/>
          <w:szCs w:val="16"/>
        </w:rPr>
        <w:t xml:space="preserve"> </w:t>
      </w:r>
      <w:r w:rsidRPr="003954D9">
        <w:rPr>
          <w:sz w:val="16"/>
          <w:szCs w:val="16"/>
        </w:rPr>
        <w:t xml:space="preserve">och </w:t>
      </w:r>
      <w:r w:rsidRPr="00155ABC">
        <w:rPr>
          <w:b/>
          <w:color w:val="0070C0"/>
          <w:sz w:val="16"/>
          <w:szCs w:val="16"/>
        </w:rPr>
        <w:t>blå färg lägsta</w:t>
      </w:r>
      <w:r w:rsidRPr="00155ABC">
        <w:rPr>
          <w:color w:val="0070C0"/>
          <w:sz w:val="16"/>
          <w:szCs w:val="16"/>
        </w:rPr>
        <w:t xml:space="preserve"> </w:t>
      </w:r>
      <w:r w:rsidRPr="003954D9">
        <w:rPr>
          <w:sz w:val="16"/>
          <w:szCs w:val="16"/>
        </w:rPr>
        <w:t>värde i grupp.</w:t>
      </w:r>
    </w:p>
    <w:p w14:paraId="5B2F5562" w14:textId="77777777" w:rsidR="00117C0D" w:rsidRPr="003954D9" w:rsidRDefault="00117C0D" w:rsidP="00117C0D">
      <w:pPr>
        <w:rPr>
          <w:sz w:val="16"/>
          <w:szCs w:val="16"/>
        </w:rPr>
      </w:pPr>
    </w:p>
    <w:p w14:paraId="41EB85CA"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sz w:val="23"/>
        </w:rPr>
      </w:pPr>
      <w:r w:rsidRPr="003954D9">
        <w:rPr>
          <w:rFonts w:asciiTheme="majorHAnsi" w:eastAsiaTheme="majorEastAsia" w:hAnsiTheme="majorHAnsi" w:cstheme="majorBidi"/>
          <w:color w:val="243F60" w:themeColor="accent1" w:themeShade="7F"/>
          <w:sz w:val="23"/>
        </w:rPr>
        <w:t>Tabell 4:5: Antal hushåll och personer samt hushåll med och utan barn – stadsdelarna</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5"/>
        <w:gridCol w:w="709"/>
        <w:gridCol w:w="708"/>
        <w:gridCol w:w="851"/>
        <w:gridCol w:w="709"/>
        <w:gridCol w:w="850"/>
        <w:gridCol w:w="851"/>
        <w:gridCol w:w="992"/>
        <w:gridCol w:w="1032"/>
      </w:tblGrid>
      <w:tr w:rsidR="00117C0D" w:rsidRPr="003954D9" w14:paraId="3EF2549C" w14:textId="77777777" w:rsidTr="00117C0D">
        <w:trPr>
          <w:trHeight w:val="227"/>
        </w:trPr>
        <w:tc>
          <w:tcPr>
            <w:tcW w:w="2015" w:type="dxa"/>
            <w:vMerge w:val="restart"/>
          </w:tcPr>
          <w:p w14:paraId="03787386"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Stadsdel</w:t>
            </w:r>
          </w:p>
        </w:tc>
        <w:tc>
          <w:tcPr>
            <w:tcW w:w="1417" w:type="dxa"/>
            <w:gridSpan w:val="2"/>
          </w:tcPr>
          <w:p w14:paraId="3EF486B0"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b/>
                <w:bCs/>
                <w:color w:val="000000"/>
                <w:sz w:val="16"/>
                <w:szCs w:val="16"/>
                <w:lang w:eastAsia="en-US"/>
              </w:rPr>
              <w:t>Hushåll</w:t>
            </w:r>
          </w:p>
        </w:tc>
        <w:tc>
          <w:tcPr>
            <w:tcW w:w="1560" w:type="dxa"/>
            <w:gridSpan w:val="2"/>
          </w:tcPr>
          <w:p w14:paraId="45DFF1D1"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b/>
                <w:bCs/>
                <w:color w:val="000000"/>
                <w:sz w:val="16"/>
                <w:szCs w:val="16"/>
                <w:lang w:eastAsia="en-US"/>
              </w:rPr>
              <w:t>Personer</w:t>
            </w:r>
          </w:p>
        </w:tc>
        <w:tc>
          <w:tcPr>
            <w:tcW w:w="850" w:type="dxa"/>
            <w:vMerge w:val="restart"/>
          </w:tcPr>
          <w:p w14:paraId="3B4CBDA3"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Personer/ hushåll</w:t>
            </w:r>
          </w:p>
        </w:tc>
        <w:tc>
          <w:tcPr>
            <w:tcW w:w="851" w:type="dxa"/>
            <w:vMerge w:val="restart"/>
          </w:tcPr>
          <w:p w14:paraId="0A13E079"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Boarea/ person</w:t>
            </w:r>
          </w:p>
        </w:tc>
        <w:tc>
          <w:tcPr>
            <w:tcW w:w="2024" w:type="dxa"/>
            <w:gridSpan w:val="2"/>
          </w:tcPr>
          <w:p w14:paraId="379735A9"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Andel hushåll</w:t>
            </w:r>
          </w:p>
        </w:tc>
      </w:tr>
      <w:tr w:rsidR="00117C0D" w:rsidRPr="003954D9" w14:paraId="7F12A428" w14:textId="77777777" w:rsidTr="00117C0D">
        <w:trPr>
          <w:trHeight w:val="227"/>
        </w:trPr>
        <w:tc>
          <w:tcPr>
            <w:tcW w:w="2015" w:type="dxa"/>
            <w:vMerge/>
          </w:tcPr>
          <w:p w14:paraId="71A4B1B2" w14:textId="77777777" w:rsidR="00117C0D" w:rsidRPr="003954D9" w:rsidRDefault="00117C0D" w:rsidP="00117C0D">
            <w:pPr>
              <w:autoSpaceDE w:val="0"/>
              <w:autoSpaceDN w:val="0"/>
              <w:adjustRightInd w:val="0"/>
              <w:jc w:val="right"/>
              <w:rPr>
                <w:rFonts w:ascii="Calibri" w:eastAsiaTheme="minorHAnsi" w:hAnsi="Calibri" w:cs="Calibri"/>
                <w:b/>
                <w:bCs/>
                <w:color w:val="000000"/>
                <w:sz w:val="16"/>
                <w:szCs w:val="16"/>
                <w:lang w:eastAsia="en-US"/>
              </w:rPr>
            </w:pPr>
          </w:p>
        </w:tc>
        <w:tc>
          <w:tcPr>
            <w:tcW w:w="709" w:type="dxa"/>
          </w:tcPr>
          <w:p w14:paraId="5641EF60"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w:t>
            </w:r>
          </w:p>
        </w:tc>
        <w:tc>
          <w:tcPr>
            <w:tcW w:w="708" w:type="dxa"/>
          </w:tcPr>
          <w:p w14:paraId="3A891D80" w14:textId="2D45092C" w:rsidR="00117C0D" w:rsidRPr="003954D9" w:rsidRDefault="00D37D9E" w:rsidP="00117C0D">
            <w:pPr>
              <w:autoSpaceDE w:val="0"/>
              <w:autoSpaceDN w:val="0"/>
              <w:adjustRightInd w:val="0"/>
              <w:rPr>
                <w:rFonts w:ascii="Calibri" w:eastAsiaTheme="minorHAnsi" w:hAnsi="Calibri" w:cs="Calibri"/>
                <w:b/>
                <w:bCs/>
                <w:color w:val="000000"/>
                <w:sz w:val="16"/>
                <w:szCs w:val="16"/>
                <w:lang w:eastAsia="en-US"/>
              </w:rPr>
            </w:pPr>
            <w:r>
              <w:rPr>
                <w:rFonts w:ascii="Calibri" w:eastAsiaTheme="minorHAnsi" w:hAnsi="Calibri" w:cs="Calibri"/>
                <w:b/>
                <w:bCs/>
                <w:color w:val="000000"/>
                <w:sz w:val="16"/>
                <w:szCs w:val="16"/>
                <w:lang w:eastAsia="en-US"/>
              </w:rPr>
              <w:t>%</w:t>
            </w:r>
          </w:p>
        </w:tc>
        <w:tc>
          <w:tcPr>
            <w:tcW w:w="851" w:type="dxa"/>
          </w:tcPr>
          <w:p w14:paraId="393D995B"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w:t>
            </w:r>
          </w:p>
        </w:tc>
        <w:tc>
          <w:tcPr>
            <w:tcW w:w="709" w:type="dxa"/>
          </w:tcPr>
          <w:p w14:paraId="0B311A71" w14:textId="0B32D168" w:rsidR="00117C0D" w:rsidRPr="003954D9" w:rsidRDefault="00D37D9E" w:rsidP="00117C0D">
            <w:pPr>
              <w:autoSpaceDE w:val="0"/>
              <w:autoSpaceDN w:val="0"/>
              <w:adjustRightInd w:val="0"/>
              <w:rPr>
                <w:rFonts w:ascii="Calibri" w:eastAsiaTheme="minorHAnsi" w:hAnsi="Calibri" w:cs="Calibri"/>
                <w:b/>
                <w:bCs/>
                <w:color w:val="000000"/>
                <w:sz w:val="16"/>
                <w:szCs w:val="16"/>
                <w:lang w:eastAsia="en-US"/>
              </w:rPr>
            </w:pPr>
            <w:r>
              <w:rPr>
                <w:rFonts w:ascii="Calibri" w:eastAsiaTheme="minorHAnsi" w:hAnsi="Calibri" w:cs="Calibri"/>
                <w:b/>
                <w:bCs/>
                <w:color w:val="000000"/>
                <w:sz w:val="16"/>
                <w:szCs w:val="16"/>
                <w:lang w:eastAsia="en-US"/>
              </w:rPr>
              <w:t>%</w:t>
            </w:r>
          </w:p>
        </w:tc>
        <w:tc>
          <w:tcPr>
            <w:tcW w:w="850" w:type="dxa"/>
            <w:vMerge/>
          </w:tcPr>
          <w:p w14:paraId="75D0277B" w14:textId="77777777" w:rsidR="00117C0D" w:rsidRPr="003954D9" w:rsidRDefault="00117C0D" w:rsidP="00117C0D">
            <w:pPr>
              <w:autoSpaceDE w:val="0"/>
              <w:autoSpaceDN w:val="0"/>
              <w:adjustRightInd w:val="0"/>
              <w:jc w:val="right"/>
              <w:rPr>
                <w:rFonts w:ascii="Calibri" w:eastAsiaTheme="minorHAnsi" w:hAnsi="Calibri" w:cs="Calibri"/>
                <w:b/>
                <w:bCs/>
                <w:color w:val="000000"/>
                <w:sz w:val="16"/>
                <w:szCs w:val="16"/>
                <w:lang w:eastAsia="en-US"/>
              </w:rPr>
            </w:pPr>
          </w:p>
        </w:tc>
        <w:tc>
          <w:tcPr>
            <w:tcW w:w="851" w:type="dxa"/>
            <w:vMerge/>
          </w:tcPr>
          <w:p w14:paraId="4D878FFF" w14:textId="77777777" w:rsidR="00117C0D" w:rsidRPr="003954D9" w:rsidRDefault="00117C0D" w:rsidP="00117C0D">
            <w:pPr>
              <w:autoSpaceDE w:val="0"/>
              <w:autoSpaceDN w:val="0"/>
              <w:adjustRightInd w:val="0"/>
              <w:jc w:val="right"/>
              <w:rPr>
                <w:rFonts w:ascii="Calibri" w:eastAsiaTheme="minorHAnsi" w:hAnsi="Calibri" w:cs="Calibri"/>
                <w:b/>
                <w:bCs/>
                <w:color w:val="000000"/>
                <w:sz w:val="16"/>
                <w:szCs w:val="16"/>
                <w:lang w:eastAsia="en-US"/>
              </w:rPr>
            </w:pPr>
          </w:p>
        </w:tc>
        <w:tc>
          <w:tcPr>
            <w:tcW w:w="992" w:type="dxa"/>
          </w:tcPr>
          <w:p w14:paraId="64ABFC48"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med barn</w:t>
            </w:r>
          </w:p>
        </w:tc>
        <w:tc>
          <w:tcPr>
            <w:tcW w:w="1032" w:type="dxa"/>
          </w:tcPr>
          <w:p w14:paraId="34FA3D69"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utan barn</w:t>
            </w:r>
          </w:p>
        </w:tc>
      </w:tr>
      <w:tr w:rsidR="00117C0D" w:rsidRPr="003954D9" w14:paraId="7E713BDE" w14:textId="77777777" w:rsidTr="00117C0D">
        <w:trPr>
          <w:trHeight w:val="227"/>
        </w:trPr>
        <w:tc>
          <w:tcPr>
            <w:tcW w:w="2015" w:type="dxa"/>
          </w:tcPr>
          <w:p w14:paraId="09308985"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Angered</w:t>
            </w:r>
          </w:p>
        </w:tc>
        <w:tc>
          <w:tcPr>
            <w:tcW w:w="709" w:type="dxa"/>
          </w:tcPr>
          <w:p w14:paraId="261877E1" w14:textId="77777777" w:rsidR="00117C0D" w:rsidRPr="003954D9" w:rsidRDefault="00117C0D" w:rsidP="00117C0D">
            <w:pPr>
              <w:autoSpaceDE w:val="0"/>
              <w:autoSpaceDN w:val="0"/>
              <w:adjustRightInd w:val="0"/>
              <w:jc w:val="right"/>
              <w:rPr>
                <w:rFonts w:ascii="Calibri" w:eastAsiaTheme="minorHAnsi" w:hAnsi="Calibri" w:cs="Calibri"/>
                <w:b/>
                <w:bCs/>
                <w:color w:val="FF0000"/>
                <w:sz w:val="16"/>
                <w:szCs w:val="16"/>
                <w:lang w:eastAsia="en-US"/>
              </w:rPr>
            </w:pPr>
            <w:r w:rsidRPr="003954D9">
              <w:rPr>
                <w:rFonts w:ascii="Calibri" w:eastAsiaTheme="minorHAnsi" w:hAnsi="Calibri" w:cs="Calibri"/>
                <w:b/>
                <w:bCs/>
                <w:color w:val="FF0000"/>
                <w:sz w:val="16"/>
                <w:szCs w:val="16"/>
                <w:lang w:eastAsia="en-US"/>
              </w:rPr>
              <w:t>4 480</w:t>
            </w:r>
          </w:p>
        </w:tc>
        <w:tc>
          <w:tcPr>
            <w:tcW w:w="708" w:type="dxa"/>
          </w:tcPr>
          <w:p w14:paraId="13BBADEF" w14:textId="77777777" w:rsidR="00117C0D" w:rsidRPr="003954D9" w:rsidRDefault="00117C0D" w:rsidP="00117C0D">
            <w:pPr>
              <w:autoSpaceDE w:val="0"/>
              <w:autoSpaceDN w:val="0"/>
              <w:adjustRightInd w:val="0"/>
              <w:jc w:val="right"/>
              <w:rPr>
                <w:rFonts w:ascii="Calibri" w:eastAsiaTheme="minorHAnsi" w:hAnsi="Calibri" w:cs="Calibri"/>
                <w:b/>
                <w:bCs/>
                <w:color w:val="FF0000"/>
                <w:sz w:val="16"/>
                <w:szCs w:val="16"/>
                <w:lang w:eastAsia="en-US"/>
              </w:rPr>
            </w:pPr>
            <w:r w:rsidRPr="003954D9">
              <w:rPr>
                <w:rFonts w:ascii="Calibri" w:eastAsiaTheme="minorHAnsi" w:hAnsi="Calibri" w:cs="Calibri"/>
                <w:b/>
                <w:bCs/>
                <w:color w:val="FF0000"/>
                <w:sz w:val="16"/>
                <w:szCs w:val="16"/>
                <w:lang w:eastAsia="en-US"/>
              </w:rPr>
              <w:t>19,4</w:t>
            </w:r>
          </w:p>
        </w:tc>
        <w:tc>
          <w:tcPr>
            <w:tcW w:w="851" w:type="dxa"/>
          </w:tcPr>
          <w:p w14:paraId="220C7055" w14:textId="77777777" w:rsidR="00117C0D" w:rsidRPr="003954D9" w:rsidRDefault="00117C0D" w:rsidP="00117C0D">
            <w:pPr>
              <w:autoSpaceDE w:val="0"/>
              <w:autoSpaceDN w:val="0"/>
              <w:adjustRightInd w:val="0"/>
              <w:jc w:val="right"/>
              <w:rPr>
                <w:rFonts w:ascii="Calibri" w:eastAsiaTheme="minorHAnsi" w:hAnsi="Calibri" w:cs="Calibri"/>
                <w:b/>
                <w:bCs/>
                <w:color w:val="FF0000"/>
                <w:sz w:val="16"/>
                <w:szCs w:val="16"/>
                <w:lang w:eastAsia="en-US"/>
              </w:rPr>
            </w:pPr>
            <w:r w:rsidRPr="003954D9">
              <w:rPr>
                <w:rFonts w:ascii="Calibri" w:eastAsiaTheme="minorHAnsi" w:hAnsi="Calibri" w:cs="Calibri"/>
                <w:b/>
                <w:bCs/>
                <w:color w:val="FF0000"/>
                <w:sz w:val="16"/>
                <w:szCs w:val="16"/>
                <w:lang w:eastAsia="en-US"/>
              </w:rPr>
              <w:t>13 353</w:t>
            </w:r>
          </w:p>
        </w:tc>
        <w:tc>
          <w:tcPr>
            <w:tcW w:w="709" w:type="dxa"/>
          </w:tcPr>
          <w:p w14:paraId="523E43CC" w14:textId="77777777" w:rsidR="00117C0D" w:rsidRPr="003954D9" w:rsidRDefault="00117C0D" w:rsidP="00117C0D">
            <w:pPr>
              <w:autoSpaceDE w:val="0"/>
              <w:autoSpaceDN w:val="0"/>
              <w:adjustRightInd w:val="0"/>
              <w:jc w:val="right"/>
              <w:rPr>
                <w:rFonts w:ascii="Calibri" w:eastAsiaTheme="minorHAnsi" w:hAnsi="Calibri" w:cs="Calibri"/>
                <w:b/>
                <w:bCs/>
                <w:color w:val="FF0000"/>
                <w:sz w:val="16"/>
                <w:szCs w:val="16"/>
                <w:lang w:eastAsia="en-US"/>
              </w:rPr>
            </w:pPr>
            <w:r w:rsidRPr="003954D9">
              <w:rPr>
                <w:rFonts w:ascii="Calibri" w:eastAsiaTheme="minorHAnsi" w:hAnsi="Calibri" w:cs="Calibri"/>
                <w:b/>
                <w:bCs/>
                <w:color w:val="FF0000"/>
                <w:sz w:val="16"/>
                <w:szCs w:val="16"/>
                <w:lang w:eastAsia="en-US"/>
              </w:rPr>
              <w:t>26,0</w:t>
            </w:r>
          </w:p>
        </w:tc>
        <w:tc>
          <w:tcPr>
            <w:tcW w:w="850" w:type="dxa"/>
          </w:tcPr>
          <w:p w14:paraId="39BBB78F" w14:textId="77777777" w:rsidR="00117C0D" w:rsidRPr="003954D9" w:rsidRDefault="00117C0D" w:rsidP="00117C0D">
            <w:pPr>
              <w:autoSpaceDE w:val="0"/>
              <w:autoSpaceDN w:val="0"/>
              <w:adjustRightInd w:val="0"/>
              <w:jc w:val="right"/>
              <w:rPr>
                <w:rFonts w:ascii="Calibri" w:eastAsiaTheme="minorHAnsi" w:hAnsi="Calibri" w:cs="Calibri"/>
                <w:b/>
                <w:bCs/>
                <w:color w:val="FF0000"/>
                <w:sz w:val="16"/>
                <w:szCs w:val="16"/>
                <w:lang w:eastAsia="en-US"/>
              </w:rPr>
            </w:pPr>
            <w:r w:rsidRPr="003954D9">
              <w:rPr>
                <w:rFonts w:ascii="Calibri" w:eastAsiaTheme="minorHAnsi" w:hAnsi="Calibri" w:cs="Calibri"/>
                <w:b/>
                <w:bCs/>
                <w:color w:val="FF0000"/>
                <w:sz w:val="16"/>
                <w:szCs w:val="16"/>
                <w:lang w:eastAsia="en-US"/>
              </w:rPr>
              <w:t>3,0</w:t>
            </w:r>
          </w:p>
        </w:tc>
        <w:tc>
          <w:tcPr>
            <w:tcW w:w="851" w:type="dxa"/>
          </w:tcPr>
          <w:p w14:paraId="717DC99B"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24,7</w:t>
            </w:r>
          </w:p>
        </w:tc>
        <w:tc>
          <w:tcPr>
            <w:tcW w:w="992" w:type="dxa"/>
          </w:tcPr>
          <w:p w14:paraId="01AC254A" w14:textId="77777777" w:rsidR="00117C0D" w:rsidRPr="003954D9" w:rsidRDefault="00117C0D" w:rsidP="00117C0D">
            <w:pPr>
              <w:autoSpaceDE w:val="0"/>
              <w:autoSpaceDN w:val="0"/>
              <w:adjustRightInd w:val="0"/>
              <w:jc w:val="right"/>
              <w:rPr>
                <w:rFonts w:ascii="Calibri" w:eastAsiaTheme="minorHAnsi" w:hAnsi="Calibri" w:cs="Calibri"/>
                <w:b/>
                <w:bCs/>
                <w:color w:val="FF0000"/>
                <w:sz w:val="16"/>
                <w:szCs w:val="16"/>
                <w:lang w:eastAsia="en-US"/>
              </w:rPr>
            </w:pPr>
            <w:r w:rsidRPr="003954D9">
              <w:rPr>
                <w:rFonts w:ascii="Calibri" w:eastAsiaTheme="minorHAnsi" w:hAnsi="Calibri" w:cs="Calibri"/>
                <w:b/>
                <w:bCs/>
                <w:color w:val="FF0000"/>
                <w:sz w:val="16"/>
                <w:szCs w:val="16"/>
                <w:lang w:eastAsia="en-US"/>
              </w:rPr>
              <w:t>49,3</w:t>
            </w:r>
          </w:p>
        </w:tc>
        <w:tc>
          <w:tcPr>
            <w:tcW w:w="1032" w:type="dxa"/>
          </w:tcPr>
          <w:p w14:paraId="441F439A"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50,7</w:t>
            </w:r>
          </w:p>
        </w:tc>
      </w:tr>
      <w:tr w:rsidR="00117C0D" w:rsidRPr="003954D9" w14:paraId="3C2CEE18" w14:textId="77777777" w:rsidTr="00117C0D">
        <w:trPr>
          <w:trHeight w:val="227"/>
        </w:trPr>
        <w:tc>
          <w:tcPr>
            <w:tcW w:w="2015" w:type="dxa"/>
          </w:tcPr>
          <w:p w14:paraId="5912AB15"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Askim-Frölunda-Högsbo</w:t>
            </w:r>
          </w:p>
        </w:tc>
        <w:tc>
          <w:tcPr>
            <w:tcW w:w="709" w:type="dxa"/>
          </w:tcPr>
          <w:p w14:paraId="3C3A332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2 390</w:t>
            </w:r>
          </w:p>
        </w:tc>
        <w:tc>
          <w:tcPr>
            <w:tcW w:w="708" w:type="dxa"/>
          </w:tcPr>
          <w:p w14:paraId="1FC90F9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10,4</w:t>
            </w:r>
          </w:p>
        </w:tc>
        <w:tc>
          <w:tcPr>
            <w:tcW w:w="851" w:type="dxa"/>
          </w:tcPr>
          <w:p w14:paraId="7F673AE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4 975</w:t>
            </w:r>
          </w:p>
        </w:tc>
        <w:tc>
          <w:tcPr>
            <w:tcW w:w="709" w:type="dxa"/>
          </w:tcPr>
          <w:p w14:paraId="364C0BE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9,7</w:t>
            </w:r>
          </w:p>
        </w:tc>
        <w:tc>
          <w:tcPr>
            <w:tcW w:w="850" w:type="dxa"/>
          </w:tcPr>
          <w:p w14:paraId="1E71A88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w:t>
            </w:r>
          </w:p>
        </w:tc>
        <w:tc>
          <w:tcPr>
            <w:tcW w:w="851" w:type="dxa"/>
          </w:tcPr>
          <w:p w14:paraId="095A6C4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33,6</w:t>
            </w:r>
          </w:p>
        </w:tc>
        <w:tc>
          <w:tcPr>
            <w:tcW w:w="992" w:type="dxa"/>
          </w:tcPr>
          <w:p w14:paraId="6CF8AC9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33,6</w:t>
            </w:r>
          </w:p>
        </w:tc>
        <w:tc>
          <w:tcPr>
            <w:tcW w:w="1032" w:type="dxa"/>
          </w:tcPr>
          <w:p w14:paraId="1B02240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66,4</w:t>
            </w:r>
          </w:p>
        </w:tc>
      </w:tr>
      <w:tr w:rsidR="00117C0D" w:rsidRPr="003954D9" w14:paraId="3C75FF51" w14:textId="77777777" w:rsidTr="00117C0D">
        <w:trPr>
          <w:trHeight w:val="227"/>
        </w:trPr>
        <w:tc>
          <w:tcPr>
            <w:tcW w:w="2015" w:type="dxa"/>
          </w:tcPr>
          <w:p w14:paraId="22B6E87C"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Centrum</w:t>
            </w:r>
          </w:p>
        </w:tc>
        <w:tc>
          <w:tcPr>
            <w:tcW w:w="709" w:type="dxa"/>
          </w:tcPr>
          <w:p w14:paraId="5E01A7C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2 060</w:t>
            </w:r>
          </w:p>
        </w:tc>
        <w:tc>
          <w:tcPr>
            <w:tcW w:w="708" w:type="dxa"/>
          </w:tcPr>
          <w:p w14:paraId="008D4E4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8,9</w:t>
            </w:r>
          </w:p>
        </w:tc>
        <w:tc>
          <w:tcPr>
            <w:tcW w:w="851" w:type="dxa"/>
          </w:tcPr>
          <w:p w14:paraId="48002E3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3 464</w:t>
            </w:r>
          </w:p>
        </w:tc>
        <w:tc>
          <w:tcPr>
            <w:tcW w:w="709" w:type="dxa"/>
          </w:tcPr>
          <w:p w14:paraId="49F8DD1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6,7</w:t>
            </w:r>
          </w:p>
        </w:tc>
        <w:tc>
          <w:tcPr>
            <w:tcW w:w="850" w:type="dxa"/>
          </w:tcPr>
          <w:p w14:paraId="6B460DF2"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1,7</w:t>
            </w:r>
          </w:p>
        </w:tc>
        <w:tc>
          <w:tcPr>
            <w:tcW w:w="851" w:type="dxa"/>
          </w:tcPr>
          <w:p w14:paraId="7991FA4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34,0</w:t>
            </w:r>
          </w:p>
        </w:tc>
        <w:tc>
          <w:tcPr>
            <w:tcW w:w="992" w:type="dxa"/>
          </w:tcPr>
          <w:p w14:paraId="703AFE8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20,5</w:t>
            </w:r>
          </w:p>
        </w:tc>
        <w:tc>
          <w:tcPr>
            <w:tcW w:w="1032" w:type="dxa"/>
          </w:tcPr>
          <w:p w14:paraId="2244978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79,5</w:t>
            </w:r>
          </w:p>
        </w:tc>
      </w:tr>
      <w:tr w:rsidR="00117C0D" w:rsidRPr="003954D9" w14:paraId="09388641" w14:textId="77777777" w:rsidTr="00117C0D">
        <w:trPr>
          <w:trHeight w:val="227"/>
        </w:trPr>
        <w:tc>
          <w:tcPr>
            <w:tcW w:w="2015" w:type="dxa"/>
          </w:tcPr>
          <w:p w14:paraId="15D0A823"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Lundby</w:t>
            </w:r>
          </w:p>
        </w:tc>
        <w:tc>
          <w:tcPr>
            <w:tcW w:w="709" w:type="dxa"/>
          </w:tcPr>
          <w:p w14:paraId="00CEF4C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908</w:t>
            </w:r>
          </w:p>
        </w:tc>
        <w:tc>
          <w:tcPr>
            <w:tcW w:w="708" w:type="dxa"/>
          </w:tcPr>
          <w:p w14:paraId="1E9204C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3,9</w:t>
            </w:r>
          </w:p>
        </w:tc>
        <w:tc>
          <w:tcPr>
            <w:tcW w:w="851" w:type="dxa"/>
          </w:tcPr>
          <w:p w14:paraId="62CE623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1 608</w:t>
            </w:r>
          </w:p>
        </w:tc>
        <w:tc>
          <w:tcPr>
            <w:tcW w:w="709" w:type="dxa"/>
          </w:tcPr>
          <w:p w14:paraId="229AE37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w:t>
            </w:r>
          </w:p>
        </w:tc>
        <w:tc>
          <w:tcPr>
            <w:tcW w:w="850" w:type="dxa"/>
          </w:tcPr>
          <w:p w14:paraId="2B14F13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w:t>
            </w:r>
          </w:p>
        </w:tc>
        <w:tc>
          <w:tcPr>
            <w:tcW w:w="851" w:type="dxa"/>
          </w:tcPr>
          <w:p w14:paraId="5D77CD6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26,5</w:t>
            </w:r>
          </w:p>
        </w:tc>
        <w:tc>
          <w:tcPr>
            <w:tcW w:w="992" w:type="dxa"/>
          </w:tcPr>
          <w:p w14:paraId="580F1E17"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18,1</w:t>
            </w:r>
          </w:p>
        </w:tc>
        <w:tc>
          <w:tcPr>
            <w:tcW w:w="1032" w:type="dxa"/>
          </w:tcPr>
          <w:p w14:paraId="57022B00" w14:textId="77777777" w:rsidR="00117C0D" w:rsidRPr="003954D9" w:rsidRDefault="00117C0D" w:rsidP="00117C0D">
            <w:pPr>
              <w:autoSpaceDE w:val="0"/>
              <w:autoSpaceDN w:val="0"/>
              <w:adjustRightInd w:val="0"/>
              <w:jc w:val="right"/>
              <w:rPr>
                <w:rFonts w:ascii="Calibri" w:eastAsiaTheme="minorHAnsi" w:hAnsi="Calibri" w:cs="Calibri"/>
                <w:b/>
                <w:bCs/>
                <w:color w:val="FF0000"/>
                <w:sz w:val="16"/>
                <w:szCs w:val="16"/>
                <w:lang w:eastAsia="en-US"/>
              </w:rPr>
            </w:pPr>
            <w:r w:rsidRPr="003954D9">
              <w:rPr>
                <w:rFonts w:ascii="Calibri" w:eastAsiaTheme="minorHAnsi" w:hAnsi="Calibri" w:cs="Calibri"/>
                <w:b/>
                <w:bCs/>
                <w:color w:val="FF0000"/>
                <w:sz w:val="16"/>
                <w:szCs w:val="16"/>
                <w:lang w:eastAsia="en-US"/>
              </w:rPr>
              <w:t>81,9</w:t>
            </w:r>
          </w:p>
        </w:tc>
      </w:tr>
      <w:tr w:rsidR="00117C0D" w:rsidRPr="003954D9" w14:paraId="19102C32" w14:textId="77777777" w:rsidTr="00117C0D">
        <w:trPr>
          <w:trHeight w:val="227"/>
        </w:trPr>
        <w:tc>
          <w:tcPr>
            <w:tcW w:w="2015" w:type="dxa"/>
          </w:tcPr>
          <w:p w14:paraId="58832AA0" w14:textId="01F0BEB3"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Majorna-</w:t>
            </w:r>
            <w:r w:rsidR="00CD1C48" w:rsidRPr="003954D9">
              <w:rPr>
                <w:rFonts w:ascii="Calibri" w:eastAsiaTheme="minorHAnsi" w:hAnsi="Calibri" w:cs="Calibri"/>
                <w:b/>
                <w:color w:val="000000"/>
                <w:sz w:val="16"/>
                <w:szCs w:val="16"/>
                <w:lang w:eastAsia="en-US"/>
              </w:rPr>
              <w:t>Linné</w:t>
            </w:r>
          </w:p>
        </w:tc>
        <w:tc>
          <w:tcPr>
            <w:tcW w:w="709" w:type="dxa"/>
          </w:tcPr>
          <w:p w14:paraId="3B07331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2 651</w:t>
            </w:r>
          </w:p>
        </w:tc>
        <w:tc>
          <w:tcPr>
            <w:tcW w:w="708" w:type="dxa"/>
          </w:tcPr>
          <w:p w14:paraId="1E40A41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11,5</w:t>
            </w:r>
          </w:p>
        </w:tc>
        <w:tc>
          <w:tcPr>
            <w:tcW w:w="851" w:type="dxa"/>
          </w:tcPr>
          <w:p w14:paraId="30E40E4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4 579</w:t>
            </w:r>
          </w:p>
        </w:tc>
        <w:tc>
          <w:tcPr>
            <w:tcW w:w="709" w:type="dxa"/>
          </w:tcPr>
          <w:p w14:paraId="3804804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8,9</w:t>
            </w:r>
          </w:p>
        </w:tc>
        <w:tc>
          <w:tcPr>
            <w:tcW w:w="850" w:type="dxa"/>
          </w:tcPr>
          <w:p w14:paraId="1FBAE0E4"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1,7</w:t>
            </w:r>
          </w:p>
        </w:tc>
        <w:tc>
          <w:tcPr>
            <w:tcW w:w="851" w:type="dxa"/>
          </w:tcPr>
          <w:p w14:paraId="5F52594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35,7</w:t>
            </w:r>
          </w:p>
        </w:tc>
        <w:tc>
          <w:tcPr>
            <w:tcW w:w="992" w:type="dxa"/>
          </w:tcPr>
          <w:p w14:paraId="7537D97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21,2</w:t>
            </w:r>
          </w:p>
        </w:tc>
        <w:tc>
          <w:tcPr>
            <w:tcW w:w="1032" w:type="dxa"/>
          </w:tcPr>
          <w:p w14:paraId="7A9DF6C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78,8</w:t>
            </w:r>
          </w:p>
        </w:tc>
      </w:tr>
      <w:tr w:rsidR="00117C0D" w:rsidRPr="003954D9" w14:paraId="372EB111" w14:textId="77777777" w:rsidTr="00117C0D">
        <w:trPr>
          <w:trHeight w:val="227"/>
        </w:trPr>
        <w:tc>
          <w:tcPr>
            <w:tcW w:w="2015" w:type="dxa"/>
          </w:tcPr>
          <w:p w14:paraId="1C7C4B2A"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Norra Hisingen</w:t>
            </w:r>
          </w:p>
        </w:tc>
        <w:tc>
          <w:tcPr>
            <w:tcW w:w="709" w:type="dxa"/>
          </w:tcPr>
          <w:p w14:paraId="675C4B4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1 385</w:t>
            </w:r>
          </w:p>
        </w:tc>
        <w:tc>
          <w:tcPr>
            <w:tcW w:w="708" w:type="dxa"/>
          </w:tcPr>
          <w:p w14:paraId="5AC16F8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6,0</w:t>
            </w:r>
          </w:p>
        </w:tc>
        <w:tc>
          <w:tcPr>
            <w:tcW w:w="851" w:type="dxa"/>
          </w:tcPr>
          <w:p w14:paraId="49E1AFB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2 926</w:t>
            </w:r>
          </w:p>
        </w:tc>
        <w:tc>
          <w:tcPr>
            <w:tcW w:w="709" w:type="dxa"/>
          </w:tcPr>
          <w:p w14:paraId="721E04F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5,7</w:t>
            </w:r>
          </w:p>
        </w:tc>
        <w:tc>
          <w:tcPr>
            <w:tcW w:w="850" w:type="dxa"/>
          </w:tcPr>
          <w:p w14:paraId="04B19EF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w:t>
            </w:r>
          </w:p>
        </w:tc>
        <w:tc>
          <w:tcPr>
            <w:tcW w:w="851" w:type="dxa"/>
          </w:tcPr>
          <w:p w14:paraId="2D2C7A1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29,3</w:t>
            </w:r>
          </w:p>
        </w:tc>
        <w:tc>
          <w:tcPr>
            <w:tcW w:w="992" w:type="dxa"/>
          </w:tcPr>
          <w:p w14:paraId="1E55AB9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32,5</w:t>
            </w:r>
          </w:p>
        </w:tc>
        <w:tc>
          <w:tcPr>
            <w:tcW w:w="1032" w:type="dxa"/>
          </w:tcPr>
          <w:p w14:paraId="57A384E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67,5</w:t>
            </w:r>
          </w:p>
        </w:tc>
      </w:tr>
      <w:tr w:rsidR="00117C0D" w:rsidRPr="003954D9" w14:paraId="4F91845E" w14:textId="77777777" w:rsidTr="00117C0D">
        <w:trPr>
          <w:trHeight w:val="227"/>
        </w:trPr>
        <w:tc>
          <w:tcPr>
            <w:tcW w:w="2015" w:type="dxa"/>
          </w:tcPr>
          <w:p w14:paraId="154BAB86"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Västra Hisingen</w:t>
            </w:r>
          </w:p>
        </w:tc>
        <w:tc>
          <w:tcPr>
            <w:tcW w:w="709" w:type="dxa"/>
          </w:tcPr>
          <w:p w14:paraId="12FFFF1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2 790</w:t>
            </w:r>
          </w:p>
        </w:tc>
        <w:tc>
          <w:tcPr>
            <w:tcW w:w="708" w:type="dxa"/>
          </w:tcPr>
          <w:p w14:paraId="01E8B1F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12,1</w:t>
            </w:r>
          </w:p>
        </w:tc>
        <w:tc>
          <w:tcPr>
            <w:tcW w:w="851" w:type="dxa"/>
          </w:tcPr>
          <w:p w14:paraId="56FF866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6 977</w:t>
            </w:r>
          </w:p>
        </w:tc>
        <w:tc>
          <w:tcPr>
            <w:tcW w:w="709" w:type="dxa"/>
          </w:tcPr>
          <w:p w14:paraId="23D3F01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13,6</w:t>
            </w:r>
          </w:p>
        </w:tc>
        <w:tc>
          <w:tcPr>
            <w:tcW w:w="850" w:type="dxa"/>
          </w:tcPr>
          <w:p w14:paraId="14AD941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w:t>
            </w:r>
          </w:p>
        </w:tc>
        <w:tc>
          <w:tcPr>
            <w:tcW w:w="851" w:type="dxa"/>
          </w:tcPr>
          <w:p w14:paraId="62162C7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26,3</w:t>
            </w:r>
          </w:p>
        </w:tc>
        <w:tc>
          <w:tcPr>
            <w:tcW w:w="992" w:type="dxa"/>
          </w:tcPr>
          <w:p w14:paraId="07B588D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38,7</w:t>
            </w:r>
          </w:p>
        </w:tc>
        <w:tc>
          <w:tcPr>
            <w:tcW w:w="1032" w:type="dxa"/>
          </w:tcPr>
          <w:p w14:paraId="5A50246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61,3</w:t>
            </w:r>
          </w:p>
        </w:tc>
      </w:tr>
      <w:tr w:rsidR="00117C0D" w:rsidRPr="003954D9" w14:paraId="76AE8DFB" w14:textId="77777777" w:rsidTr="00117C0D">
        <w:trPr>
          <w:trHeight w:val="227"/>
        </w:trPr>
        <w:tc>
          <w:tcPr>
            <w:tcW w:w="2015" w:type="dxa"/>
          </w:tcPr>
          <w:p w14:paraId="1C8FFB25"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Örgryte-Härlanda</w:t>
            </w:r>
          </w:p>
        </w:tc>
        <w:tc>
          <w:tcPr>
            <w:tcW w:w="709" w:type="dxa"/>
          </w:tcPr>
          <w:p w14:paraId="5AA26A9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2 589</w:t>
            </w:r>
          </w:p>
        </w:tc>
        <w:tc>
          <w:tcPr>
            <w:tcW w:w="708" w:type="dxa"/>
          </w:tcPr>
          <w:p w14:paraId="23E127B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11,2</w:t>
            </w:r>
          </w:p>
        </w:tc>
        <w:tc>
          <w:tcPr>
            <w:tcW w:w="851" w:type="dxa"/>
          </w:tcPr>
          <w:p w14:paraId="0FBE263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4 859</w:t>
            </w:r>
          </w:p>
        </w:tc>
        <w:tc>
          <w:tcPr>
            <w:tcW w:w="709" w:type="dxa"/>
          </w:tcPr>
          <w:p w14:paraId="0CCC304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9,4</w:t>
            </w:r>
          </w:p>
        </w:tc>
        <w:tc>
          <w:tcPr>
            <w:tcW w:w="850" w:type="dxa"/>
          </w:tcPr>
          <w:p w14:paraId="1064945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w:t>
            </w:r>
          </w:p>
        </w:tc>
        <w:tc>
          <w:tcPr>
            <w:tcW w:w="851" w:type="dxa"/>
          </w:tcPr>
          <w:p w14:paraId="7D9ACBA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33,8</w:t>
            </w:r>
          </w:p>
        </w:tc>
        <w:tc>
          <w:tcPr>
            <w:tcW w:w="992" w:type="dxa"/>
          </w:tcPr>
          <w:p w14:paraId="3684AD6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25,1</w:t>
            </w:r>
          </w:p>
        </w:tc>
        <w:tc>
          <w:tcPr>
            <w:tcW w:w="1032" w:type="dxa"/>
          </w:tcPr>
          <w:p w14:paraId="1AFCFE2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74,9</w:t>
            </w:r>
          </w:p>
        </w:tc>
      </w:tr>
      <w:tr w:rsidR="00117C0D" w:rsidRPr="003954D9" w14:paraId="3A8CD7C4" w14:textId="77777777" w:rsidTr="00117C0D">
        <w:trPr>
          <w:trHeight w:val="227"/>
        </w:trPr>
        <w:tc>
          <w:tcPr>
            <w:tcW w:w="2015" w:type="dxa"/>
          </w:tcPr>
          <w:p w14:paraId="2189CD66"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Västra Göteborg</w:t>
            </w:r>
          </w:p>
        </w:tc>
        <w:tc>
          <w:tcPr>
            <w:tcW w:w="709" w:type="dxa"/>
          </w:tcPr>
          <w:p w14:paraId="3E99753B"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317</w:t>
            </w:r>
          </w:p>
        </w:tc>
        <w:tc>
          <w:tcPr>
            <w:tcW w:w="708" w:type="dxa"/>
          </w:tcPr>
          <w:p w14:paraId="20333499"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1,4</w:t>
            </w:r>
          </w:p>
        </w:tc>
        <w:tc>
          <w:tcPr>
            <w:tcW w:w="851" w:type="dxa"/>
          </w:tcPr>
          <w:p w14:paraId="67759517"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661</w:t>
            </w:r>
          </w:p>
        </w:tc>
        <w:tc>
          <w:tcPr>
            <w:tcW w:w="709" w:type="dxa"/>
          </w:tcPr>
          <w:p w14:paraId="24E58673"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1,3</w:t>
            </w:r>
          </w:p>
        </w:tc>
        <w:tc>
          <w:tcPr>
            <w:tcW w:w="850" w:type="dxa"/>
          </w:tcPr>
          <w:p w14:paraId="14639D4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w:t>
            </w:r>
          </w:p>
        </w:tc>
        <w:tc>
          <w:tcPr>
            <w:tcW w:w="851" w:type="dxa"/>
          </w:tcPr>
          <w:p w14:paraId="4C949849"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36,3</w:t>
            </w:r>
          </w:p>
        </w:tc>
        <w:tc>
          <w:tcPr>
            <w:tcW w:w="992" w:type="dxa"/>
          </w:tcPr>
          <w:p w14:paraId="7BA301E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35,0</w:t>
            </w:r>
          </w:p>
        </w:tc>
        <w:tc>
          <w:tcPr>
            <w:tcW w:w="1032" w:type="dxa"/>
          </w:tcPr>
          <w:p w14:paraId="378D15D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65,0</w:t>
            </w:r>
          </w:p>
        </w:tc>
      </w:tr>
      <w:tr w:rsidR="00117C0D" w:rsidRPr="003954D9" w14:paraId="27A2724D" w14:textId="77777777" w:rsidTr="00117C0D">
        <w:trPr>
          <w:trHeight w:val="227"/>
        </w:trPr>
        <w:tc>
          <w:tcPr>
            <w:tcW w:w="2015" w:type="dxa"/>
          </w:tcPr>
          <w:p w14:paraId="483E462E"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Östra Göteborg</w:t>
            </w:r>
          </w:p>
        </w:tc>
        <w:tc>
          <w:tcPr>
            <w:tcW w:w="709" w:type="dxa"/>
          </w:tcPr>
          <w:p w14:paraId="1817339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3 482</w:t>
            </w:r>
          </w:p>
        </w:tc>
        <w:tc>
          <w:tcPr>
            <w:tcW w:w="708" w:type="dxa"/>
          </w:tcPr>
          <w:p w14:paraId="4D2322B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15,1</w:t>
            </w:r>
          </w:p>
        </w:tc>
        <w:tc>
          <w:tcPr>
            <w:tcW w:w="851" w:type="dxa"/>
          </w:tcPr>
          <w:p w14:paraId="57F8824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8 048</w:t>
            </w:r>
          </w:p>
        </w:tc>
        <w:tc>
          <w:tcPr>
            <w:tcW w:w="709" w:type="dxa"/>
          </w:tcPr>
          <w:p w14:paraId="73ABB56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15,6</w:t>
            </w:r>
          </w:p>
        </w:tc>
        <w:tc>
          <w:tcPr>
            <w:tcW w:w="850" w:type="dxa"/>
          </w:tcPr>
          <w:p w14:paraId="1D5B7D8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w:t>
            </w:r>
          </w:p>
        </w:tc>
        <w:tc>
          <w:tcPr>
            <w:tcW w:w="851" w:type="dxa"/>
          </w:tcPr>
          <w:p w14:paraId="59EA50D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27,7</w:t>
            </w:r>
          </w:p>
        </w:tc>
        <w:tc>
          <w:tcPr>
            <w:tcW w:w="992" w:type="dxa"/>
          </w:tcPr>
          <w:p w14:paraId="0D2B606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34,5</w:t>
            </w:r>
          </w:p>
        </w:tc>
        <w:tc>
          <w:tcPr>
            <w:tcW w:w="1032" w:type="dxa"/>
          </w:tcPr>
          <w:p w14:paraId="541E40A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65,5</w:t>
            </w:r>
          </w:p>
        </w:tc>
      </w:tr>
      <w:tr w:rsidR="00117C0D" w:rsidRPr="003954D9" w14:paraId="46F95843" w14:textId="77777777" w:rsidTr="00117C0D">
        <w:trPr>
          <w:trHeight w:val="227"/>
        </w:trPr>
        <w:tc>
          <w:tcPr>
            <w:tcW w:w="2015" w:type="dxa"/>
          </w:tcPr>
          <w:p w14:paraId="1E07B995"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Hela urvalet</w:t>
            </w:r>
          </w:p>
        </w:tc>
        <w:tc>
          <w:tcPr>
            <w:tcW w:w="709" w:type="dxa"/>
          </w:tcPr>
          <w:p w14:paraId="2967592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23 052</w:t>
            </w:r>
          </w:p>
        </w:tc>
        <w:tc>
          <w:tcPr>
            <w:tcW w:w="708" w:type="dxa"/>
          </w:tcPr>
          <w:p w14:paraId="7CD406B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51" w:type="dxa"/>
          </w:tcPr>
          <w:p w14:paraId="6D1229E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51 450</w:t>
            </w:r>
          </w:p>
        </w:tc>
        <w:tc>
          <w:tcPr>
            <w:tcW w:w="709" w:type="dxa"/>
          </w:tcPr>
          <w:p w14:paraId="6CDEE00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100,0</w:t>
            </w:r>
          </w:p>
        </w:tc>
        <w:tc>
          <w:tcPr>
            <w:tcW w:w="850" w:type="dxa"/>
          </w:tcPr>
          <w:p w14:paraId="3D456DA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w:t>
            </w:r>
          </w:p>
        </w:tc>
        <w:tc>
          <w:tcPr>
            <w:tcW w:w="851" w:type="dxa"/>
          </w:tcPr>
          <w:p w14:paraId="2B8C2B9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29,2</w:t>
            </w:r>
          </w:p>
        </w:tc>
        <w:tc>
          <w:tcPr>
            <w:tcW w:w="992" w:type="dxa"/>
          </w:tcPr>
          <w:p w14:paraId="3B70C86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33,2</w:t>
            </w:r>
          </w:p>
        </w:tc>
        <w:tc>
          <w:tcPr>
            <w:tcW w:w="1032" w:type="dxa"/>
          </w:tcPr>
          <w:p w14:paraId="70C4BFA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67,8</w:t>
            </w:r>
          </w:p>
        </w:tc>
      </w:tr>
    </w:tbl>
    <w:p w14:paraId="66BBE013" w14:textId="45FEF01B" w:rsidR="00117C0D" w:rsidRPr="003954D9" w:rsidRDefault="00FA26E0" w:rsidP="00117C0D">
      <w:pPr>
        <w:rPr>
          <w:sz w:val="23"/>
        </w:rPr>
      </w:pPr>
      <w:r w:rsidRPr="00155ABC">
        <w:rPr>
          <w:b/>
          <w:color w:val="FF6600"/>
          <w:sz w:val="16"/>
          <w:szCs w:val="16"/>
        </w:rPr>
        <w:t>Röd färg högsta</w:t>
      </w:r>
      <w:r w:rsidRPr="003954D9">
        <w:rPr>
          <w:color w:val="FF6600"/>
          <w:sz w:val="16"/>
          <w:szCs w:val="16"/>
        </w:rPr>
        <w:t xml:space="preserve"> </w:t>
      </w:r>
      <w:r w:rsidRPr="003954D9">
        <w:rPr>
          <w:sz w:val="16"/>
          <w:szCs w:val="16"/>
        </w:rPr>
        <w:t xml:space="preserve">och </w:t>
      </w:r>
      <w:r w:rsidRPr="00155ABC">
        <w:rPr>
          <w:b/>
          <w:color w:val="0070C0"/>
          <w:sz w:val="16"/>
          <w:szCs w:val="16"/>
        </w:rPr>
        <w:t>blå färg lägsta</w:t>
      </w:r>
      <w:r w:rsidRPr="00155ABC">
        <w:rPr>
          <w:color w:val="0070C0"/>
          <w:sz w:val="16"/>
          <w:szCs w:val="16"/>
        </w:rPr>
        <w:t xml:space="preserve"> </w:t>
      </w:r>
      <w:r w:rsidRPr="003954D9">
        <w:rPr>
          <w:sz w:val="16"/>
          <w:szCs w:val="16"/>
        </w:rPr>
        <w:t>värde i grupp</w:t>
      </w:r>
    </w:p>
    <w:p w14:paraId="50901BA8" w14:textId="77777777" w:rsidR="00117C0D" w:rsidRPr="003954D9" w:rsidRDefault="00117C0D" w:rsidP="00117C0D">
      <w:pPr>
        <w:spacing w:before="100" w:beforeAutospacing="1" w:after="100" w:afterAutospacing="1"/>
        <w:outlineLvl w:val="1"/>
        <w:rPr>
          <w:rFonts w:ascii="Times" w:hAnsi="Times"/>
          <w:b/>
          <w:bCs/>
          <w:color w:val="215868" w:themeColor="accent5" w:themeShade="80"/>
          <w:sz w:val="28"/>
          <w:szCs w:val="36"/>
        </w:rPr>
      </w:pPr>
      <w:r w:rsidRPr="003954D9">
        <w:rPr>
          <w:rFonts w:ascii="Times" w:hAnsi="Times"/>
          <w:b/>
          <w:bCs/>
          <w:color w:val="215868" w:themeColor="accent5" w:themeShade="80"/>
          <w:sz w:val="28"/>
          <w:szCs w:val="36"/>
        </w:rPr>
        <w:br w:type="page"/>
      </w:r>
    </w:p>
    <w:p w14:paraId="4381E54E" w14:textId="479A7F64" w:rsidR="00117C0D" w:rsidRPr="003954D9" w:rsidRDefault="00117C0D" w:rsidP="00117C0D">
      <w:pPr>
        <w:pStyle w:val="Rubrik2"/>
      </w:pPr>
      <w:bookmarkStart w:id="457" w:name="_Toc463184480"/>
      <w:bookmarkStart w:id="458" w:name="_Toc464828488"/>
      <w:r w:rsidRPr="003954D9">
        <w:lastRenderedPageBreak/>
        <w:t>Tabellerna 5:</w:t>
      </w:r>
      <w:r w:rsidR="00365C66" w:rsidRPr="003954D9">
        <w:t>1–5</w:t>
      </w:r>
      <w:r w:rsidRPr="003954D9">
        <w:t>:8</w:t>
      </w:r>
      <w:bookmarkEnd w:id="457"/>
      <w:bookmarkEnd w:id="458"/>
    </w:p>
    <w:p w14:paraId="6946C30A"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sz w:val="23"/>
        </w:rPr>
        <w:t>Tabell 5:1: Andel och antal i riskzonen efter hyreshöjning på 50 procent, hushållstyp och stadsdel</w:t>
      </w:r>
      <w:r w:rsidRPr="003954D9">
        <w:rPr>
          <w:rFonts w:asciiTheme="majorHAnsi" w:eastAsiaTheme="majorEastAsia" w:hAnsiTheme="majorHAnsi" w:cstheme="majorBidi"/>
          <w:color w:val="243F60" w:themeColor="accent1" w:themeShade="7F"/>
          <w:vertAlign w:val="superscript"/>
        </w:rPr>
        <w:footnoteReference w:id="83"/>
      </w:r>
    </w:p>
    <w:tbl>
      <w:tblPr>
        <w:tblW w:w="997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844"/>
        <w:gridCol w:w="863"/>
        <w:gridCol w:w="824"/>
        <w:gridCol w:w="711"/>
        <w:gridCol w:w="853"/>
        <w:gridCol w:w="852"/>
        <w:gridCol w:w="853"/>
        <w:gridCol w:w="852"/>
        <w:gridCol w:w="853"/>
        <w:gridCol w:w="852"/>
      </w:tblGrid>
      <w:tr w:rsidR="00117C0D" w:rsidRPr="003954D9" w14:paraId="67CE97F9" w14:textId="77777777" w:rsidTr="00117C0D">
        <w:trPr>
          <w:trHeight w:val="227"/>
        </w:trPr>
        <w:tc>
          <w:tcPr>
            <w:tcW w:w="1618" w:type="dxa"/>
          </w:tcPr>
          <w:p w14:paraId="5AB55170"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Hushållstyp</w:t>
            </w:r>
          </w:p>
        </w:tc>
        <w:tc>
          <w:tcPr>
            <w:tcW w:w="844" w:type="dxa"/>
          </w:tcPr>
          <w:p w14:paraId="79022AB9"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63" w:type="dxa"/>
          </w:tcPr>
          <w:p w14:paraId="632DF0C5"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Askim-Frölunda- Högsbo</w:t>
            </w:r>
          </w:p>
        </w:tc>
        <w:tc>
          <w:tcPr>
            <w:tcW w:w="824" w:type="dxa"/>
          </w:tcPr>
          <w:p w14:paraId="747A8F41"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11" w:type="dxa"/>
          </w:tcPr>
          <w:p w14:paraId="1CD69AB7"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53" w:type="dxa"/>
          </w:tcPr>
          <w:p w14:paraId="6FFA19BF"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 Linné</w:t>
            </w:r>
          </w:p>
        </w:tc>
        <w:tc>
          <w:tcPr>
            <w:tcW w:w="852" w:type="dxa"/>
          </w:tcPr>
          <w:p w14:paraId="68BAA839"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853" w:type="dxa"/>
          </w:tcPr>
          <w:p w14:paraId="5BD48C04"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852" w:type="dxa"/>
          </w:tcPr>
          <w:p w14:paraId="040C5238"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 Härlanda</w:t>
            </w:r>
          </w:p>
        </w:tc>
        <w:tc>
          <w:tcPr>
            <w:tcW w:w="853" w:type="dxa"/>
          </w:tcPr>
          <w:p w14:paraId="67BADCDF"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852" w:type="dxa"/>
          </w:tcPr>
          <w:p w14:paraId="06B84F80"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117C0D" w:rsidRPr="003954D9" w14:paraId="400A9B61" w14:textId="77777777" w:rsidTr="00117C0D">
        <w:trPr>
          <w:trHeight w:val="227"/>
        </w:trPr>
        <w:tc>
          <w:tcPr>
            <w:tcW w:w="1618" w:type="dxa"/>
          </w:tcPr>
          <w:p w14:paraId="7BA90751" w14:textId="61E06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Ensambo u. barn </w:t>
            </w:r>
            <w:r w:rsidR="00365C66" w:rsidRPr="003954D9">
              <w:rPr>
                <w:rFonts w:ascii="Calibri" w:eastAsiaTheme="minorHAnsi" w:hAnsi="Calibri" w:cs="Calibri"/>
                <w:color w:val="000000"/>
                <w:sz w:val="16"/>
                <w:szCs w:val="16"/>
                <w:lang w:eastAsia="en-US"/>
              </w:rPr>
              <w:t>18–64</w:t>
            </w:r>
            <w:r w:rsidRPr="003954D9">
              <w:rPr>
                <w:rFonts w:ascii="Calibri" w:eastAsiaTheme="minorHAnsi" w:hAnsi="Calibri" w:cs="Calibri"/>
                <w:color w:val="000000"/>
                <w:sz w:val="16"/>
                <w:szCs w:val="16"/>
                <w:lang w:eastAsia="en-US"/>
              </w:rPr>
              <w:t xml:space="preserve"> år</w:t>
            </w:r>
          </w:p>
        </w:tc>
        <w:tc>
          <w:tcPr>
            <w:tcW w:w="844" w:type="dxa"/>
          </w:tcPr>
          <w:p w14:paraId="1E8AA2CB"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50,4</w:t>
            </w:r>
          </w:p>
        </w:tc>
        <w:tc>
          <w:tcPr>
            <w:tcW w:w="863" w:type="dxa"/>
          </w:tcPr>
          <w:p w14:paraId="4793FCA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37,8</w:t>
            </w:r>
          </w:p>
        </w:tc>
        <w:tc>
          <w:tcPr>
            <w:tcW w:w="824" w:type="dxa"/>
          </w:tcPr>
          <w:p w14:paraId="13510B6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30,5</w:t>
            </w:r>
          </w:p>
        </w:tc>
        <w:tc>
          <w:tcPr>
            <w:tcW w:w="711" w:type="dxa"/>
          </w:tcPr>
          <w:p w14:paraId="2730569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27,6</w:t>
            </w:r>
          </w:p>
        </w:tc>
        <w:tc>
          <w:tcPr>
            <w:tcW w:w="853" w:type="dxa"/>
          </w:tcPr>
          <w:p w14:paraId="04770B0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29,4</w:t>
            </w:r>
          </w:p>
        </w:tc>
        <w:tc>
          <w:tcPr>
            <w:tcW w:w="852" w:type="dxa"/>
          </w:tcPr>
          <w:p w14:paraId="65EF683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34,6</w:t>
            </w:r>
          </w:p>
        </w:tc>
        <w:tc>
          <w:tcPr>
            <w:tcW w:w="853" w:type="dxa"/>
          </w:tcPr>
          <w:p w14:paraId="2C7D907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48,3</w:t>
            </w:r>
          </w:p>
        </w:tc>
        <w:tc>
          <w:tcPr>
            <w:tcW w:w="852" w:type="dxa"/>
          </w:tcPr>
          <w:p w14:paraId="681C35E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27,1</w:t>
            </w:r>
          </w:p>
        </w:tc>
        <w:tc>
          <w:tcPr>
            <w:tcW w:w="853" w:type="dxa"/>
          </w:tcPr>
          <w:p w14:paraId="1D4D488C"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18,6</w:t>
            </w:r>
          </w:p>
        </w:tc>
        <w:tc>
          <w:tcPr>
            <w:tcW w:w="852" w:type="dxa"/>
          </w:tcPr>
          <w:p w14:paraId="38E4E3F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43,8</w:t>
            </w:r>
          </w:p>
        </w:tc>
      </w:tr>
      <w:tr w:rsidR="00117C0D" w:rsidRPr="003954D9" w14:paraId="0085883B" w14:textId="77777777" w:rsidTr="00117C0D">
        <w:trPr>
          <w:trHeight w:val="227"/>
        </w:trPr>
        <w:tc>
          <w:tcPr>
            <w:tcW w:w="1618" w:type="dxa"/>
          </w:tcPr>
          <w:p w14:paraId="71F79C7F" w14:textId="0618EC1B"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Ensambo u. barn </w:t>
            </w:r>
            <w:r w:rsidR="00365C66" w:rsidRPr="003954D9">
              <w:rPr>
                <w:rFonts w:ascii="Calibri" w:eastAsiaTheme="minorHAnsi" w:hAnsi="Calibri" w:cs="Calibri"/>
                <w:color w:val="000000"/>
                <w:sz w:val="16"/>
                <w:szCs w:val="16"/>
                <w:lang w:eastAsia="en-US"/>
              </w:rPr>
              <w:t>65-år</w:t>
            </w:r>
          </w:p>
        </w:tc>
        <w:tc>
          <w:tcPr>
            <w:tcW w:w="844" w:type="dxa"/>
          </w:tcPr>
          <w:p w14:paraId="433BA02F"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71,0</w:t>
            </w:r>
          </w:p>
        </w:tc>
        <w:tc>
          <w:tcPr>
            <w:tcW w:w="863" w:type="dxa"/>
          </w:tcPr>
          <w:p w14:paraId="617D0237" w14:textId="77777777" w:rsidR="00117C0D" w:rsidRPr="003954D9" w:rsidRDefault="00117C0D" w:rsidP="00117C0D">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67,5</w:t>
            </w:r>
          </w:p>
        </w:tc>
        <w:tc>
          <w:tcPr>
            <w:tcW w:w="824" w:type="dxa"/>
          </w:tcPr>
          <w:p w14:paraId="13CADB5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51,9</w:t>
            </w:r>
          </w:p>
        </w:tc>
        <w:tc>
          <w:tcPr>
            <w:tcW w:w="711" w:type="dxa"/>
          </w:tcPr>
          <w:p w14:paraId="684D4689"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37,5</w:t>
            </w:r>
          </w:p>
        </w:tc>
        <w:tc>
          <w:tcPr>
            <w:tcW w:w="853" w:type="dxa"/>
          </w:tcPr>
          <w:p w14:paraId="7797DCD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48,2</w:t>
            </w:r>
          </w:p>
        </w:tc>
        <w:tc>
          <w:tcPr>
            <w:tcW w:w="852" w:type="dxa"/>
          </w:tcPr>
          <w:p w14:paraId="18012E7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55,2</w:t>
            </w:r>
          </w:p>
        </w:tc>
        <w:tc>
          <w:tcPr>
            <w:tcW w:w="853" w:type="dxa"/>
          </w:tcPr>
          <w:p w14:paraId="005FF11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55,8</w:t>
            </w:r>
          </w:p>
        </w:tc>
        <w:tc>
          <w:tcPr>
            <w:tcW w:w="852" w:type="dxa"/>
          </w:tcPr>
          <w:p w14:paraId="7BB07D6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45,2</w:t>
            </w:r>
          </w:p>
        </w:tc>
        <w:tc>
          <w:tcPr>
            <w:tcW w:w="853" w:type="dxa"/>
          </w:tcPr>
          <w:p w14:paraId="3CC7E34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63,6</w:t>
            </w:r>
          </w:p>
        </w:tc>
        <w:tc>
          <w:tcPr>
            <w:tcW w:w="852" w:type="dxa"/>
          </w:tcPr>
          <w:p w14:paraId="5B66598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58,4</w:t>
            </w:r>
          </w:p>
        </w:tc>
      </w:tr>
      <w:tr w:rsidR="00117C0D" w:rsidRPr="003954D9" w14:paraId="3AB08AC0" w14:textId="77777777" w:rsidTr="00117C0D">
        <w:trPr>
          <w:trHeight w:val="227"/>
        </w:trPr>
        <w:tc>
          <w:tcPr>
            <w:tcW w:w="1618" w:type="dxa"/>
          </w:tcPr>
          <w:p w14:paraId="1DC80066" w14:textId="792015D2"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Ensamst. m. barn </w:t>
            </w:r>
            <w:r w:rsidR="00365C66" w:rsidRPr="003954D9">
              <w:rPr>
                <w:rFonts w:ascii="Calibri" w:eastAsiaTheme="minorHAnsi" w:hAnsi="Calibri" w:cs="Calibri"/>
                <w:color w:val="000000"/>
                <w:sz w:val="16"/>
                <w:szCs w:val="16"/>
                <w:lang w:eastAsia="en-US"/>
              </w:rPr>
              <w:t>0–19</w:t>
            </w:r>
            <w:r w:rsidRPr="003954D9">
              <w:rPr>
                <w:rFonts w:ascii="Calibri" w:eastAsiaTheme="minorHAnsi" w:hAnsi="Calibri" w:cs="Calibri"/>
                <w:color w:val="000000"/>
                <w:sz w:val="16"/>
                <w:szCs w:val="16"/>
                <w:lang w:eastAsia="en-US"/>
              </w:rPr>
              <w:t xml:space="preserve"> år</w:t>
            </w:r>
          </w:p>
        </w:tc>
        <w:tc>
          <w:tcPr>
            <w:tcW w:w="844" w:type="dxa"/>
          </w:tcPr>
          <w:p w14:paraId="1CC40F0B"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62,7</w:t>
            </w:r>
          </w:p>
        </w:tc>
        <w:tc>
          <w:tcPr>
            <w:tcW w:w="863" w:type="dxa"/>
          </w:tcPr>
          <w:p w14:paraId="2881CAA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51,3</w:t>
            </w:r>
          </w:p>
        </w:tc>
        <w:tc>
          <w:tcPr>
            <w:tcW w:w="824" w:type="dxa"/>
          </w:tcPr>
          <w:p w14:paraId="1647A2C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34,7</w:t>
            </w:r>
          </w:p>
        </w:tc>
        <w:tc>
          <w:tcPr>
            <w:tcW w:w="711" w:type="dxa"/>
          </w:tcPr>
          <w:p w14:paraId="553D4A8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47,5</w:t>
            </w:r>
          </w:p>
        </w:tc>
        <w:tc>
          <w:tcPr>
            <w:tcW w:w="853" w:type="dxa"/>
          </w:tcPr>
          <w:p w14:paraId="2B6214F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36,9</w:t>
            </w:r>
          </w:p>
        </w:tc>
        <w:tc>
          <w:tcPr>
            <w:tcW w:w="852" w:type="dxa"/>
          </w:tcPr>
          <w:p w14:paraId="6CCC4FE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43,0</w:t>
            </w:r>
          </w:p>
        </w:tc>
        <w:tc>
          <w:tcPr>
            <w:tcW w:w="853" w:type="dxa"/>
          </w:tcPr>
          <w:p w14:paraId="752245E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55,6</w:t>
            </w:r>
          </w:p>
        </w:tc>
        <w:tc>
          <w:tcPr>
            <w:tcW w:w="852" w:type="dxa"/>
          </w:tcPr>
          <w:p w14:paraId="3EDFB768"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32,7</w:t>
            </w:r>
          </w:p>
        </w:tc>
        <w:tc>
          <w:tcPr>
            <w:tcW w:w="853" w:type="dxa"/>
          </w:tcPr>
          <w:p w14:paraId="278BF59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35,7</w:t>
            </w:r>
          </w:p>
        </w:tc>
        <w:tc>
          <w:tcPr>
            <w:tcW w:w="852" w:type="dxa"/>
          </w:tcPr>
          <w:p w14:paraId="3F58548D" w14:textId="77777777" w:rsidR="00117C0D" w:rsidRPr="003954D9" w:rsidRDefault="00117C0D" w:rsidP="00117C0D">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62,2</w:t>
            </w:r>
          </w:p>
        </w:tc>
      </w:tr>
      <w:tr w:rsidR="00117C0D" w:rsidRPr="003954D9" w14:paraId="1D4152DA" w14:textId="77777777" w:rsidTr="00117C0D">
        <w:trPr>
          <w:trHeight w:val="227"/>
        </w:trPr>
        <w:tc>
          <w:tcPr>
            <w:tcW w:w="1618" w:type="dxa"/>
          </w:tcPr>
          <w:p w14:paraId="21C7C650" w14:textId="32BA9FCF"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Sambo u. barn </w:t>
            </w:r>
            <w:r w:rsidR="00365C66" w:rsidRPr="003954D9">
              <w:rPr>
                <w:rFonts w:ascii="Calibri" w:eastAsiaTheme="minorHAnsi" w:hAnsi="Calibri" w:cs="Calibri"/>
                <w:color w:val="000000"/>
                <w:sz w:val="16"/>
                <w:szCs w:val="16"/>
                <w:lang w:eastAsia="en-US"/>
              </w:rPr>
              <w:t>18–64</w:t>
            </w:r>
            <w:r w:rsidRPr="003954D9">
              <w:rPr>
                <w:rFonts w:ascii="Calibri" w:eastAsiaTheme="minorHAnsi" w:hAnsi="Calibri" w:cs="Calibri"/>
                <w:color w:val="000000"/>
                <w:sz w:val="16"/>
                <w:szCs w:val="16"/>
                <w:lang w:eastAsia="en-US"/>
              </w:rPr>
              <w:t xml:space="preserve"> år</w:t>
            </w:r>
          </w:p>
        </w:tc>
        <w:tc>
          <w:tcPr>
            <w:tcW w:w="844" w:type="dxa"/>
          </w:tcPr>
          <w:p w14:paraId="080FA762"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26,1</w:t>
            </w:r>
          </w:p>
        </w:tc>
        <w:tc>
          <w:tcPr>
            <w:tcW w:w="863" w:type="dxa"/>
          </w:tcPr>
          <w:p w14:paraId="5B95168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13,4</w:t>
            </w:r>
          </w:p>
        </w:tc>
        <w:tc>
          <w:tcPr>
            <w:tcW w:w="824" w:type="dxa"/>
          </w:tcPr>
          <w:p w14:paraId="018EB854"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6,4</w:t>
            </w:r>
          </w:p>
        </w:tc>
        <w:tc>
          <w:tcPr>
            <w:tcW w:w="711" w:type="dxa"/>
          </w:tcPr>
          <w:p w14:paraId="5B421C3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11,9</w:t>
            </w:r>
          </w:p>
        </w:tc>
        <w:tc>
          <w:tcPr>
            <w:tcW w:w="853" w:type="dxa"/>
          </w:tcPr>
          <w:p w14:paraId="124188E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7,7</w:t>
            </w:r>
          </w:p>
        </w:tc>
        <w:tc>
          <w:tcPr>
            <w:tcW w:w="852" w:type="dxa"/>
          </w:tcPr>
          <w:p w14:paraId="772DF52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15,8</w:t>
            </w:r>
          </w:p>
        </w:tc>
        <w:tc>
          <w:tcPr>
            <w:tcW w:w="853" w:type="dxa"/>
          </w:tcPr>
          <w:p w14:paraId="3924022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19,3</w:t>
            </w:r>
          </w:p>
        </w:tc>
        <w:tc>
          <w:tcPr>
            <w:tcW w:w="852" w:type="dxa"/>
          </w:tcPr>
          <w:p w14:paraId="3573C2E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8,9</w:t>
            </w:r>
          </w:p>
        </w:tc>
        <w:tc>
          <w:tcPr>
            <w:tcW w:w="853" w:type="dxa"/>
          </w:tcPr>
          <w:p w14:paraId="3509C462"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52BFA59D" w14:textId="77777777" w:rsidR="00117C0D" w:rsidRPr="003954D9" w:rsidRDefault="00117C0D" w:rsidP="00117C0D">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23,3</w:t>
            </w:r>
          </w:p>
        </w:tc>
      </w:tr>
      <w:tr w:rsidR="00117C0D" w:rsidRPr="003954D9" w14:paraId="4DF57546" w14:textId="77777777" w:rsidTr="00117C0D">
        <w:trPr>
          <w:trHeight w:val="227"/>
        </w:trPr>
        <w:tc>
          <w:tcPr>
            <w:tcW w:w="1618" w:type="dxa"/>
          </w:tcPr>
          <w:p w14:paraId="6E142E5D" w14:textId="589576D8"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Sambo u. barn </w:t>
            </w:r>
            <w:r w:rsidR="00365C66" w:rsidRPr="003954D9">
              <w:rPr>
                <w:rFonts w:ascii="Calibri" w:eastAsiaTheme="minorHAnsi" w:hAnsi="Calibri" w:cs="Calibri"/>
                <w:color w:val="000000"/>
                <w:sz w:val="16"/>
                <w:szCs w:val="16"/>
                <w:lang w:eastAsia="en-US"/>
              </w:rPr>
              <w:t>65-år</w:t>
            </w:r>
          </w:p>
        </w:tc>
        <w:tc>
          <w:tcPr>
            <w:tcW w:w="844" w:type="dxa"/>
          </w:tcPr>
          <w:p w14:paraId="17439655"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42,5</w:t>
            </w:r>
          </w:p>
        </w:tc>
        <w:tc>
          <w:tcPr>
            <w:tcW w:w="863" w:type="dxa"/>
          </w:tcPr>
          <w:p w14:paraId="16EAE7C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14,6</w:t>
            </w:r>
          </w:p>
        </w:tc>
        <w:tc>
          <w:tcPr>
            <w:tcW w:w="824" w:type="dxa"/>
          </w:tcPr>
          <w:p w14:paraId="4CC9F61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9,4</w:t>
            </w:r>
          </w:p>
        </w:tc>
        <w:tc>
          <w:tcPr>
            <w:tcW w:w="711" w:type="dxa"/>
          </w:tcPr>
          <w:p w14:paraId="7AF37AF1"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3" w:type="dxa"/>
          </w:tcPr>
          <w:p w14:paraId="69C06988"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4,1</w:t>
            </w:r>
          </w:p>
        </w:tc>
        <w:tc>
          <w:tcPr>
            <w:tcW w:w="852" w:type="dxa"/>
          </w:tcPr>
          <w:p w14:paraId="159D7B8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21,6</w:t>
            </w:r>
          </w:p>
        </w:tc>
        <w:tc>
          <w:tcPr>
            <w:tcW w:w="853" w:type="dxa"/>
          </w:tcPr>
          <w:p w14:paraId="5598737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25,6</w:t>
            </w:r>
          </w:p>
        </w:tc>
        <w:tc>
          <w:tcPr>
            <w:tcW w:w="852" w:type="dxa"/>
          </w:tcPr>
          <w:p w14:paraId="5493318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6,4</w:t>
            </w:r>
          </w:p>
        </w:tc>
        <w:tc>
          <w:tcPr>
            <w:tcW w:w="853" w:type="dxa"/>
          </w:tcPr>
          <w:p w14:paraId="2DE05EA4"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139B757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16,7</w:t>
            </w:r>
          </w:p>
        </w:tc>
      </w:tr>
      <w:tr w:rsidR="00117C0D" w:rsidRPr="003954D9" w14:paraId="22316549" w14:textId="77777777" w:rsidTr="00117C0D">
        <w:trPr>
          <w:trHeight w:val="227"/>
        </w:trPr>
        <w:tc>
          <w:tcPr>
            <w:tcW w:w="1618" w:type="dxa"/>
          </w:tcPr>
          <w:p w14:paraId="5CA0D69E" w14:textId="74443AF6"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Sambo m. 1 barn </w:t>
            </w:r>
            <w:r w:rsidR="00365C66" w:rsidRPr="003954D9">
              <w:rPr>
                <w:rFonts w:ascii="Calibri" w:eastAsiaTheme="minorHAnsi" w:hAnsi="Calibri" w:cs="Calibri"/>
                <w:color w:val="000000"/>
                <w:sz w:val="16"/>
                <w:szCs w:val="16"/>
                <w:lang w:eastAsia="en-US"/>
              </w:rPr>
              <w:t>0–19</w:t>
            </w:r>
            <w:r w:rsidRPr="003954D9">
              <w:rPr>
                <w:rFonts w:ascii="Calibri" w:eastAsiaTheme="minorHAnsi" w:hAnsi="Calibri" w:cs="Calibri"/>
                <w:color w:val="000000"/>
                <w:sz w:val="16"/>
                <w:szCs w:val="16"/>
                <w:lang w:eastAsia="en-US"/>
              </w:rPr>
              <w:t xml:space="preserve"> år</w:t>
            </w:r>
          </w:p>
        </w:tc>
        <w:tc>
          <w:tcPr>
            <w:tcW w:w="844" w:type="dxa"/>
          </w:tcPr>
          <w:p w14:paraId="2156639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26,4</w:t>
            </w:r>
          </w:p>
        </w:tc>
        <w:tc>
          <w:tcPr>
            <w:tcW w:w="863" w:type="dxa"/>
          </w:tcPr>
          <w:p w14:paraId="0A37327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20,5</w:t>
            </w:r>
          </w:p>
        </w:tc>
        <w:tc>
          <w:tcPr>
            <w:tcW w:w="824" w:type="dxa"/>
          </w:tcPr>
          <w:p w14:paraId="0297787E"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5,3</w:t>
            </w:r>
          </w:p>
        </w:tc>
        <w:tc>
          <w:tcPr>
            <w:tcW w:w="711" w:type="dxa"/>
          </w:tcPr>
          <w:p w14:paraId="07F61FE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17,9</w:t>
            </w:r>
          </w:p>
        </w:tc>
        <w:tc>
          <w:tcPr>
            <w:tcW w:w="853" w:type="dxa"/>
          </w:tcPr>
          <w:p w14:paraId="083318F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9,6</w:t>
            </w:r>
          </w:p>
        </w:tc>
        <w:tc>
          <w:tcPr>
            <w:tcW w:w="852" w:type="dxa"/>
          </w:tcPr>
          <w:p w14:paraId="2B50CA9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20,9</w:t>
            </w:r>
          </w:p>
        </w:tc>
        <w:tc>
          <w:tcPr>
            <w:tcW w:w="853" w:type="dxa"/>
          </w:tcPr>
          <w:p w14:paraId="5578761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27,2</w:t>
            </w:r>
          </w:p>
        </w:tc>
        <w:tc>
          <w:tcPr>
            <w:tcW w:w="852" w:type="dxa"/>
          </w:tcPr>
          <w:p w14:paraId="09566F7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9,2</w:t>
            </w:r>
          </w:p>
        </w:tc>
        <w:tc>
          <w:tcPr>
            <w:tcW w:w="853" w:type="dxa"/>
          </w:tcPr>
          <w:p w14:paraId="53FF541D"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054AD09A"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29,7</w:t>
            </w:r>
          </w:p>
        </w:tc>
      </w:tr>
      <w:tr w:rsidR="00117C0D" w:rsidRPr="003954D9" w14:paraId="1E0840B0" w14:textId="77777777" w:rsidTr="00117C0D">
        <w:trPr>
          <w:trHeight w:val="227"/>
        </w:trPr>
        <w:tc>
          <w:tcPr>
            <w:tcW w:w="1618" w:type="dxa"/>
          </w:tcPr>
          <w:p w14:paraId="5C0763FB" w14:textId="6E2F6813"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Sambo m. 2 barn </w:t>
            </w:r>
            <w:r w:rsidR="00365C66" w:rsidRPr="003954D9">
              <w:rPr>
                <w:rFonts w:ascii="Calibri" w:eastAsiaTheme="minorHAnsi" w:hAnsi="Calibri" w:cs="Calibri"/>
                <w:color w:val="000000"/>
                <w:sz w:val="16"/>
                <w:szCs w:val="16"/>
                <w:lang w:eastAsia="en-US"/>
              </w:rPr>
              <w:t>0–19</w:t>
            </w:r>
            <w:r w:rsidRPr="003954D9">
              <w:rPr>
                <w:rFonts w:ascii="Calibri" w:eastAsiaTheme="minorHAnsi" w:hAnsi="Calibri" w:cs="Calibri"/>
                <w:color w:val="000000"/>
                <w:sz w:val="16"/>
                <w:szCs w:val="16"/>
                <w:lang w:eastAsia="en-US"/>
              </w:rPr>
              <w:t xml:space="preserve"> år</w:t>
            </w:r>
          </w:p>
        </w:tc>
        <w:tc>
          <w:tcPr>
            <w:tcW w:w="844" w:type="dxa"/>
          </w:tcPr>
          <w:p w14:paraId="22937272"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36,5</w:t>
            </w:r>
          </w:p>
        </w:tc>
        <w:tc>
          <w:tcPr>
            <w:tcW w:w="863" w:type="dxa"/>
          </w:tcPr>
          <w:p w14:paraId="0D9A463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23,7</w:t>
            </w:r>
          </w:p>
        </w:tc>
        <w:tc>
          <w:tcPr>
            <w:tcW w:w="824" w:type="dxa"/>
          </w:tcPr>
          <w:p w14:paraId="7284C52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11,4</w:t>
            </w:r>
          </w:p>
        </w:tc>
        <w:tc>
          <w:tcPr>
            <w:tcW w:w="711" w:type="dxa"/>
          </w:tcPr>
          <w:p w14:paraId="6A8B8DA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53" w:type="dxa"/>
          </w:tcPr>
          <w:p w14:paraId="06C72E72"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6,9</w:t>
            </w:r>
          </w:p>
        </w:tc>
        <w:tc>
          <w:tcPr>
            <w:tcW w:w="852" w:type="dxa"/>
          </w:tcPr>
          <w:p w14:paraId="224D83E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c>
          <w:tcPr>
            <w:tcW w:w="853" w:type="dxa"/>
          </w:tcPr>
          <w:p w14:paraId="12CA59D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27,6</w:t>
            </w:r>
          </w:p>
        </w:tc>
        <w:tc>
          <w:tcPr>
            <w:tcW w:w="852" w:type="dxa"/>
          </w:tcPr>
          <w:p w14:paraId="77E53890"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7,0</w:t>
            </w:r>
          </w:p>
        </w:tc>
        <w:tc>
          <w:tcPr>
            <w:tcW w:w="853" w:type="dxa"/>
          </w:tcPr>
          <w:p w14:paraId="2FB7D3A4"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3A3F00A3" w14:textId="77777777" w:rsidR="00117C0D" w:rsidRPr="003954D9" w:rsidRDefault="00117C0D" w:rsidP="00117C0D">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34,8</w:t>
            </w:r>
          </w:p>
        </w:tc>
      </w:tr>
      <w:tr w:rsidR="00117C0D" w:rsidRPr="003954D9" w14:paraId="2456EA4D" w14:textId="77777777" w:rsidTr="00117C0D">
        <w:trPr>
          <w:trHeight w:val="227"/>
        </w:trPr>
        <w:tc>
          <w:tcPr>
            <w:tcW w:w="1618" w:type="dxa"/>
          </w:tcPr>
          <w:p w14:paraId="3DA660C0" w14:textId="69A6D26C"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Sambo m. 3- barn </w:t>
            </w:r>
            <w:r w:rsidR="00365C66" w:rsidRPr="003954D9">
              <w:rPr>
                <w:rFonts w:ascii="Calibri" w:eastAsiaTheme="minorHAnsi" w:hAnsi="Calibri" w:cs="Calibri"/>
                <w:color w:val="000000"/>
                <w:sz w:val="16"/>
                <w:szCs w:val="16"/>
                <w:lang w:eastAsia="en-US"/>
              </w:rPr>
              <w:t>0–19</w:t>
            </w:r>
            <w:r w:rsidRPr="003954D9">
              <w:rPr>
                <w:rFonts w:ascii="Calibri" w:eastAsiaTheme="minorHAnsi" w:hAnsi="Calibri" w:cs="Calibri"/>
                <w:color w:val="000000"/>
                <w:sz w:val="16"/>
                <w:szCs w:val="16"/>
                <w:lang w:eastAsia="en-US"/>
              </w:rPr>
              <w:t xml:space="preserve"> år</w:t>
            </w:r>
          </w:p>
        </w:tc>
        <w:tc>
          <w:tcPr>
            <w:tcW w:w="844" w:type="dxa"/>
          </w:tcPr>
          <w:p w14:paraId="32DA8429" w14:textId="77777777" w:rsidR="00117C0D" w:rsidRPr="003954D9" w:rsidRDefault="00117C0D" w:rsidP="00117C0D">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46,8</w:t>
            </w:r>
          </w:p>
        </w:tc>
        <w:tc>
          <w:tcPr>
            <w:tcW w:w="863" w:type="dxa"/>
          </w:tcPr>
          <w:p w14:paraId="040CEDA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42,6</w:t>
            </w:r>
          </w:p>
        </w:tc>
        <w:tc>
          <w:tcPr>
            <w:tcW w:w="824" w:type="dxa"/>
          </w:tcPr>
          <w:p w14:paraId="7F0570C2"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11" w:type="dxa"/>
          </w:tcPr>
          <w:p w14:paraId="0EC3CDE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36,4</w:t>
            </w:r>
          </w:p>
        </w:tc>
        <w:tc>
          <w:tcPr>
            <w:tcW w:w="853" w:type="dxa"/>
          </w:tcPr>
          <w:p w14:paraId="08BF8B90"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3759C8F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26,3</w:t>
            </w:r>
          </w:p>
        </w:tc>
        <w:tc>
          <w:tcPr>
            <w:tcW w:w="853" w:type="dxa"/>
          </w:tcPr>
          <w:p w14:paraId="0A7F614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41,7</w:t>
            </w:r>
          </w:p>
        </w:tc>
        <w:tc>
          <w:tcPr>
            <w:tcW w:w="852" w:type="dxa"/>
          </w:tcPr>
          <w:p w14:paraId="53C4C24E"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25,0</w:t>
            </w:r>
          </w:p>
        </w:tc>
        <w:tc>
          <w:tcPr>
            <w:tcW w:w="853" w:type="dxa"/>
          </w:tcPr>
          <w:p w14:paraId="3E5F036D"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5E134550"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55,5</w:t>
            </w:r>
          </w:p>
        </w:tc>
      </w:tr>
      <w:tr w:rsidR="00117C0D" w:rsidRPr="003954D9" w14:paraId="3E1CECA7" w14:textId="77777777" w:rsidTr="00117C0D">
        <w:trPr>
          <w:trHeight w:val="227"/>
        </w:trPr>
        <w:tc>
          <w:tcPr>
            <w:tcW w:w="1618" w:type="dxa"/>
          </w:tcPr>
          <w:p w14:paraId="35675674" w14:textId="778A7F4F"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Övr</w:t>
            </w:r>
            <w:r w:rsidR="00D37D9E">
              <w:rPr>
                <w:rFonts w:ascii="Calibri" w:eastAsiaTheme="minorHAnsi" w:hAnsi="Calibri" w:cs="Calibri"/>
                <w:color w:val="000000"/>
                <w:sz w:val="16"/>
                <w:szCs w:val="16"/>
                <w:lang w:eastAsia="en-US"/>
              </w:rPr>
              <w:t>.</w:t>
            </w:r>
            <w:r w:rsidRPr="003954D9">
              <w:rPr>
                <w:rFonts w:ascii="Calibri" w:eastAsiaTheme="minorHAnsi" w:hAnsi="Calibri" w:cs="Calibri"/>
                <w:color w:val="000000"/>
                <w:sz w:val="16"/>
                <w:szCs w:val="16"/>
                <w:lang w:eastAsia="en-US"/>
              </w:rPr>
              <w:t xml:space="preserve"> hushåll u. barn </w:t>
            </w:r>
          </w:p>
        </w:tc>
        <w:tc>
          <w:tcPr>
            <w:tcW w:w="844" w:type="dxa"/>
          </w:tcPr>
          <w:p w14:paraId="586C68B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19,4</w:t>
            </w:r>
          </w:p>
        </w:tc>
        <w:tc>
          <w:tcPr>
            <w:tcW w:w="863" w:type="dxa"/>
          </w:tcPr>
          <w:p w14:paraId="51FB419A" w14:textId="77777777" w:rsidR="00117C0D" w:rsidRPr="003954D9" w:rsidRDefault="00117C0D" w:rsidP="00117C0D">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20,8</w:t>
            </w:r>
          </w:p>
        </w:tc>
        <w:tc>
          <w:tcPr>
            <w:tcW w:w="824" w:type="dxa"/>
          </w:tcPr>
          <w:p w14:paraId="2F107F1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14,1</w:t>
            </w:r>
          </w:p>
        </w:tc>
        <w:tc>
          <w:tcPr>
            <w:tcW w:w="711" w:type="dxa"/>
          </w:tcPr>
          <w:p w14:paraId="26E8A6D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18,9</w:t>
            </w:r>
          </w:p>
        </w:tc>
        <w:tc>
          <w:tcPr>
            <w:tcW w:w="853" w:type="dxa"/>
          </w:tcPr>
          <w:p w14:paraId="465662B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8,5</w:t>
            </w:r>
          </w:p>
        </w:tc>
        <w:tc>
          <w:tcPr>
            <w:tcW w:w="852" w:type="dxa"/>
          </w:tcPr>
          <w:p w14:paraId="7B1719E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15,5</w:t>
            </w:r>
          </w:p>
        </w:tc>
        <w:tc>
          <w:tcPr>
            <w:tcW w:w="853" w:type="dxa"/>
          </w:tcPr>
          <w:p w14:paraId="40493E3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18,5</w:t>
            </w:r>
          </w:p>
        </w:tc>
        <w:tc>
          <w:tcPr>
            <w:tcW w:w="852" w:type="dxa"/>
          </w:tcPr>
          <w:p w14:paraId="54E547C2"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8,2</w:t>
            </w:r>
          </w:p>
        </w:tc>
        <w:tc>
          <w:tcPr>
            <w:tcW w:w="853" w:type="dxa"/>
          </w:tcPr>
          <w:p w14:paraId="7AFEADA6"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1758A0C9"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21,3</w:t>
            </w:r>
          </w:p>
        </w:tc>
      </w:tr>
      <w:tr w:rsidR="00117C0D" w:rsidRPr="003954D9" w14:paraId="4B349694" w14:textId="77777777" w:rsidTr="00117C0D">
        <w:trPr>
          <w:trHeight w:val="227"/>
        </w:trPr>
        <w:tc>
          <w:tcPr>
            <w:tcW w:w="1618" w:type="dxa"/>
          </w:tcPr>
          <w:p w14:paraId="76AF8DE5" w14:textId="468E2889"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Övr</w:t>
            </w:r>
            <w:r w:rsidR="00D37D9E">
              <w:rPr>
                <w:rFonts w:ascii="Calibri" w:eastAsiaTheme="minorHAnsi" w:hAnsi="Calibri" w:cs="Calibri"/>
                <w:color w:val="000000"/>
                <w:sz w:val="16"/>
                <w:szCs w:val="16"/>
                <w:lang w:eastAsia="en-US"/>
              </w:rPr>
              <w:t>.</w:t>
            </w:r>
            <w:r w:rsidRPr="003954D9">
              <w:rPr>
                <w:rFonts w:ascii="Calibri" w:eastAsiaTheme="minorHAnsi" w:hAnsi="Calibri" w:cs="Calibri"/>
                <w:color w:val="000000"/>
                <w:sz w:val="16"/>
                <w:szCs w:val="16"/>
                <w:lang w:eastAsia="en-US"/>
              </w:rPr>
              <w:t xml:space="preserve"> hushåll m. barn</w:t>
            </w:r>
          </w:p>
        </w:tc>
        <w:tc>
          <w:tcPr>
            <w:tcW w:w="844" w:type="dxa"/>
          </w:tcPr>
          <w:p w14:paraId="47E3721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22,6</w:t>
            </w:r>
          </w:p>
        </w:tc>
        <w:tc>
          <w:tcPr>
            <w:tcW w:w="863" w:type="dxa"/>
          </w:tcPr>
          <w:p w14:paraId="7B9DC05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17,2</w:t>
            </w:r>
          </w:p>
        </w:tc>
        <w:tc>
          <w:tcPr>
            <w:tcW w:w="824" w:type="dxa"/>
          </w:tcPr>
          <w:p w14:paraId="6DE8A278"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10,2</w:t>
            </w:r>
          </w:p>
        </w:tc>
        <w:tc>
          <w:tcPr>
            <w:tcW w:w="711" w:type="dxa"/>
          </w:tcPr>
          <w:p w14:paraId="10ADBFEC" w14:textId="77777777" w:rsidR="00117C0D" w:rsidRPr="003954D9" w:rsidRDefault="00117C0D" w:rsidP="00117C0D">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23,0</w:t>
            </w:r>
          </w:p>
        </w:tc>
        <w:tc>
          <w:tcPr>
            <w:tcW w:w="853" w:type="dxa"/>
          </w:tcPr>
          <w:p w14:paraId="74A86A9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12,9</w:t>
            </w:r>
          </w:p>
        </w:tc>
        <w:tc>
          <w:tcPr>
            <w:tcW w:w="852" w:type="dxa"/>
          </w:tcPr>
          <w:p w14:paraId="7C0F1DD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17,1</w:t>
            </w:r>
          </w:p>
        </w:tc>
        <w:tc>
          <w:tcPr>
            <w:tcW w:w="853" w:type="dxa"/>
          </w:tcPr>
          <w:p w14:paraId="6AF8B76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20,1</w:t>
            </w:r>
          </w:p>
        </w:tc>
        <w:tc>
          <w:tcPr>
            <w:tcW w:w="852" w:type="dxa"/>
          </w:tcPr>
          <w:p w14:paraId="62A1568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12,1</w:t>
            </w:r>
          </w:p>
        </w:tc>
        <w:tc>
          <w:tcPr>
            <w:tcW w:w="853" w:type="dxa"/>
          </w:tcPr>
          <w:p w14:paraId="6280ED47"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tcPr>
          <w:p w14:paraId="071BA925" w14:textId="77777777" w:rsidR="00117C0D" w:rsidRPr="003954D9"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3954D9">
              <w:rPr>
                <w:rFonts w:ascii="Calibri" w:eastAsiaTheme="minorHAnsi" w:hAnsi="Calibri" w:cs="Calibri"/>
                <w:b/>
                <w:color w:val="FF0000"/>
                <w:sz w:val="16"/>
                <w:szCs w:val="16"/>
                <w:lang w:eastAsia="en-US"/>
              </w:rPr>
              <w:t>26,4</w:t>
            </w:r>
          </w:p>
        </w:tc>
      </w:tr>
      <w:tr w:rsidR="00117C0D" w:rsidRPr="003954D9" w14:paraId="7BED0245" w14:textId="77777777" w:rsidTr="00117C0D">
        <w:trPr>
          <w:trHeight w:val="227"/>
        </w:trPr>
        <w:tc>
          <w:tcPr>
            <w:tcW w:w="1618" w:type="dxa"/>
          </w:tcPr>
          <w:p w14:paraId="3B819710"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Samtliga</w:t>
            </w:r>
          </w:p>
        </w:tc>
        <w:tc>
          <w:tcPr>
            <w:tcW w:w="844" w:type="dxa"/>
          </w:tcPr>
          <w:p w14:paraId="758D1ED8"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40,6</w:t>
            </w:r>
          </w:p>
        </w:tc>
        <w:tc>
          <w:tcPr>
            <w:tcW w:w="863" w:type="dxa"/>
          </w:tcPr>
          <w:p w14:paraId="41E5431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34,0</w:t>
            </w:r>
          </w:p>
        </w:tc>
        <w:tc>
          <w:tcPr>
            <w:tcW w:w="824" w:type="dxa"/>
          </w:tcPr>
          <w:p w14:paraId="134BEF0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26,8</w:t>
            </w:r>
          </w:p>
        </w:tc>
        <w:tc>
          <w:tcPr>
            <w:tcW w:w="711" w:type="dxa"/>
          </w:tcPr>
          <w:p w14:paraId="631D83F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26,2</w:t>
            </w:r>
          </w:p>
        </w:tc>
        <w:tc>
          <w:tcPr>
            <w:tcW w:w="853" w:type="dxa"/>
          </w:tcPr>
          <w:p w14:paraId="7E5C327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52" w:type="dxa"/>
          </w:tcPr>
          <w:p w14:paraId="320988C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30,7</w:t>
            </w:r>
          </w:p>
        </w:tc>
        <w:tc>
          <w:tcPr>
            <w:tcW w:w="853" w:type="dxa"/>
          </w:tcPr>
          <w:p w14:paraId="32D109F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37,1</w:t>
            </w:r>
          </w:p>
        </w:tc>
        <w:tc>
          <w:tcPr>
            <w:tcW w:w="852" w:type="dxa"/>
          </w:tcPr>
          <w:p w14:paraId="18773F9D"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23,1</w:t>
            </w:r>
          </w:p>
        </w:tc>
        <w:tc>
          <w:tcPr>
            <w:tcW w:w="853" w:type="dxa"/>
          </w:tcPr>
          <w:p w14:paraId="31D03471"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23,0</w:t>
            </w:r>
          </w:p>
        </w:tc>
        <w:tc>
          <w:tcPr>
            <w:tcW w:w="852" w:type="dxa"/>
          </w:tcPr>
          <w:p w14:paraId="1B7894B1" w14:textId="77777777" w:rsidR="00117C0D" w:rsidRPr="003954D9" w:rsidRDefault="00117C0D" w:rsidP="00117C0D">
            <w:pPr>
              <w:autoSpaceDE w:val="0"/>
              <w:autoSpaceDN w:val="0"/>
              <w:adjustRightInd w:val="0"/>
              <w:jc w:val="right"/>
              <w:rPr>
                <w:rFonts w:ascii="Calibri" w:eastAsiaTheme="minorHAnsi" w:hAnsi="Calibri" w:cs="Calibri"/>
                <w:i/>
                <w:color w:val="000000"/>
                <w:sz w:val="16"/>
                <w:szCs w:val="16"/>
                <w:lang w:eastAsia="en-US"/>
              </w:rPr>
            </w:pPr>
            <w:r w:rsidRPr="003954D9">
              <w:rPr>
                <w:rFonts w:ascii="Calibri" w:eastAsiaTheme="minorHAnsi" w:hAnsi="Calibri" w:cs="Calibri"/>
                <w:i/>
                <w:color w:val="000000"/>
                <w:sz w:val="16"/>
                <w:szCs w:val="16"/>
                <w:lang w:eastAsia="en-US"/>
              </w:rPr>
              <w:t>39,7</w:t>
            </w:r>
          </w:p>
        </w:tc>
      </w:tr>
      <w:tr w:rsidR="00117C0D" w:rsidRPr="003954D9" w14:paraId="35CD4F34" w14:textId="77777777" w:rsidTr="00117C0D">
        <w:trPr>
          <w:trHeight w:val="227"/>
        </w:trPr>
        <w:tc>
          <w:tcPr>
            <w:tcW w:w="1618" w:type="dxa"/>
          </w:tcPr>
          <w:p w14:paraId="4E7D0534"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Antal </w:t>
            </w:r>
          </w:p>
        </w:tc>
        <w:tc>
          <w:tcPr>
            <w:tcW w:w="844" w:type="dxa"/>
          </w:tcPr>
          <w:p w14:paraId="2D3D8AB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1 821</w:t>
            </w:r>
          </w:p>
        </w:tc>
        <w:tc>
          <w:tcPr>
            <w:tcW w:w="863" w:type="dxa"/>
          </w:tcPr>
          <w:p w14:paraId="2CFF346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813</w:t>
            </w:r>
          </w:p>
        </w:tc>
        <w:tc>
          <w:tcPr>
            <w:tcW w:w="824" w:type="dxa"/>
          </w:tcPr>
          <w:p w14:paraId="5589DD1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553</w:t>
            </w:r>
          </w:p>
        </w:tc>
        <w:tc>
          <w:tcPr>
            <w:tcW w:w="711" w:type="dxa"/>
          </w:tcPr>
          <w:p w14:paraId="24F3590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238</w:t>
            </w:r>
          </w:p>
        </w:tc>
        <w:tc>
          <w:tcPr>
            <w:tcW w:w="853" w:type="dxa"/>
          </w:tcPr>
          <w:p w14:paraId="26AB38B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662</w:t>
            </w:r>
          </w:p>
        </w:tc>
        <w:tc>
          <w:tcPr>
            <w:tcW w:w="852" w:type="dxa"/>
          </w:tcPr>
          <w:p w14:paraId="11AA74E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425</w:t>
            </w:r>
          </w:p>
        </w:tc>
        <w:tc>
          <w:tcPr>
            <w:tcW w:w="853" w:type="dxa"/>
          </w:tcPr>
          <w:p w14:paraId="5354A2C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1 035</w:t>
            </w:r>
          </w:p>
        </w:tc>
        <w:tc>
          <w:tcPr>
            <w:tcW w:w="852" w:type="dxa"/>
          </w:tcPr>
          <w:p w14:paraId="70F4AD3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597</w:t>
            </w:r>
          </w:p>
        </w:tc>
        <w:tc>
          <w:tcPr>
            <w:tcW w:w="853" w:type="dxa"/>
          </w:tcPr>
          <w:p w14:paraId="75A5EE6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73</w:t>
            </w:r>
          </w:p>
        </w:tc>
        <w:tc>
          <w:tcPr>
            <w:tcW w:w="852" w:type="dxa"/>
          </w:tcPr>
          <w:p w14:paraId="79B87E2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1 384</w:t>
            </w:r>
          </w:p>
        </w:tc>
      </w:tr>
    </w:tbl>
    <w:p w14:paraId="2064430D" w14:textId="77777777" w:rsidR="00117C0D" w:rsidRPr="003954D9" w:rsidRDefault="00117C0D" w:rsidP="00117C0D">
      <w:pPr>
        <w:rPr>
          <w:sz w:val="16"/>
          <w:szCs w:val="16"/>
        </w:rPr>
      </w:pPr>
      <w:r w:rsidRPr="00155ABC">
        <w:rPr>
          <w:b/>
          <w:color w:val="FF6600"/>
          <w:sz w:val="16"/>
          <w:szCs w:val="16"/>
        </w:rPr>
        <w:t>Röd färg högsta</w:t>
      </w:r>
      <w:r w:rsidRPr="003954D9">
        <w:rPr>
          <w:color w:val="FF6600"/>
          <w:sz w:val="16"/>
          <w:szCs w:val="16"/>
        </w:rPr>
        <w:t xml:space="preserve"> </w:t>
      </w:r>
      <w:r w:rsidRPr="003954D9">
        <w:rPr>
          <w:sz w:val="16"/>
          <w:szCs w:val="16"/>
        </w:rPr>
        <w:t xml:space="preserve">och </w:t>
      </w:r>
      <w:r w:rsidRPr="00155ABC">
        <w:rPr>
          <w:b/>
          <w:color w:val="548DD4" w:themeColor="text2" w:themeTint="99"/>
          <w:sz w:val="16"/>
          <w:szCs w:val="16"/>
        </w:rPr>
        <w:t>blå färg lägsta</w:t>
      </w:r>
      <w:r w:rsidRPr="003954D9">
        <w:rPr>
          <w:sz w:val="16"/>
          <w:szCs w:val="16"/>
        </w:rPr>
        <w:t xml:space="preserve"> värde i grupp.</w:t>
      </w:r>
    </w:p>
    <w:p w14:paraId="416D164D"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5:2: Ökning av andel hushåll i riskzonen efter hyreshöjning på 50 procent, hushållstyp och stadsdel.</w:t>
      </w:r>
      <w:r w:rsidRPr="003954D9">
        <w:rPr>
          <w:rFonts w:asciiTheme="majorHAnsi" w:eastAsiaTheme="majorEastAsia" w:hAnsiTheme="majorHAnsi" w:cstheme="majorBidi"/>
          <w:i/>
          <w:color w:val="243F60" w:themeColor="accent1" w:themeShade="7F"/>
          <w:vertAlign w:val="superscript"/>
        </w:rPr>
        <w:t>5</w:t>
      </w:r>
    </w:p>
    <w:tbl>
      <w:tblPr>
        <w:tblW w:w="996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826"/>
        <w:gridCol w:w="850"/>
        <w:gridCol w:w="12"/>
        <w:gridCol w:w="833"/>
        <w:gridCol w:w="710"/>
        <w:gridCol w:w="852"/>
        <w:gridCol w:w="851"/>
        <w:gridCol w:w="852"/>
        <w:gridCol w:w="849"/>
        <w:gridCol w:w="6"/>
        <w:gridCol w:w="846"/>
        <w:gridCol w:w="6"/>
        <w:gridCol w:w="845"/>
        <w:gridCol w:w="14"/>
      </w:tblGrid>
      <w:tr w:rsidR="00117C0D" w:rsidRPr="003954D9" w14:paraId="55E3D166" w14:textId="77777777" w:rsidTr="00D37D9E">
        <w:trPr>
          <w:trHeight w:val="227"/>
        </w:trPr>
        <w:tc>
          <w:tcPr>
            <w:tcW w:w="1618" w:type="dxa"/>
          </w:tcPr>
          <w:p w14:paraId="10FD53E1"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Hushållstyp</w:t>
            </w:r>
          </w:p>
        </w:tc>
        <w:tc>
          <w:tcPr>
            <w:tcW w:w="826" w:type="dxa"/>
          </w:tcPr>
          <w:p w14:paraId="6187924A"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61" w:type="dxa"/>
            <w:gridSpan w:val="2"/>
          </w:tcPr>
          <w:p w14:paraId="2903F986"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Askim-Frölunda- Högsbo</w:t>
            </w:r>
          </w:p>
        </w:tc>
        <w:tc>
          <w:tcPr>
            <w:tcW w:w="834" w:type="dxa"/>
          </w:tcPr>
          <w:p w14:paraId="18885EF3"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11" w:type="dxa"/>
          </w:tcPr>
          <w:p w14:paraId="42AF5EE1"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53" w:type="dxa"/>
          </w:tcPr>
          <w:p w14:paraId="5CD7A5F8"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 Linné</w:t>
            </w:r>
          </w:p>
        </w:tc>
        <w:tc>
          <w:tcPr>
            <w:tcW w:w="852" w:type="dxa"/>
          </w:tcPr>
          <w:p w14:paraId="5806F8D4"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853" w:type="dxa"/>
          </w:tcPr>
          <w:p w14:paraId="1E84BFC6"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856" w:type="dxa"/>
            <w:gridSpan w:val="2"/>
          </w:tcPr>
          <w:p w14:paraId="65BDD1D7"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 Härlanda</w:t>
            </w:r>
          </w:p>
        </w:tc>
        <w:tc>
          <w:tcPr>
            <w:tcW w:w="853" w:type="dxa"/>
            <w:gridSpan w:val="2"/>
          </w:tcPr>
          <w:p w14:paraId="3E2806D0"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852" w:type="dxa"/>
            <w:gridSpan w:val="2"/>
          </w:tcPr>
          <w:p w14:paraId="209A2E02"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117C0D" w:rsidRPr="003954D9" w14:paraId="4E3BD5D6" w14:textId="77777777" w:rsidTr="00D37D9E">
        <w:trPr>
          <w:gridAfter w:val="1"/>
          <w:wAfter w:w="14" w:type="dxa"/>
          <w:trHeight w:val="227"/>
        </w:trPr>
        <w:tc>
          <w:tcPr>
            <w:tcW w:w="1618" w:type="dxa"/>
          </w:tcPr>
          <w:p w14:paraId="1FE52B9F" w14:textId="44D112EC"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Ensambo u. barn </w:t>
            </w:r>
            <w:r w:rsidR="00365C66" w:rsidRPr="003954D9">
              <w:rPr>
                <w:rFonts w:ascii="Calibri" w:eastAsiaTheme="minorHAnsi" w:hAnsi="Calibri" w:cs="Calibri"/>
                <w:color w:val="000000"/>
                <w:sz w:val="16"/>
                <w:szCs w:val="16"/>
                <w:lang w:eastAsia="en-US"/>
              </w:rPr>
              <w:t>18–64</w:t>
            </w:r>
            <w:r w:rsidRPr="003954D9">
              <w:rPr>
                <w:rFonts w:ascii="Calibri" w:eastAsiaTheme="minorHAnsi" w:hAnsi="Calibri" w:cs="Calibri"/>
                <w:color w:val="000000"/>
                <w:sz w:val="16"/>
                <w:szCs w:val="16"/>
                <w:lang w:eastAsia="en-US"/>
              </w:rPr>
              <w:t xml:space="preserve"> år</w:t>
            </w:r>
          </w:p>
        </w:tc>
        <w:tc>
          <w:tcPr>
            <w:tcW w:w="826" w:type="dxa"/>
          </w:tcPr>
          <w:p w14:paraId="35C7260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24,5</w:t>
            </w:r>
          </w:p>
        </w:tc>
        <w:tc>
          <w:tcPr>
            <w:tcW w:w="850" w:type="dxa"/>
          </w:tcPr>
          <w:p w14:paraId="340A243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18,8</w:t>
            </w:r>
          </w:p>
        </w:tc>
        <w:tc>
          <w:tcPr>
            <w:tcW w:w="845" w:type="dxa"/>
            <w:gridSpan w:val="2"/>
          </w:tcPr>
          <w:p w14:paraId="041C5E1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12,9</w:t>
            </w:r>
          </w:p>
        </w:tc>
        <w:tc>
          <w:tcPr>
            <w:tcW w:w="709" w:type="dxa"/>
          </w:tcPr>
          <w:p w14:paraId="4F52B22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11,4</w:t>
            </w:r>
          </w:p>
        </w:tc>
        <w:tc>
          <w:tcPr>
            <w:tcW w:w="851" w:type="dxa"/>
          </w:tcPr>
          <w:p w14:paraId="328A8B6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13,9</w:t>
            </w:r>
          </w:p>
        </w:tc>
        <w:tc>
          <w:tcPr>
            <w:tcW w:w="850" w:type="dxa"/>
          </w:tcPr>
          <w:p w14:paraId="08125EC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16,1</w:t>
            </w:r>
          </w:p>
        </w:tc>
        <w:tc>
          <w:tcPr>
            <w:tcW w:w="851" w:type="dxa"/>
          </w:tcPr>
          <w:p w14:paraId="43CA13BD"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29,0</w:t>
            </w:r>
          </w:p>
        </w:tc>
        <w:tc>
          <w:tcPr>
            <w:tcW w:w="850" w:type="dxa"/>
          </w:tcPr>
          <w:p w14:paraId="3A641CA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13,1</w:t>
            </w:r>
          </w:p>
        </w:tc>
        <w:tc>
          <w:tcPr>
            <w:tcW w:w="853" w:type="dxa"/>
            <w:gridSpan w:val="2"/>
          </w:tcPr>
          <w:p w14:paraId="2DAB9765"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9,8</w:t>
            </w:r>
          </w:p>
        </w:tc>
        <w:tc>
          <w:tcPr>
            <w:tcW w:w="852" w:type="dxa"/>
            <w:gridSpan w:val="2"/>
          </w:tcPr>
          <w:p w14:paraId="2ADBD30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21,7</w:t>
            </w:r>
          </w:p>
        </w:tc>
      </w:tr>
      <w:tr w:rsidR="00117C0D" w:rsidRPr="003954D9" w14:paraId="72779246" w14:textId="77777777" w:rsidTr="00D37D9E">
        <w:trPr>
          <w:gridAfter w:val="1"/>
          <w:wAfter w:w="14" w:type="dxa"/>
          <w:trHeight w:val="227"/>
        </w:trPr>
        <w:tc>
          <w:tcPr>
            <w:tcW w:w="1618" w:type="dxa"/>
          </w:tcPr>
          <w:p w14:paraId="68875D37" w14:textId="40F9354C"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Ensambo u. barn </w:t>
            </w:r>
            <w:r w:rsidR="00365C66" w:rsidRPr="003954D9">
              <w:rPr>
                <w:rFonts w:ascii="Calibri" w:eastAsiaTheme="minorHAnsi" w:hAnsi="Calibri" w:cs="Calibri"/>
                <w:color w:val="000000"/>
                <w:sz w:val="16"/>
                <w:szCs w:val="16"/>
                <w:lang w:eastAsia="en-US"/>
              </w:rPr>
              <w:t>65-år</w:t>
            </w:r>
          </w:p>
        </w:tc>
        <w:tc>
          <w:tcPr>
            <w:tcW w:w="826" w:type="dxa"/>
          </w:tcPr>
          <w:p w14:paraId="2C0FE51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59,8</w:t>
            </w:r>
          </w:p>
        </w:tc>
        <w:tc>
          <w:tcPr>
            <w:tcW w:w="850" w:type="dxa"/>
          </w:tcPr>
          <w:p w14:paraId="78D48296"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60,2</w:t>
            </w:r>
          </w:p>
        </w:tc>
        <w:tc>
          <w:tcPr>
            <w:tcW w:w="845" w:type="dxa"/>
            <w:gridSpan w:val="2"/>
          </w:tcPr>
          <w:p w14:paraId="0BA2AF8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43,7</w:t>
            </w:r>
          </w:p>
        </w:tc>
        <w:tc>
          <w:tcPr>
            <w:tcW w:w="709" w:type="dxa"/>
          </w:tcPr>
          <w:p w14:paraId="7B348B68" w14:textId="77777777" w:rsidR="00117C0D" w:rsidRPr="00155ABC"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155ABC">
              <w:rPr>
                <w:rFonts w:ascii="Calibri" w:eastAsiaTheme="minorHAnsi" w:hAnsi="Calibri" w:cs="Calibri"/>
                <w:b/>
                <w:color w:val="0070C0"/>
                <w:sz w:val="16"/>
                <w:szCs w:val="16"/>
                <w:lang w:eastAsia="en-US"/>
              </w:rPr>
              <w:t>33,7</w:t>
            </w:r>
          </w:p>
        </w:tc>
        <w:tc>
          <w:tcPr>
            <w:tcW w:w="851" w:type="dxa"/>
          </w:tcPr>
          <w:p w14:paraId="29D50BE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35,6</w:t>
            </w:r>
          </w:p>
        </w:tc>
        <w:tc>
          <w:tcPr>
            <w:tcW w:w="850" w:type="dxa"/>
          </w:tcPr>
          <w:p w14:paraId="6D37090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47,5</w:t>
            </w:r>
          </w:p>
        </w:tc>
        <w:tc>
          <w:tcPr>
            <w:tcW w:w="851" w:type="dxa"/>
          </w:tcPr>
          <w:p w14:paraId="7361C5B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47,6</w:t>
            </w:r>
          </w:p>
        </w:tc>
        <w:tc>
          <w:tcPr>
            <w:tcW w:w="850" w:type="dxa"/>
          </w:tcPr>
          <w:p w14:paraId="08EA6FE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36,0</w:t>
            </w:r>
          </w:p>
        </w:tc>
        <w:tc>
          <w:tcPr>
            <w:tcW w:w="853" w:type="dxa"/>
            <w:gridSpan w:val="2"/>
          </w:tcPr>
          <w:p w14:paraId="24D4690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gridSpan w:val="2"/>
          </w:tcPr>
          <w:p w14:paraId="03CD350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50,2</w:t>
            </w:r>
          </w:p>
        </w:tc>
      </w:tr>
      <w:tr w:rsidR="00117C0D" w:rsidRPr="003954D9" w14:paraId="31562DDE" w14:textId="77777777" w:rsidTr="00D37D9E">
        <w:trPr>
          <w:gridAfter w:val="1"/>
          <w:wAfter w:w="14" w:type="dxa"/>
          <w:trHeight w:val="227"/>
        </w:trPr>
        <w:tc>
          <w:tcPr>
            <w:tcW w:w="1618" w:type="dxa"/>
          </w:tcPr>
          <w:p w14:paraId="70336DA1" w14:textId="6B8737BD"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Ensamst. m. barn </w:t>
            </w:r>
            <w:r w:rsidR="00365C66" w:rsidRPr="003954D9">
              <w:rPr>
                <w:rFonts w:ascii="Calibri" w:eastAsiaTheme="minorHAnsi" w:hAnsi="Calibri" w:cs="Calibri"/>
                <w:color w:val="000000"/>
                <w:sz w:val="16"/>
                <w:szCs w:val="16"/>
                <w:lang w:eastAsia="en-US"/>
              </w:rPr>
              <w:t>0–19</w:t>
            </w:r>
            <w:r w:rsidRPr="003954D9">
              <w:rPr>
                <w:rFonts w:ascii="Calibri" w:eastAsiaTheme="minorHAnsi" w:hAnsi="Calibri" w:cs="Calibri"/>
                <w:color w:val="000000"/>
                <w:sz w:val="16"/>
                <w:szCs w:val="16"/>
                <w:lang w:eastAsia="en-US"/>
              </w:rPr>
              <w:t xml:space="preserve"> år</w:t>
            </w:r>
          </w:p>
        </w:tc>
        <w:tc>
          <w:tcPr>
            <w:tcW w:w="826" w:type="dxa"/>
          </w:tcPr>
          <w:p w14:paraId="0001B067"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34,3</w:t>
            </w:r>
          </w:p>
        </w:tc>
        <w:tc>
          <w:tcPr>
            <w:tcW w:w="850" w:type="dxa"/>
          </w:tcPr>
          <w:p w14:paraId="5BD91D1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31,2</w:t>
            </w:r>
          </w:p>
        </w:tc>
        <w:tc>
          <w:tcPr>
            <w:tcW w:w="845" w:type="dxa"/>
            <w:gridSpan w:val="2"/>
          </w:tcPr>
          <w:p w14:paraId="333D9B4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22,6</w:t>
            </w:r>
          </w:p>
        </w:tc>
        <w:tc>
          <w:tcPr>
            <w:tcW w:w="709" w:type="dxa"/>
          </w:tcPr>
          <w:p w14:paraId="5D7AC2A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51" w:type="dxa"/>
          </w:tcPr>
          <w:p w14:paraId="498AE5B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21,3</w:t>
            </w:r>
          </w:p>
        </w:tc>
        <w:tc>
          <w:tcPr>
            <w:tcW w:w="850" w:type="dxa"/>
          </w:tcPr>
          <w:p w14:paraId="709BCE9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20,7</w:t>
            </w:r>
          </w:p>
        </w:tc>
        <w:tc>
          <w:tcPr>
            <w:tcW w:w="851" w:type="dxa"/>
          </w:tcPr>
          <w:p w14:paraId="24521FC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27,6</w:t>
            </w:r>
          </w:p>
        </w:tc>
        <w:tc>
          <w:tcPr>
            <w:tcW w:w="850" w:type="dxa"/>
          </w:tcPr>
          <w:p w14:paraId="7D9AA8F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18,0</w:t>
            </w:r>
          </w:p>
        </w:tc>
        <w:tc>
          <w:tcPr>
            <w:tcW w:w="853" w:type="dxa"/>
            <w:gridSpan w:val="2"/>
          </w:tcPr>
          <w:p w14:paraId="31507C4C"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17,8</w:t>
            </w:r>
          </w:p>
        </w:tc>
        <w:tc>
          <w:tcPr>
            <w:tcW w:w="852" w:type="dxa"/>
            <w:gridSpan w:val="2"/>
          </w:tcPr>
          <w:p w14:paraId="77BD398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31,5</w:t>
            </w:r>
          </w:p>
        </w:tc>
      </w:tr>
      <w:tr w:rsidR="00117C0D" w:rsidRPr="003954D9" w14:paraId="3A127158" w14:textId="77777777" w:rsidTr="00D37D9E">
        <w:trPr>
          <w:gridAfter w:val="1"/>
          <w:wAfter w:w="14" w:type="dxa"/>
          <w:trHeight w:val="227"/>
        </w:trPr>
        <w:tc>
          <w:tcPr>
            <w:tcW w:w="1618" w:type="dxa"/>
          </w:tcPr>
          <w:p w14:paraId="522A6E7F" w14:textId="2618EAF3"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Sambo u. barn </w:t>
            </w:r>
            <w:r w:rsidR="00365C66" w:rsidRPr="003954D9">
              <w:rPr>
                <w:rFonts w:ascii="Calibri" w:eastAsiaTheme="minorHAnsi" w:hAnsi="Calibri" w:cs="Calibri"/>
                <w:color w:val="000000"/>
                <w:sz w:val="16"/>
                <w:szCs w:val="16"/>
                <w:lang w:eastAsia="en-US"/>
              </w:rPr>
              <w:t>18–64</w:t>
            </w:r>
            <w:r w:rsidRPr="003954D9">
              <w:rPr>
                <w:rFonts w:ascii="Calibri" w:eastAsiaTheme="minorHAnsi" w:hAnsi="Calibri" w:cs="Calibri"/>
                <w:color w:val="000000"/>
                <w:sz w:val="16"/>
                <w:szCs w:val="16"/>
                <w:lang w:eastAsia="en-US"/>
              </w:rPr>
              <w:t xml:space="preserve"> år</w:t>
            </w:r>
          </w:p>
        </w:tc>
        <w:tc>
          <w:tcPr>
            <w:tcW w:w="826" w:type="dxa"/>
          </w:tcPr>
          <w:p w14:paraId="40DDD79A"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9,9</w:t>
            </w:r>
          </w:p>
        </w:tc>
        <w:tc>
          <w:tcPr>
            <w:tcW w:w="850" w:type="dxa"/>
          </w:tcPr>
          <w:p w14:paraId="19A5042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6,0</w:t>
            </w:r>
          </w:p>
        </w:tc>
        <w:tc>
          <w:tcPr>
            <w:tcW w:w="845" w:type="dxa"/>
            <w:gridSpan w:val="2"/>
          </w:tcPr>
          <w:p w14:paraId="6A9CA0B5"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2,0</w:t>
            </w:r>
          </w:p>
        </w:tc>
        <w:tc>
          <w:tcPr>
            <w:tcW w:w="709" w:type="dxa"/>
          </w:tcPr>
          <w:p w14:paraId="15CE327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w:t>
            </w:r>
          </w:p>
        </w:tc>
        <w:tc>
          <w:tcPr>
            <w:tcW w:w="851" w:type="dxa"/>
          </w:tcPr>
          <w:p w14:paraId="227302F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w:t>
            </w:r>
          </w:p>
        </w:tc>
        <w:tc>
          <w:tcPr>
            <w:tcW w:w="850" w:type="dxa"/>
          </w:tcPr>
          <w:p w14:paraId="314530E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5,3</w:t>
            </w:r>
          </w:p>
        </w:tc>
        <w:tc>
          <w:tcPr>
            <w:tcW w:w="851" w:type="dxa"/>
          </w:tcPr>
          <w:p w14:paraId="46727EE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9,4</w:t>
            </w:r>
          </w:p>
        </w:tc>
        <w:tc>
          <w:tcPr>
            <w:tcW w:w="850" w:type="dxa"/>
          </w:tcPr>
          <w:p w14:paraId="317AAA4D"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2,0</w:t>
            </w:r>
          </w:p>
        </w:tc>
        <w:tc>
          <w:tcPr>
            <w:tcW w:w="853" w:type="dxa"/>
            <w:gridSpan w:val="2"/>
          </w:tcPr>
          <w:p w14:paraId="49E40BA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gridSpan w:val="2"/>
          </w:tcPr>
          <w:p w14:paraId="4CA03B5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9,7</w:t>
            </w:r>
          </w:p>
        </w:tc>
      </w:tr>
      <w:tr w:rsidR="00117C0D" w:rsidRPr="003954D9" w14:paraId="3A059211" w14:textId="77777777" w:rsidTr="00D37D9E">
        <w:trPr>
          <w:gridAfter w:val="1"/>
          <w:wAfter w:w="14" w:type="dxa"/>
          <w:trHeight w:val="227"/>
        </w:trPr>
        <w:tc>
          <w:tcPr>
            <w:tcW w:w="1618" w:type="dxa"/>
          </w:tcPr>
          <w:p w14:paraId="709321E5" w14:textId="2201000F"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Sambo u. barn </w:t>
            </w:r>
            <w:r w:rsidR="00365C66" w:rsidRPr="003954D9">
              <w:rPr>
                <w:rFonts w:ascii="Calibri" w:eastAsiaTheme="minorHAnsi" w:hAnsi="Calibri" w:cs="Calibri"/>
                <w:color w:val="000000"/>
                <w:sz w:val="16"/>
                <w:szCs w:val="16"/>
                <w:lang w:eastAsia="en-US"/>
              </w:rPr>
              <w:t>65-år</w:t>
            </w:r>
          </w:p>
        </w:tc>
        <w:tc>
          <w:tcPr>
            <w:tcW w:w="826" w:type="dxa"/>
          </w:tcPr>
          <w:p w14:paraId="578841BB"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19,7</w:t>
            </w:r>
          </w:p>
        </w:tc>
        <w:tc>
          <w:tcPr>
            <w:tcW w:w="850" w:type="dxa"/>
          </w:tcPr>
          <w:p w14:paraId="214E805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45" w:type="dxa"/>
            <w:gridSpan w:val="2"/>
          </w:tcPr>
          <w:p w14:paraId="5B9F836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09" w:type="dxa"/>
          </w:tcPr>
          <w:p w14:paraId="11808D1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1" w:type="dxa"/>
          </w:tcPr>
          <w:p w14:paraId="0BB1653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0" w:type="dxa"/>
          </w:tcPr>
          <w:p w14:paraId="2F84380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1" w:type="dxa"/>
          </w:tcPr>
          <w:p w14:paraId="7E676BD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15,8</w:t>
            </w:r>
          </w:p>
        </w:tc>
        <w:tc>
          <w:tcPr>
            <w:tcW w:w="850" w:type="dxa"/>
          </w:tcPr>
          <w:p w14:paraId="60A01EF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p>
        </w:tc>
        <w:tc>
          <w:tcPr>
            <w:tcW w:w="853" w:type="dxa"/>
            <w:gridSpan w:val="2"/>
          </w:tcPr>
          <w:p w14:paraId="79D1F00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gridSpan w:val="2"/>
          </w:tcPr>
          <w:p w14:paraId="05F2431E"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0070C0"/>
                <w:sz w:val="16"/>
                <w:szCs w:val="16"/>
                <w:lang w:eastAsia="en-US"/>
              </w:rPr>
              <w:t>8,4</w:t>
            </w:r>
          </w:p>
        </w:tc>
      </w:tr>
      <w:tr w:rsidR="00117C0D" w:rsidRPr="003954D9" w14:paraId="4F079D97" w14:textId="77777777" w:rsidTr="00D37D9E">
        <w:trPr>
          <w:gridAfter w:val="1"/>
          <w:wAfter w:w="14" w:type="dxa"/>
          <w:trHeight w:val="227"/>
        </w:trPr>
        <w:tc>
          <w:tcPr>
            <w:tcW w:w="1618" w:type="dxa"/>
          </w:tcPr>
          <w:p w14:paraId="02C16A8D" w14:textId="1903A113"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Sambo m. 1 barn </w:t>
            </w:r>
            <w:r w:rsidR="00365C66" w:rsidRPr="003954D9">
              <w:rPr>
                <w:rFonts w:ascii="Calibri" w:eastAsiaTheme="minorHAnsi" w:hAnsi="Calibri" w:cs="Calibri"/>
                <w:color w:val="000000"/>
                <w:sz w:val="16"/>
                <w:szCs w:val="16"/>
                <w:lang w:eastAsia="en-US"/>
              </w:rPr>
              <w:t>0–19</w:t>
            </w:r>
            <w:r w:rsidRPr="003954D9">
              <w:rPr>
                <w:rFonts w:ascii="Calibri" w:eastAsiaTheme="minorHAnsi" w:hAnsi="Calibri" w:cs="Calibri"/>
                <w:color w:val="000000"/>
                <w:sz w:val="16"/>
                <w:szCs w:val="16"/>
                <w:lang w:eastAsia="en-US"/>
              </w:rPr>
              <w:t xml:space="preserve"> år</w:t>
            </w:r>
          </w:p>
        </w:tc>
        <w:tc>
          <w:tcPr>
            <w:tcW w:w="826" w:type="dxa"/>
          </w:tcPr>
          <w:p w14:paraId="5121449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c>
          <w:tcPr>
            <w:tcW w:w="850" w:type="dxa"/>
          </w:tcPr>
          <w:p w14:paraId="0450420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13,4</w:t>
            </w:r>
          </w:p>
        </w:tc>
        <w:tc>
          <w:tcPr>
            <w:tcW w:w="845" w:type="dxa"/>
            <w:gridSpan w:val="2"/>
          </w:tcPr>
          <w:p w14:paraId="1600C3E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09" w:type="dxa"/>
          </w:tcPr>
          <w:p w14:paraId="36676C5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3,6</w:t>
            </w:r>
          </w:p>
        </w:tc>
        <w:tc>
          <w:tcPr>
            <w:tcW w:w="851" w:type="dxa"/>
          </w:tcPr>
          <w:p w14:paraId="38B380F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4,8</w:t>
            </w:r>
          </w:p>
        </w:tc>
        <w:tc>
          <w:tcPr>
            <w:tcW w:w="850" w:type="dxa"/>
          </w:tcPr>
          <w:p w14:paraId="59679B9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7,5</w:t>
            </w:r>
          </w:p>
        </w:tc>
        <w:tc>
          <w:tcPr>
            <w:tcW w:w="851" w:type="dxa"/>
          </w:tcPr>
          <w:p w14:paraId="76C990A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8,7</w:t>
            </w:r>
          </w:p>
        </w:tc>
        <w:tc>
          <w:tcPr>
            <w:tcW w:w="850" w:type="dxa"/>
          </w:tcPr>
          <w:p w14:paraId="2DBE4BFA"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2,5</w:t>
            </w:r>
          </w:p>
        </w:tc>
        <w:tc>
          <w:tcPr>
            <w:tcW w:w="853" w:type="dxa"/>
            <w:gridSpan w:val="2"/>
          </w:tcPr>
          <w:p w14:paraId="7875876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gridSpan w:val="2"/>
          </w:tcPr>
          <w:p w14:paraId="4FD8E64B"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14,3</w:t>
            </w:r>
          </w:p>
        </w:tc>
      </w:tr>
      <w:tr w:rsidR="00117C0D" w:rsidRPr="003954D9" w14:paraId="7B79D2C2" w14:textId="77777777" w:rsidTr="00D37D9E">
        <w:trPr>
          <w:gridAfter w:val="1"/>
          <w:wAfter w:w="14" w:type="dxa"/>
          <w:trHeight w:val="227"/>
        </w:trPr>
        <w:tc>
          <w:tcPr>
            <w:tcW w:w="1618" w:type="dxa"/>
          </w:tcPr>
          <w:p w14:paraId="72359B98" w14:textId="451F54FB"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Sambo m. 2 barn </w:t>
            </w:r>
            <w:r w:rsidR="00365C66" w:rsidRPr="003954D9">
              <w:rPr>
                <w:rFonts w:ascii="Calibri" w:eastAsiaTheme="minorHAnsi" w:hAnsi="Calibri" w:cs="Calibri"/>
                <w:color w:val="000000"/>
                <w:sz w:val="16"/>
                <w:szCs w:val="16"/>
                <w:lang w:eastAsia="en-US"/>
              </w:rPr>
              <w:t>0–19</w:t>
            </w:r>
            <w:r w:rsidRPr="003954D9">
              <w:rPr>
                <w:rFonts w:ascii="Calibri" w:eastAsiaTheme="minorHAnsi" w:hAnsi="Calibri" w:cs="Calibri"/>
                <w:color w:val="000000"/>
                <w:sz w:val="16"/>
                <w:szCs w:val="16"/>
                <w:lang w:eastAsia="en-US"/>
              </w:rPr>
              <w:t xml:space="preserve"> år</w:t>
            </w:r>
          </w:p>
        </w:tc>
        <w:tc>
          <w:tcPr>
            <w:tcW w:w="826" w:type="dxa"/>
          </w:tcPr>
          <w:p w14:paraId="0D9F0C1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16,0</w:t>
            </w:r>
          </w:p>
        </w:tc>
        <w:tc>
          <w:tcPr>
            <w:tcW w:w="850" w:type="dxa"/>
          </w:tcPr>
          <w:p w14:paraId="299F50D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12,2</w:t>
            </w:r>
          </w:p>
        </w:tc>
        <w:tc>
          <w:tcPr>
            <w:tcW w:w="845" w:type="dxa"/>
            <w:gridSpan w:val="2"/>
          </w:tcPr>
          <w:p w14:paraId="5FECAEA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09" w:type="dxa"/>
          </w:tcPr>
          <w:p w14:paraId="15F4399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1" w:type="dxa"/>
          </w:tcPr>
          <w:p w14:paraId="5553482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0" w:type="dxa"/>
          </w:tcPr>
          <w:p w14:paraId="7703CD4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851" w:type="dxa"/>
          </w:tcPr>
          <w:p w14:paraId="67E6A66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14,1</w:t>
            </w:r>
          </w:p>
        </w:tc>
        <w:tc>
          <w:tcPr>
            <w:tcW w:w="850" w:type="dxa"/>
          </w:tcPr>
          <w:p w14:paraId="1689E109"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1,8</w:t>
            </w:r>
          </w:p>
        </w:tc>
        <w:tc>
          <w:tcPr>
            <w:tcW w:w="853" w:type="dxa"/>
            <w:gridSpan w:val="2"/>
          </w:tcPr>
          <w:p w14:paraId="428ACB2B"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color w:val="000000"/>
                <w:sz w:val="16"/>
                <w:szCs w:val="16"/>
                <w:lang w:eastAsia="en-US"/>
              </w:rPr>
              <w:t>…</w:t>
            </w:r>
          </w:p>
        </w:tc>
        <w:tc>
          <w:tcPr>
            <w:tcW w:w="852" w:type="dxa"/>
            <w:gridSpan w:val="2"/>
          </w:tcPr>
          <w:p w14:paraId="61A1139A"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18,8</w:t>
            </w:r>
          </w:p>
        </w:tc>
      </w:tr>
      <w:tr w:rsidR="00117C0D" w:rsidRPr="003954D9" w14:paraId="27F43B35" w14:textId="77777777" w:rsidTr="00D37D9E">
        <w:trPr>
          <w:gridAfter w:val="1"/>
          <w:wAfter w:w="14" w:type="dxa"/>
          <w:trHeight w:val="227"/>
        </w:trPr>
        <w:tc>
          <w:tcPr>
            <w:tcW w:w="1618" w:type="dxa"/>
          </w:tcPr>
          <w:p w14:paraId="0B975830" w14:textId="1887F744"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Sambo m. 3- barn </w:t>
            </w:r>
            <w:r w:rsidR="00365C66" w:rsidRPr="003954D9">
              <w:rPr>
                <w:rFonts w:ascii="Calibri" w:eastAsiaTheme="minorHAnsi" w:hAnsi="Calibri" w:cs="Calibri"/>
                <w:color w:val="000000"/>
                <w:sz w:val="16"/>
                <w:szCs w:val="16"/>
                <w:lang w:eastAsia="en-US"/>
              </w:rPr>
              <w:t>0–19</w:t>
            </w:r>
            <w:r w:rsidRPr="003954D9">
              <w:rPr>
                <w:rFonts w:ascii="Calibri" w:eastAsiaTheme="minorHAnsi" w:hAnsi="Calibri" w:cs="Calibri"/>
                <w:color w:val="000000"/>
                <w:sz w:val="16"/>
                <w:szCs w:val="16"/>
                <w:lang w:eastAsia="en-US"/>
              </w:rPr>
              <w:t xml:space="preserve"> år</w:t>
            </w:r>
          </w:p>
        </w:tc>
        <w:tc>
          <w:tcPr>
            <w:tcW w:w="826" w:type="dxa"/>
          </w:tcPr>
          <w:p w14:paraId="481ED8B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22,7</w:t>
            </w:r>
          </w:p>
        </w:tc>
        <w:tc>
          <w:tcPr>
            <w:tcW w:w="850" w:type="dxa"/>
          </w:tcPr>
          <w:p w14:paraId="626CD5E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45" w:type="dxa"/>
            <w:gridSpan w:val="2"/>
          </w:tcPr>
          <w:p w14:paraId="045798B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09" w:type="dxa"/>
          </w:tcPr>
          <w:p w14:paraId="2F8AD0D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1" w:type="dxa"/>
          </w:tcPr>
          <w:p w14:paraId="7B79B31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0" w:type="dxa"/>
          </w:tcPr>
          <w:p w14:paraId="06D7AEE1"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5,2</w:t>
            </w:r>
          </w:p>
        </w:tc>
        <w:tc>
          <w:tcPr>
            <w:tcW w:w="851" w:type="dxa"/>
          </w:tcPr>
          <w:p w14:paraId="1B5CB29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50" w:type="dxa"/>
          </w:tcPr>
          <w:p w14:paraId="4E3C6EA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9,1</w:t>
            </w:r>
          </w:p>
        </w:tc>
        <w:tc>
          <w:tcPr>
            <w:tcW w:w="853" w:type="dxa"/>
            <w:gridSpan w:val="2"/>
          </w:tcPr>
          <w:p w14:paraId="7F6DB2B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p>
        </w:tc>
        <w:tc>
          <w:tcPr>
            <w:tcW w:w="852" w:type="dxa"/>
            <w:gridSpan w:val="2"/>
          </w:tcPr>
          <w:p w14:paraId="2E6D08B8"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31,4</w:t>
            </w:r>
          </w:p>
        </w:tc>
      </w:tr>
      <w:tr w:rsidR="00117C0D" w:rsidRPr="003954D9" w14:paraId="4239D883" w14:textId="77777777" w:rsidTr="00D37D9E">
        <w:trPr>
          <w:gridAfter w:val="1"/>
          <w:wAfter w:w="14" w:type="dxa"/>
          <w:trHeight w:val="227"/>
        </w:trPr>
        <w:tc>
          <w:tcPr>
            <w:tcW w:w="1618" w:type="dxa"/>
          </w:tcPr>
          <w:p w14:paraId="5F903B37" w14:textId="7E2348D6"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Övr</w:t>
            </w:r>
            <w:r w:rsidR="00D37D9E">
              <w:rPr>
                <w:rFonts w:ascii="Calibri" w:eastAsiaTheme="minorHAnsi" w:hAnsi="Calibri" w:cs="Calibri"/>
                <w:color w:val="000000"/>
                <w:sz w:val="16"/>
                <w:szCs w:val="16"/>
                <w:lang w:eastAsia="en-US"/>
              </w:rPr>
              <w:t>.</w:t>
            </w:r>
            <w:r w:rsidRPr="003954D9">
              <w:rPr>
                <w:rFonts w:ascii="Calibri" w:eastAsiaTheme="minorHAnsi" w:hAnsi="Calibri" w:cs="Calibri"/>
                <w:color w:val="000000"/>
                <w:sz w:val="16"/>
                <w:szCs w:val="16"/>
                <w:lang w:eastAsia="en-US"/>
              </w:rPr>
              <w:t xml:space="preserve"> hushåll u. barn </w:t>
            </w:r>
          </w:p>
        </w:tc>
        <w:tc>
          <w:tcPr>
            <w:tcW w:w="826" w:type="dxa"/>
          </w:tcPr>
          <w:p w14:paraId="3B3C9A7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7,0</w:t>
            </w:r>
          </w:p>
        </w:tc>
        <w:tc>
          <w:tcPr>
            <w:tcW w:w="850" w:type="dxa"/>
          </w:tcPr>
          <w:p w14:paraId="1EFE161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6,2</w:t>
            </w:r>
          </w:p>
        </w:tc>
        <w:tc>
          <w:tcPr>
            <w:tcW w:w="845" w:type="dxa"/>
            <w:gridSpan w:val="2"/>
          </w:tcPr>
          <w:p w14:paraId="14A1D11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w:t>
            </w:r>
          </w:p>
        </w:tc>
        <w:tc>
          <w:tcPr>
            <w:tcW w:w="709" w:type="dxa"/>
          </w:tcPr>
          <w:p w14:paraId="1EE002D4"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3,3</w:t>
            </w:r>
          </w:p>
        </w:tc>
        <w:tc>
          <w:tcPr>
            <w:tcW w:w="851" w:type="dxa"/>
          </w:tcPr>
          <w:p w14:paraId="12D948D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w:t>
            </w:r>
          </w:p>
        </w:tc>
        <w:tc>
          <w:tcPr>
            <w:tcW w:w="850" w:type="dxa"/>
          </w:tcPr>
          <w:p w14:paraId="34CB76E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5,8</w:t>
            </w:r>
          </w:p>
        </w:tc>
        <w:tc>
          <w:tcPr>
            <w:tcW w:w="851" w:type="dxa"/>
          </w:tcPr>
          <w:p w14:paraId="7C9D7B3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5,3</w:t>
            </w:r>
          </w:p>
        </w:tc>
        <w:tc>
          <w:tcPr>
            <w:tcW w:w="850" w:type="dxa"/>
          </w:tcPr>
          <w:p w14:paraId="408D047C"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3,3</w:t>
            </w:r>
          </w:p>
        </w:tc>
        <w:tc>
          <w:tcPr>
            <w:tcW w:w="853" w:type="dxa"/>
            <w:gridSpan w:val="2"/>
          </w:tcPr>
          <w:p w14:paraId="7CF1EDA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gridSpan w:val="2"/>
          </w:tcPr>
          <w:p w14:paraId="6837DD83"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7,2</w:t>
            </w:r>
          </w:p>
        </w:tc>
      </w:tr>
      <w:tr w:rsidR="00117C0D" w:rsidRPr="003954D9" w14:paraId="6734D4F1" w14:textId="77777777" w:rsidTr="00D37D9E">
        <w:trPr>
          <w:gridAfter w:val="1"/>
          <w:wAfter w:w="14" w:type="dxa"/>
          <w:trHeight w:val="227"/>
        </w:trPr>
        <w:tc>
          <w:tcPr>
            <w:tcW w:w="1618" w:type="dxa"/>
          </w:tcPr>
          <w:p w14:paraId="4033DEF9" w14:textId="1BDB60EB"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Övr</w:t>
            </w:r>
            <w:r w:rsidR="00DD3DF3">
              <w:rPr>
                <w:rFonts w:ascii="Calibri" w:eastAsiaTheme="minorHAnsi" w:hAnsi="Calibri" w:cs="Calibri"/>
                <w:color w:val="000000"/>
                <w:sz w:val="16"/>
                <w:szCs w:val="16"/>
                <w:lang w:eastAsia="en-US"/>
              </w:rPr>
              <w:t>.</w:t>
            </w:r>
            <w:r w:rsidRPr="003954D9">
              <w:rPr>
                <w:rFonts w:ascii="Calibri" w:eastAsiaTheme="minorHAnsi" w:hAnsi="Calibri" w:cs="Calibri"/>
                <w:color w:val="000000"/>
                <w:sz w:val="16"/>
                <w:szCs w:val="16"/>
                <w:lang w:eastAsia="en-US"/>
              </w:rPr>
              <w:t xml:space="preserve"> hushåll m. barn</w:t>
            </w:r>
          </w:p>
        </w:tc>
        <w:tc>
          <w:tcPr>
            <w:tcW w:w="826" w:type="dxa"/>
          </w:tcPr>
          <w:p w14:paraId="20FDD7F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7,6</w:t>
            </w:r>
          </w:p>
        </w:tc>
        <w:tc>
          <w:tcPr>
            <w:tcW w:w="850" w:type="dxa"/>
          </w:tcPr>
          <w:p w14:paraId="4551F81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7,8</w:t>
            </w:r>
          </w:p>
        </w:tc>
        <w:tc>
          <w:tcPr>
            <w:tcW w:w="845" w:type="dxa"/>
            <w:gridSpan w:val="2"/>
          </w:tcPr>
          <w:p w14:paraId="74A76564"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155ABC">
              <w:rPr>
                <w:rFonts w:ascii="Calibri" w:eastAsiaTheme="minorHAnsi" w:hAnsi="Calibri" w:cs="Calibri"/>
                <w:b/>
                <w:color w:val="0070C0"/>
                <w:sz w:val="16"/>
                <w:szCs w:val="16"/>
                <w:lang w:eastAsia="en-US"/>
              </w:rPr>
              <w:t>4,3</w:t>
            </w:r>
          </w:p>
        </w:tc>
        <w:tc>
          <w:tcPr>
            <w:tcW w:w="709" w:type="dxa"/>
          </w:tcPr>
          <w:p w14:paraId="54E9A1C4"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9,9</w:t>
            </w:r>
          </w:p>
        </w:tc>
        <w:tc>
          <w:tcPr>
            <w:tcW w:w="851" w:type="dxa"/>
          </w:tcPr>
          <w:p w14:paraId="21EFC08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4,8</w:t>
            </w:r>
          </w:p>
        </w:tc>
        <w:tc>
          <w:tcPr>
            <w:tcW w:w="850" w:type="dxa"/>
          </w:tcPr>
          <w:p w14:paraId="05BA039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6,1</w:t>
            </w:r>
          </w:p>
        </w:tc>
        <w:tc>
          <w:tcPr>
            <w:tcW w:w="851" w:type="dxa"/>
          </w:tcPr>
          <w:p w14:paraId="4C27833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7,6</w:t>
            </w:r>
          </w:p>
        </w:tc>
        <w:tc>
          <w:tcPr>
            <w:tcW w:w="850" w:type="dxa"/>
          </w:tcPr>
          <w:p w14:paraId="22E13E3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5,1</w:t>
            </w:r>
          </w:p>
        </w:tc>
        <w:tc>
          <w:tcPr>
            <w:tcW w:w="853" w:type="dxa"/>
            <w:gridSpan w:val="2"/>
          </w:tcPr>
          <w:p w14:paraId="361C225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2" w:type="dxa"/>
            <w:gridSpan w:val="2"/>
          </w:tcPr>
          <w:p w14:paraId="705E2816"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9,9</w:t>
            </w:r>
          </w:p>
        </w:tc>
      </w:tr>
      <w:tr w:rsidR="00117C0D" w:rsidRPr="003954D9" w14:paraId="68FD7131" w14:textId="77777777" w:rsidTr="00D37D9E">
        <w:trPr>
          <w:gridAfter w:val="1"/>
          <w:wAfter w:w="14" w:type="dxa"/>
          <w:trHeight w:val="227"/>
        </w:trPr>
        <w:tc>
          <w:tcPr>
            <w:tcW w:w="1618" w:type="dxa"/>
          </w:tcPr>
          <w:p w14:paraId="70DA129D"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Samtliga</w:t>
            </w:r>
          </w:p>
        </w:tc>
        <w:tc>
          <w:tcPr>
            <w:tcW w:w="826" w:type="dxa"/>
          </w:tcPr>
          <w:p w14:paraId="790914E8"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21,4</w:t>
            </w:r>
          </w:p>
        </w:tc>
        <w:tc>
          <w:tcPr>
            <w:tcW w:w="850" w:type="dxa"/>
          </w:tcPr>
          <w:p w14:paraId="6C73FC7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20,5</w:t>
            </w:r>
          </w:p>
        </w:tc>
        <w:tc>
          <w:tcPr>
            <w:tcW w:w="845" w:type="dxa"/>
            <w:gridSpan w:val="2"/>
          </w:tcPr>
          <w:p w14:paraId="38AA637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15,2</w:t>
            </w:r>
          </w:p>
        </w:tc>
        <w:tc>
          <w:tcPr>
            <w:tcW w:w="709" w:type="dxa"/>
          </w:tcPr>
          <w:p w14:paraId="7BB773AB" w14:textId="77777777" w:rsidR="00117C0D" w:rsidRPr="003954D9" w:rsidRDefault="00117C0D" w:rsidP="00117C0D">
            <w:pPr>
              <w:autoSpaceDE w:val="0"/>
              <w:autoSpaceDN w:val="0"/>
              <w:adjustRightInd w:val="0"/>
              <w:jc w:val="right"/>
              <w:rPr>
                <w:rFonts w:ascii="Calibri" w:eastAsiaTheme="minorHAnsi" w:hAnsi="Calibri" w:cs="Calibri"/>
                <w:b/>
                <w:color w:val="0070C0"/>
                <w:sz w:val="16"/>
                <w:szCs w:val="16"/>
                <w:lang w:eastAsia="en-US"/>
              </w:rPr>
            </w:pPr>
            <w:r w:rsidRPr="003954D9">
              <w:rPr>
                <w:rFonts w:ascii="Calibri" w:eastAsiaTheme="minorHAnsi" w:hAnsi="Calibri" w:cs="Calibri"/>
                <w:b/>
                <w:color w:val="0070C0"/>
                <w:sz w:val="16"/>
                <w:szCs w:val="16"/>
                <w:lang w:eastAsia="en-US"/>
              </w:rPr>
              <w:t>12,4</w:t>
            </w:r>
          </w:p>
        </w:tc>
        <w:tc>
          <w:tcPr>
            <w:tcW w:w="851" w:type="dxa"/>
          </w:tcPr>
          <w:p w14:paraId="47DD6F5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14,1</w:t>
            </w:r>
          </w:p>
        </w:tc>
        <w:tc>
          <w:tcPr>
            <w:tcW w:w="850" w:type="dxa"/>
          </w:tcPr>
          <w:p w14:paraId="15053F2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16,8</w:t>
            </w:r>
          </w:p>
        </w:tc>
        <w:tc>
          <w:tcPr>
            <w:tcW w:w="851" w:type="dxa"/>
          </w:tcPr>
          <w:p w14:paraId="0553F617"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21,5</w:t>
            </w:r>
          </w:p>
        </w:tc>
        <w:tc>
          <w:tcPr>
            <w:tcW w:w="850" w:type="dxa"/>
          </w:tcPr>
          <w:p w14:paraId="011471B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13,3</w:t>
            </w:r>
          </w:p>
        </w:tc>
        <w:tc>
          <w:tcPr>
            <w:tcW w:w="853" w:type="dxa"/>
            <w:gridSpan w:val="2"/>
          </w:tcPr>
          <w:p w14:paraId="085AB35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14,8</w:t>
            </w:r>
          </w:p>
        </w:tc>
        <w:tc>
          <w:tcPr>
            <w:tcW w:w="852" w:type="dxa"/>
            <w:gridSpan w:val="2"/>
          </w:tcPr>
          <w:p w14:paraId="1A9F3693" w14:textId="77777777" w:rsidR="00117C0D" w:rsidRPr="003954D9" w:rsidRDefault="00117C0D" w:rsidP="00117C0D">
            <w:pPr>
              <w:autoSpaceDE w:val="0"/>
              <w:autoSpaceDN w:val="0"/>
              <w:adjustRightInd w:val="0"/>
              <w:jc w:val="right"/>
              <w:rPr>
                <w:rFonts w:ascii="Calibri" w:eastAsiaTheme="minorHAnsi" w:hAnsi="Calibri" w:cs="Calibri"/>
                <w:b/>
                <w:color w:val="000000"/>
                <w:sz w:val="16"/>
                <w:szCs w:val="16"/>
                <w:lang w:eastAsia="en-US"/>
              </w:rPr>
            </w:pPr>
            <w:r w:rsidRPr="003954D9">
              <w:rPr>
                <w:rFonts w:ascii="Calibri" w:eastAsiaTheme="minorHAnsi" w:hAnsi="Calibri" w:cs="Calibri"/>
                <w:b/>
                <w:color w:val="FF0000"/>
                <w:sz w:val="16"/>
                <w:szCs w:val="16"/>
                <w:lang w:eastAsia="en-US"/>
              </w:rPr>
              <w:t>21,4</w:t>
            </w:r>
          </w:p>
        </w:tc>
      </w:tr>
      <w:tr w:rsidR="00117C0D" w:rsidRPr="003954D9" w14:paraId="1EF6163B" w14:textId="77777777" w:rsidTr="00D37D9E">
        <w:trPr>
          <w:gridAfter w:val="1"/>
          <w:wAfter w:w="14" w:type="dxa"/>
          <w:trHeight w:val="227"/>
        </w:trPr>
        <w:tc>
          <w:tcPr>
            <w:tcW w:w="1618" w:type="dxa"/>
          </w:tcPr>
          <w:p w14:paraId="5DEC4771"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 xml:space="preserve">Ökning i antal </w:t>
            </w:r>
          </w:p>
        </w:tc>
        <w:tc>
          <w:tcPr>
            <w:tcW w:w="826" w:type="dxa"/>
          </w:tcPr>
          <w:p w14:paraId="4C7DAC1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959</w:t>
            </w:r>
          </w:p>
        </w:tc>
        <w:tc>
          <w:tcPr>
            <w:tcW w:w="850" w:type="dxa"/>
          </w:tcPr>
          <w:p w14:paraId="0C3FD9B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491</w:t>
            </w:r>
          </w:p>
        </w:tc>
        <w:tc>
          <w:tcPr>
            <w:tcW w:w="845" w:type="dxa"/>
            <w:gridSpan w:val="2"/>
          </w:tcPr>
          <w:p w14:paraId="0890999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314</w:t>
            </w:r>
          </w:p>
        </w:tc>
        <w:tc>
          <w:tcPr>
            <w:tcW w:w="709" w:type="dxa"/>
          </w:tcPr>
          <w:p w14:paraId="2E60708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113</w:t>
            </w:r>
          </w:p>
        </w:tc>
        <w:tc>
          <w:tcPr>
            <w:tcW w:w="851" w:type="dxa"/>
          </w:tcPr>
          <w:p w14:paraId="44CA840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373</w:t>
            </w:r>
          </w:p>
        </w:tc>
        <w:tc>
          <w:tcPr>
            <w:tcW w:w="850" w:type="dxa"/>
          </w:tcPr>
          <w:p w14:paraId="2837B9D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232</w:t>
            </w:r>
          </w:p>
        </w:tc>
        <w:tc>
          <w:tcPr>
            <w:tcW w:w="851" w:type="dxa"/>
          </w:tcPr>
          <w:p w14:paraId="7CE22B6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601</w:t>
            </w:r>
          </w:p>
        </w:tc>
        <w:tc>
          <w:tcPr>
            <w:tcW w:w="850" w:type="dxa"/>
          </w:tcPr>
          <w:p w14:paraId="0BA7D94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342</w:t>
            </w:r>
          </w:p>
        </w:tc>
        <w:tc>
          <w:tcPr>
            <w:tcW w:w="853" w:type="dxa"/>
            <w:gridSpan w:val="2"/>
          </w:tcPr>
          <w:p w14:paraId="4147179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w:t>
            </w:r>
          </w:p>
        </w:tc>
        <w:tc>
          <w:tcPr>
            <w:tcW w:w="852" w:type="dxa"/>
            <w:gridSpan w:val="2"/>
          </w:tcPr>
          <w:p w14:paraId="5F60C86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748</w:t>
            </w:r>
          </w:p>
        </w:tc>
      </w:tr>
    </w:tbl>
    <w:p w14:paraId="61BF88FC" w14:textId="77777777" w:rsidR="00117C0D" w:rsidRPr="003954D9" w:rsidRDefault="00117C0D" w:rsidP="00117C0D">
      <w:pPr>
        <w:rPr>
          <w:sz w:val="16"/>
          <w:szCs w:val="16"/>
        </w:rPr>
      </w:pPr>
      <w:r w:rsidRPr="00155ABC">
        <w:rPr>
          <w:b/>
          <w:color w:val="FF6600"/>
          <w:sz w:val="16"/>
          <w:szCs w:val="16"/>
        </w:rPr>
        <w:t>Röd färg högsta</w:t>
      </w:r>
      <w:r w:rsidRPr="003954D9">
        <w:rPr>
          <w:color w:val="FF6600"/>
          <w:sz w:val="16"/>
          <w:szCs w:val="16"/>
        </w:rPr>
        <w:t xml:space="preserve"> </w:t>
      </w:r>
      <w:r w:rsidRPr="003954D9">
        <w:rPr>
          <w:sz w:val="16"/>
          <w:szCs w:val="16"/>
        </w:rPr>
        <w:t xml:space="preserve">och </w:t>
      </w:r>
      <w:r w:rsidRPr="00155ABC">
        <w:rPr>
          <w:b/>
          <w:color w:val="0070C0"/>
          <w:sz w:val="16"/>
          <w:szCs w:val="16"/>
        </w:rPr>
        <w:t>blå färg lägsta</w:t>
      </w:r>
      <w:r w:rsidRPr="00155ABC">
        <w:rPr>
          <w:color w:val="0070C0"/>
          <w:sz w:val="16"/>
          <w:szCs w:val="16"/>
        </w:rPr>
        <w:t xml:space="preserve"> </w:t>
      </w:r>
      <w:r w:rsidRPr="003954D9">
        <w:rPr>
          <w:sz w:val="16"/>
          <w:szCs w:val="16"/>
        </w:rPr>
        <w:t>värde i grupp.</w:t>
      </w:r>
    </w:p>
    <w:p w14:paraId="17993C06"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lang w:eastAsia="en-US"/>
        </w:rPr>
      </w:pPr>
      <w:r w:rsidRPr="003954D9">
        <w:rPr>
          <w:rFonts w:asciiTheme="majorHAnsi" w:eastAsiaTheme="majorEastAsia" w:hAnsiTheme="majorHAnsi" w:cstheme="majorBidi"/>
          <w:color w:val="243F60" w:themeColor="accent1" w:themeShade="7F"/>
          <w:lang w:eastAsia="en-US"/>
        </w:rPr>
        <w:br w:type="page"/>
      </w:r>
    </w:p>
    <w:p w14:paraId="0BF70431" w14:textId="1A10F525"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lang w:eastAsia="en-US"/>
        </w:rPr>
      </w:pPr>
      <w:r w:rsidRPr="003954D9">
        <w:rPr>
          <w:rFonts w:asciiTheme="majorHAnsi" w:eastAsiaTheme="majorEastAsia" w:hAnsiTheme="majorHAnsi" w:cstheme="majorBidi"/>
          <w:color w:val="243F60" w:themeColor="accent1" w:themeShade="7F"/>
          <w:lang w:eastAsia="en-US"/>
        </w:rPr>
        <w:lastRenderedPageBreak/>
        <w:t>Tabell 5:3: Kvar utöver skälig levnadsnivå efter en hyreshöjning på 50 procent - medelvärden kronor per månad per person i olika hushållstyper och stadsdel</w:t>
      </w:r>
    </w:p>
    <w:tbl>
      <w:tblPr>
        <w:tblW w:w="10183" w:type="dxa"/>
        <w:tblInd w:w="-38" w:type="dxa"/>
        <w:tblLayout w:type="fixed"/>
        <w:tblCellMar>
          <w:left w:w="70" w:type="dxa"/>
          <w:right w:w="70" w:type="dxa"/>
        </w:tblCellMar>
        <w:tblLook w:val="0000" w:firstRow="0" w:lastRow="0" w:firstColumn="0" w:lastColumn="0" w:noHBand="0" w:noVBand="0"/>
      </w:tblPr>
      <w:tblGrid>
        <w:gridCol w:w="1873"/>
        <w:gridCol w:w="709"/>
        <w:gridCol w:w="850"/>
        <w:gridCol w:w="886"/>
        <w:gridCol w:w="676"/>
        <w:gridCol w:w="855"/>
        <w:gridCol w:w="854"/>
        <w:gridCol w:w="838"/>
        <w:gridCol w:w="854"/>
        <w:gridCol w:w="886"/>
        <w:gridCol w:w="902"/>
      </w:tblGrid>
      <w:tr w:rsidR="00117C0D" w:rsidRPr="003954D9" w14:paraId="11B51A2F" w14:textId="77777777" w:rsidTr="00155ABC">
        <w:trPr>
          <w:trHeight w:val="818"/>
        </w:trPr>
        <w:tc>
          <w:tcPr>
            <w:tcW w:w="1873" w:type="dxa"/>
            <w:tcBorders>
              <w:top w:val="single" w:sz="6" w:space="0" w:color="auto"/>
              <w:left w:val="single" w:sz="6" w:space="0" w:color="auto"/>
              <w:bottom w:val="single" w:sz="6" w:space="0" w:color="auto"/>
              <w:right w:val="single" w:sz="6" w:space="0" w:color="auto"/>
            </w:tcBorders>
          </w:tcPr>
          <w:p w14:paraId="1E687AB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709" w:type="dxa"/>
            <w:tcBorders>
              <w:top w:val="single" w:sz="6" w:space="0" w:color="auto"/>
              <w:left w:val="single" w:sz="6" w:space="0" w:color="auto"/>
              <w:bottom w:val="single" w:sz="6" w:space="0" w:color="auto"/>
              <w:right w:val="single" w:sz="6" w:space="0" w:color="auto"/>
            </w:tcBorders>
          </w:tcPr>
          <w:p w14:paraId="2938405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50" w:type="dxa"/>
            <w:tcBorders>
              <w:top w:val="single" w:sz="6" w:space="0" w:color="auto"/>
              <w:left w:val="single" w:sz="6" w:space="0" w:color="auto"/>
              <w:bottom w:val="single" w:sz="6" w:space="0" w:color="auto"/>
              <w:right w:val="single" w:sz="6" w:space="0" w:color="auto"/>
            </w:tcBorders>
          </w:tcPr>
          <w:p w14:paraId="6E09AB4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86" w:type="dxa"/>
            <w:tcBorders>
              <w:top w:val="single" w:sz="6" w:space="0" w:color="auto"/>
              <w:left w:val="single" w:sz="6" w:space="0" w:color="auto"/>
              <w:bottom w:val="single" w:sz="6" w:space="0" w:color="auto"/>
              <w:right w:val="single" w:sz="6" w:space="0" w:color="auto"/>
            </w:tcBorders>
          </w:tcPr>
          <w:p w14:paraId="03FD139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676" w:type="dxa"/>
            <w:tcBorders>
              <w:top w:val="single" w:sz="6" w:space="0" w:color="auto"/>
              <w:left w:val="single" w:sz="6" w:space="0" w:color="auto"/>
              <w:bottom w:val="single" w:sz="6" w:space="0" w:color="auto"/>
              <w:right w:val="single" w:sz="6" w:space="0" w:color="auto"/>
            </w:tcBorders>
          </w:tcPr>
          <w:p w14:paraId="1EE6773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55" w:type="dxa"/>
            <w:tcBorders>
              <w:top w:val="single" w:sz="6" w:space="0" w:color="auto"/>
              <w:left w:val="single" w:sz="6" w:space="0" w:color="auto"/>
              <w:bottom w:val="single" w:sz="6" w:space="0" w:color="auto"/>
              <w:right w:val="single" w:sz="6" w:space="0" w:color="auto"/>
            </w:tcBorders>
          </w:tcPr>
          <w:p w14:paraId="0A78DC5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 Linné</w:t>
            </w:r>
          </w:p>
        </w:tc>
        <w:tc>
          <w:tcPr>
            <w:tcW w:w="854" w:type="dxa"/>
            <w:tcBorders>
              <w:top w:val="single" w:sz="6" w:space="0" w:color="auto"/>
              <w:left w:val="single" w:sz="6" w:space="0" w:color="auto"/>
              <w:bottom w:val="single" w:sz="6" w:space="0" w:color="auto"/>
              <w:right w:val="single" w:sz="6" w:space="0" w:color="auto"/>
            </w:tcBorders>
          </w:tcPr>
          <w:p w14:paraId="59A8C6A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38" w:type="dxa"/>
            <w:tcBorders>
              <w:top w:val="single" w:sz="6" w:space="0" w:color="auto"/>
              <w:left w:val="single" w:sz="6" w:space="0" w:color="auto"/>
              <w:bottom w:val="single" w:sz="6" w:space="0" w:color="auto"/>
              <w:right w:val="single" w:sz="6" w:space="0" w:color="auto"/>
            </w:tcBorders>
          </w:tcPr>
          <w:p w14:paraId="3AD9A32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54" w:type="dxa"/>
            <w:tcBorders>
              <w:top w:val="single" w:sz="6" w:space="0" w:color="auto"/>
              <w:left w:val="single" w:sz="6" w:space="0" w:color="auto"/>
              <w:bottom w:val="single" w:sz="6" w:space="0" w:color="auto"/>
              <w:right w:val="single" w:sz="6" w:space="0" w:color="auto"/>
            </w:tcBorders>
          </w:tcPr>
          <w:p w14:paraId="4A53CDC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86" w:type="dxa"/>
            <w:tcBorders>
              <w:top w:val="single" w:sz="6" w:space="0" w:color="auto"/>
              <w:left w:val="single" w:sz="6" w:space="0" w:color="auto"/>
              <w:bottom w:val="single" w:sz="6" w:space="0" w:color="auto"/>
              <w:right w:val="single" w:sz="6" w:space="0" w:color="auto"/>
            </w:tcBorders>
          </w:tcPr>
          <w:p w14:paraId="0C0A2C4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02" w:type="dxa"/>
            <w:tcBorders>
              <w:top w:val="single" w:sz="6" w:space="0" w:color="auto"/>
              <w:left w:val="single" w:sz="6" w:space="0" w:color="auto"/>
              <w:bottom w:val="single" w:sz="6" w:space="0" w:color="auto"/>
              <w:right w:val="single" w:sz="6" w:space="0" w:color="auto"/>
            </w:tcBorders>
          </w:tcPr>
          <w:p w14:paraId="7D506EB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117C0D" w:rsidRPr="003954D9" w14:paraId="13455D9D"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6BBA4886" w14:textId="33CE34BD"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647D3982" w14:textId="77777777" w:rsidR="00117C0D" w:rsidRPr="00155ABC" w:rsidRDefault="00117C0D" w:rsidP="00117C0D">
            <w:pPr>
              <w:autoSpaceDE w:val="0"/>
              <w:autoSpaceDN w:val="0"/>
              <w:adjustRightInd w:val="0"/>
              <w:jc w:val="right"/>
              <w:rPr>
                <w:rFonts w:ascii="Calibri" w:hAnsi="Calibri" w:cs="Calibri"/>
                <w:b/>
                <w:bCs/>
                <w:color w:val="0070C0"/>
                <w:sz w:val="16"/>
                <w:szCs w:val="16"/>
              </w:rPr>
            </w:pPr>
            <w:r w:rsidRPr="00155ABC">
              <w:rPr>
                <w:rFonts w:ascii="Calibri" w:hAnsi="Calibri" w:cs="Calibri"/>
                <w:b/>
                <w:bCs/>
                <w:color w:val="0070C0"/>
                <w:sz w:val="16"/>
                <w:szCs w:val="16"/>
              </w:rPr>
              <w:t>1 419</w:t>
            </w:r>
          </w:p>
        </w:tc>
        <w:tc>
          <w:tcPr>
            <w:tcW w:w="850" w:type="dxa"/>
            <w:tcBorders>
              <w:top w:val="single" w:sz="6" w:space="0" w:color="auto"/>
              <w:left w:val="single" w:sz="6" w:space="0" w:color="auto"/>
              <w:bottom w:val="single" w:sz="6" w:space="0" w:color="auto"/>
              <w:right w:val="single" w:sz="6" w:space="0" w:color="auto"/>
            </w:tcBorders>
          </w:tcPr>
          <w:p w14:paraId="331421B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3 643</w:t>
            </w:r>
          </w:p>
        </w:tc>
        <w:tc>
          <w:tcPr>
            <w:tcW w:w="886" w:type="dxa"/>
            <w:tcBorders>
              <w:top w:val="single" w:sz="6" w:space="0" w:color="auto"/>
              <w:left w:val="single" w:sz="6" w:space="0" w:color="auto"/>
              <w:bottom w:val="single" w:sz="6" w:space="0" w:color="auto"/>
              <w:right w:val="single" w:sz="6" w:space="0" w:color="auto"/>
            </w:tcBorders>
          </w:tcPr>
          <w:p w14:paraId="265F56F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4 786</w:t>
            </w:r>
          </w:p>
        </w:tc>
        <w:tc>
          <w:tcPr>
            <w:tcW w:w="676" w:type="dxa"/>
            <w:tcBorders>
              <w:top w:val="single" w:sz="6" w:space="0" w:color="auto"/>
              <w:left w:val="single" w:sz="6" w:space="0" w:color="auto"/>
              <w:bottom w:val="single" w:sz="6" w:space="0" w:color="auto"/>
              <w:right w:val="single" w:sz="6" w:space="0" w:color="auto"/>
            </w:tcBorders>
          </w:tcPr>
          <w:p w14:paraId="3298B6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4 697</w:t>
            </w:r>
          </w:p>
        </w:tc>
        <w:tc>
          <w:tcPr>
            <w:tcW w:w="855" w:type="dxa"/>
            <w:tcBorders>
              <w:top w:val="single" w:sz="6" w:space="0" w:color="auto"/>
              <w:left w:val="single" w:sz="6" w:space="0" w:color="auto"/>
              <w:bottom w:val="single" w:sz="6" w:space="0" w:color="auto"/>
              <w:right w:val="single" w:sz="6" w:space="0" w:color="auto"/>
            </w:tcBorders>
          </w:tcPr>
          <w:p w14:paraId="27A4B60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5 194</w:t>
            </w:r>
          </w:p>
        </w:tc>
        <w:tc>
          <w:tcPr>
            <w:tcW w:w="854" w:type="dxa"/>
            <w:tcBorders>
              <w:top w:val="single" w:sz="6" w:space="0" w:color="auto"/>
              <w:left w:val="single" w:sz="6" w:space="0" w:color="auto"/>
              <w:bottom w:val="single" w:sz="6" w:space="0" w:color="auto"/>
              <w:right w:val="single" w:sz="6" w:space="0" w:color="auto"/>
            </w:tcBorders>
          </w:tcPr>
          <w:p w14:paraId="74E7362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4 118</w:t>
            </w:r>
          </w:p>
        </w:tc>
        <w:tc>
          <w:tcPr>
            <w:tcW w:w="838" w:type="dxa"/>
            <w:tcBorders>
              <w:top w:val="single" w:sz="6" w:space="0" w:color="auto"/>
              <w:left w:val="single" w:sz="6" w:space="0" w:color="auto"/>
              <w:bottom w:val="single" w:sz="6" w:space="0" w:color="auto"/>
              <w:right w:val="single" w:sz="6" w:space="0" w:color="auto"/>
            </w:tcBorders>
          </w:tcPr>
          <w:p w14:paraId="6516592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2 210</w:t>
            </w:r>
          </w:p>
        </w:tc>
        <w:tc>
          <w:tcPr>
            <w:tcW w:w="854" w:type="dxa"/>
            <w:tcBorders>
              <w:top w:val="single" w:sz="6" w:space="0" w:color="auto"/>
              <w:left w:val="single" w:sz="6" w:space="0" w:color="auto"/>
              <w:bottom w:val="single" w:sz="6" w:space="0" w:color="auto"/>
              <w:right w:val="single" w:sz="6" w:space="0" w:color="auto"/>
            </w:tcBorders>
          </w:tcPr>
          <w:p w14:paraId="256804DE"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5 340</w:t>
            </w:r>
          </w:p>
        </w:tc>
        <w:tc>
          <w:tcPr>
            <w:tcW w:w="886" w:type="dxa"/>
            <w:tcBorders>
              <w:top w:val="single" w:sz="6" w:space="0" w:color="auto"/>
              <w:left w:val="single" w:sz="6" w:space="0" w:color="auto"/>
              <w:bottom w:val="single" w:sz="6" w:space="0" w:color="auto"/>
              <w:right w:val="single" w:sz="6" w:space="0" w:color="auto"/>
            </w:tcBorders>
          </w:tcPr>
          <w:p w14:paraId="228F733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5 033</w:t>
            </w:r>
          </w:p>
        </w:tc>
        <w:tc>
          <w:tcPr>
            <w:tcW w:w="902" w:type="dxa"/>
            <w:tcBorders>
              <w:top w:val="single" w:sz="6" w:space="0" w:color="auto"/>
              <w:left w:val="single" w:sz="6" w:space="0" w:color="auto"/>
              <w:bottom w:val="single" w:sz="6" w:space="0" w:color="auto"/>
              <w:right w:val="single" w:sz="6" w:space="0" w:color="auto"/>
            </w:tcBorders>
          </w:tcPr>
          <w:p w14:paraId="7444ED0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2 377</w:t>
            </w:r>
          </w:p>
        </w:tc>
      </w:tr>
      <w:tr w:rsidR="00117C0D" w:rsidRPr="003954D9" w14:paraId="52659DE0"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67251B7C" w14:textId="70A9F141"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u. barn </w:t>
            </w:r>
            <w:r w:rsidR="00365C66" w:rsidRPr="003954D9">
              <w:rPr>
                <w:rFonts w:ascii="Calibri" w:hAnsi="Calibri" w:cs="Calibri"/>
                <w:b/>
                <w:bCs/>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tcPr>
          <w:p w14:paraId="159C60E1" w14:textId="77777777" w:rsidR="00117C0D" w:rsidRPr="00155ABC" w:rsidRDefault="00117C0D" w:rsidP="00117C0D">
            <w:pPr>
              <w:autoSpaceDE w:val="0"/>
              <w:autoSpaceDN w:val="0"/>
              <w:adjustRightInd w:val="0"/>
              <w:jc w:val="right"/>
              <w:rPr>
                <w:rFonts w:ascii="Calibri" w:hAnsi="Calibri" w:cs="Calibri"/>
                <w:b/>
                <w:bCs/>
                <w:color w:val="0070C0"/>
                <w:sz w:val="16"/>
                <w:szCs w:val="16"/>
              </w:rPr>
            </w:pPr>
            <w:r w:rsidRPr="00155ABC">
              <w:rPr>
                <w:rFonts w:ascii="Calibri" w:hAnsi="Calibri" w:cs="Calibri"/>
                <w:b/>
                <w:bCs/>
                <w:color w:val="0070C0"/>
                <w:sz w:val="16"/>
                <w:szCs w:val="16"/>
              </w:rPr>
              <w:t>-370</w:t>
            </w:r>
          </w:p>
        </w:tc>
        <w:tc>
          <w:tcPr>
            <w:tcW w:w="850" w:type="dxa"/>
            <w:tcBorders>
              <w:top w:val="single" w:sz="6" w:space="0" w:color="auto"/>
              <w:left w:val="single" w:sz="6" w:space="0" w:color="auto"/>
              <w:bottom w:val="single" w:sz="6" w:space="0" w:color="auto"/>
              <w:right w:val="single" w:sz="6" w:space="0" w:color="auto"/>
            </w:tcBorders>
          </w:tcPr>
          <w:p w14:paraId="2B3D62B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122</w:t>
            </w:r>
          </w:p>
        </w:tc>
        <w:tc>
          <w:tcPr>
            <w:tcW w:w="886" w:type="dxa"/>
            <w:tcBorders>
              <w:top w:val="single" w:sz="6" w:space="0" w:color="auto"/>
              <w:left w:val="single" w:sz="6" w:space="0" w:color="auto"/>
              <w:bottom w:val="single" w:sz="6" w:space="0" w:color="auto"/>
              <w:right w:val="single" w:sz="6" w:space="0" w:color="auto"/>
            </w:tcBorders>
          </w:tcPr>
          <w:p w14:paraId="6D01E60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2 000</w:t>
            </w:r>
          </w:p>
        </w:tc>
        <w:tc>
          <w:tcPr>
            <w:tcW w:w="676" w:type="dxa"/>
            <w:tcBorders>
              <w:top w:val="single" w:sz="6" w:space="0" w:color="auto"/>
              <w:left w:val="single" w:sz="6" w:space="0" w:color="auto"/>
              <w:bottom w:val="single" w:sz="6" w:space="0" w:color="auto"/>
              <w:right w:val="single" w:sz="6" w:space="0" w:color="auto"/>
            </w:tcBorders>
          </w:tcPr>
          <w:p w14:paraId="7CE317B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2 087</w:t>
            </w:r>
          </w:p>
        </w:tc>
        <w:tc>
          <w:tcPr>
            <w:tcW w:w="855" w:type="dxa"/>
            <w:tcBorders>
              <w:top w:val="single" w:sz="6" w:space="0" w:color="auto"/>
              <w:left w:val="single" w:sz="6" w:space="0" w:color="auto"/>
              <w:bottom w:val="single" w:sz="6" w:space="0" w:color="auto"/>
              <w:right w:val="single" w:sz="6" w:space="0" w:color="auto"/>
            </w:tcBorders>
          </w:tcPr>
          <w:p w14:paraId="2F120B6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2 313</w:t>
            </w:r>
          </w:p>
        </w:tc>
        <w:tc>
          <w:tcPr>
            <w:tcW w:w="854" w:type="dxa"/>
            <w:tcBorders>
              <w:top w:val="single" w:sz="6" w:space="0" w:color="auto"/>
              <w:left w:val="single" w:sz="6" w:space="0" w:color="auto"/>
              <w:bottom w:val="single" w:sz="6" w:space="0" w:color="auto"/>
              <w:right w:val="single" w:sz="6" w:space="0" w:color="auto"/>
            </w:tcBorders>
          </w:tcPr>
          <w:p w14:paraId="624CE16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403</w:t>
            </w:r>
          </w:p>
        </w:tc>
        <w:tc>
          <w:tcPr>
            <w:tcW w:w="838" w:type="dxa"/>
            <w:tcBorders>
              <w:top w:val="single" w:sz="6" w:space="0" w:color="auto"/>
              <w:left w:val="single" w:sz="6" w:space="0" w:color="auto"/>
              <w:bottom w:val="single" w:sz="6" w:space="0" w:color="auto"/>
              <w:right w:val="single" w:sz="6" w:space="0" w:color="auto"/>
            </w:tcBorders>
          </w:tcPr>
          <w:p w14:paraId="3A70554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445</w:t>
            </w:r>
          </w:p>
        </w:tc>
        <w:tc>
          <w:tcPr>
            <w:tcW w:w="854" w:type="dxa"/>
            <w:tcBorders>
              <w:top w:val="single" w:sz="6" w:space="0" w:color="auto"/>
              <w:left w:val="single" w:sz="6" w:space="0" w:color="auto"/>
              <w:bottom w:val="single" w:sz="6" w:space="0" w:color="auto"/>
              <w:right w:val="single" w:sz="6" w:space="0" w:color="auto"/>
            </w:tcBorders>
          </w:tcPr>
          <w:p w14:paraId="02857B37"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2 922</w:t>
            </w:r>
          </w:p>
        </w:tc>
        <w:tc>
          <w:tcPr>
            <w:tcW w:w="886" w:type="dxa"/>
            <w:tcBorders>
              <w:top w:val="single" w:sz="6" w:space="0" w:color="auto"/>
              <w:left w:val="single" w:sz="6" w:space="0" w:color="auto"/>
              <w:bottom w:val="single" w:sz="6" w:space="0" w:color="auto"/>
              <w:right w:val="single" w:sz="6" w:space="0" w:color="auto"/>
            </w:tcBorders>
          </w:tcPr>
          <w:p w14:paraId="55D4935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1 066</w:t>
            </w:r>
          </w:p>
        </w:tc>
        <w:tc>
          <w:tcPr>
            <w:tcW w:w="902" w:type="dxa"/>
            <w:tcBorders>
              <w:top w:val="single" w:sz="6" w:space="0" w:color="auto"/>
              <w:left w:val="single" w:sz="6" w:space="0" w:color="auto"/>
              <w:bottom w:val="single" w:sz="6" w:space="0" w:color="auto"/>
              <w:right w:val="single" w:sz="6" w:space="0" w:color="auto"/>
            </w:tcBorders>
          </w:tcPr>
          <w:p w14:paraId="572570C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102</w:t>
            </w:r>
          </w:p>
        </w:tc>
      </w:tr>
      <w:tr w:rsidR="00117C0D" w:rsidRPr="003954D9" w14:paraId="2B5F6FFD"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1F666AB3" w14:textId="77056E42"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Ensamst. m.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37182414" w14:textId="77777777" w:rsidR="00117C0D" w:rsidRPr="00155ABC" w:rsidRDefault="00117C0D" w:rsidP="00117C0D">
            <w:pPr>
              <w:autoSpaceDE w:val="0"/>
              <w:autoSpaceDN w:val="0"/>
              <w:adjustRightInd w:val="0"/>
              <w:jc w:val="right"/>
              <w:rPr>
                <w:rFonts w:ascii="Calibri" w:hAnsi="Calibri" w:cs="Calibri"/>
                <w:b/>
                <w:bCs/>
                <w:color w:val="0070C0"/>
                <w:sz w:val="16"/>
                <w:szCs w:val="16"/>
              </w:rPr>
            </w:pPr>
            <w:r w:rsidRPr="00155ABC">
              <w:rPr>
                <w:rFonts w:ascii="Calibri" w:hAnsi="Calibri" w:cs="Calibri"/>
                <w:b/>
                <w:bCs/>
                <w:color w:val="0070C0"/>
                <w:sz w:val="16"/>
                <w:szCs w:val="16"/>
              </w:rPr>
              <w:t>-232</w:t>
            </w:r>
          </w:p>
        </w:tc>
        <w:tc>
          <w:tcPr>
            <w:tcW w:w="850" w:type="dxa"/>
            <w:tcBorders>
              <w:top w:val="single" w:sz="6" w:space="0" w:color="auto"/>
              <w:left w:val="single" w:sz="6" w:space="0" w:color="auto"/>
              <w:bottom w:val="single" w:sz="6" w:space="0" w:color="auto"/>
              <w:right w:val="single" w:sz="6" w:space="0" w:color="auto"/>
            </w:tcBorders>
          </w:tcPr>
          <w:p w14:paraId="342CDEF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437</w:t>
            </w:r>
          </w:p>
        </w:tc>
        <w:tc>
          <w:tcPr>
            <w:tcW w:w="886" w:type="dxa"/>
            <w:tcBorders>
              <w:top w:val="single" w:sz="6" w:space="0" w:color="auto"/>
              <w:left w:val="single" w:sz="6" w:space="0" w:color="auto"/>
              <w:bottom w:val="single" w:sz="6" w:space="0" w:color="auto"/>
              <w:right w:val="single" w:sz="6" w:space="0" w:color="auto"/>
            </w:tcBorders>
          </w:tcPr>
          <w:p w14:paraId="3871AEEC"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1 721</w:t>
            </w:r>
          </w:p>
        </w:tc>
        <w:tc>
          <w:tcPr>
            <w:tcW w:w="676" w:type="dxa"/>
            <w:tcBorders>
              <w:top w:val="single" w:sz="6" w:space="0" w:color="auto"/>
              <w:left w:val="single" w:sz="6" w:space="0" w:color="auto"/>
              <w:bottom w:val="single" w:sz="6" w:space="0" w:color="auto"/>
              <w:right w:val="single" w:sz="6" w:space="0" w:color="auto"/>
            </w:tcBorders>
          </w:tcPr>
          <w:p w14:paraId="7C5078B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341</w:t>
            </w:r>
          </w:p>
        </w:tc>
        <w:tc>
          <w:tcPr>
            <w:tcW w:w="855" w:type="dxa"/>
            <w:tcBorders>
              <w:top w:val="single" w:sz="6" w:space="0" w:color="auto"/>
              <w:left w:val="single" w:sz="6" w:space="0" w:color="auto"/>
              <w:bottom w:val="single" w:sz="6" w:space="0" w:color="auto"/>
              <w:right w:val="single" w:sz="6" w:space="0" w:color="auto"/>
            </w:tcBorders>
          </w:tcPr>
          <w:p w14:paraId="3634BEC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1 475</w:t>
            </w:r>
          </w:p>
        </w:tc>
        <w:tc>
          <w:tcPr>
            <w:tcW w:w="854" w:type="dxa"/>
            <w:tcBorders>
              <w:top w:val="single" w:sz="6" w:space="0" w:color="auto"/>
              <w:left w:val="single" w:sz="6" w:space="0" w:color="auto"/>
              <w:bottom w:val="single" w:sz="6" w:space="0" w:color="auto"/>
              <w:right w:val="single" w:sz="6" w:space="0" w:color="auto"/>
            </w:tcBorders>
          </w:tcPr>
          <w:p w14:paraId="2088BE1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689</w:t>
            </w:r>
          </w:p>
        </w:tc>
        <w:tc>
          <w:tcPr>
            <w:tcW w:w="838" w:type="dxa"/>
            <w:tcBorders>
              <w:top w:val="single" w:sz="6" w:space="0" w:color="auto"/>
              <w:left w:val="single" w:sz="6" w:space="0" w:color="auto"/>
              <w:bottom w:val="single" w:sz="6" w:space="0" w:color="auto"/>
              <w:right w:val="single" w:sz="6" w:space="0" w:color="auto"/>
            </w:tcBorders>
          </w:tcPr>
          <w:p w14:paraId="38F0C58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-94</w:t>
            </w:r>
          </w:p>
        </w:tc>
        <w:tc>
          <w:tcPr>
            <w:tcW w:w="854" w:type="dxa"/>
            <w:tcBorders>
              <w:top w:val="single" w:sz="6" w:space="0" w:color="auto"/>
              <w:left w:val="single" w:sz="6" w:space="0" w:color="auto"/>
              <w:bottom w:val="single" w:sz="6" w:space="0" w:color="auto"/>
              <w:right w:val="single" w:sz="6" w:space="0" w:color="auto"/>
            </w:tcBorders>
          </w:tcPr>
          <w:p w14:paraId="07D7AC9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1 272</w:t>
            </w:r>
          </w:p>
        </w:tc>
        <w:tc>
          <w:tcPr>
            <w:tcW w:w="886" w:type="dxa"/>
            <w:tcBorders>
              <w:top w:val="single" w:sz="6" w:space="0" w:color="auto"/>
              <w:left w:val="single" w:sz="6" w:space="0" w:color="auto"/>
              <w:bottom w:val="single" w:sz="6" w:space="0" w:color="auto"/>
              <w:right w:val="single" w:sz="6" w:space="0" w:color="auto"/>
            </w:tcBorders>
          </w:tcPr>
          <w:p w14:paraId="78049B5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936</w:t>
            </w:r>
          </w:p>
        </w:tc>
        <w:tc>
          <w:tcPr>
            <w:tcW w:w="902" w:type="dxa"/>
            <w:tcBorders>
              <w:top w:val="single" w:sz="6" w:space="0" w:color="auto"/>
              <w:left w:val="single" w:sz="6" w:space="0" w:color="auto"/>
              <w:bottom w:val="single" w:sz="6" w:space="0" w:color="auto"/>
              <w:right w:val="single" w:sz="6" w:space="0" w:color="auto"/>
            </w:tcBorders>
          </w:tcPr>
          <w:p w14:paraId="63C8D9F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w:t>
            </w:r>
          </w:p>
        </w:tc>
      </w:tr>
      <w:tr w:rsidR="00117C0D" w:rsidRPr="003954D9" w14:paraId="6866A8C5"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075815C7" w14:textId="08D34ECF"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5948371A" w14:textId="77777777" w:rsidR="00117C0D" w:rsidRPr="00155ABC" w:rsidRDefault="00117C0D" w:rsidP="00117C0D">
            <w:pPr>
              <w:autoSpaceDE w:val="0"/>
              <w:autoSpaceDN w:val="0"/>
              <w:adjustRightInd w:val="0"/>
              <w:jc w:val="right"/>
              <w:rPr>
                <w:rFonts w:ascii="Calibri" w:hAnsi="Calibri" w:cs="Calibri"/>
                <w:b/>
                <w:bCs/>
                <w:color w:val="0070C0"/>
                <w:sz w:val="16"/>
                <w:szCs w:val="16"/>
              </w:rPr>
            </w:pPr>
            <w:r w:rsidRPr="00155ABC">
              <w:rPr>
                <w:rFonts w:ascii="Calibri" w:hAnsi="Calibri" w:cs="Calibri"/>
                <w:b/>
                <w:bCs/>
                <w:color w:val="0070C0"/>
                <w:sz w:val="16"/>
                <w:szCs w:val="16"/>
              </w:rPr>
              <w:t>3 745</w:t>
            </w:r>
          </w:p>
        </w:tc>
        <w:tc>
          <w:tcPr>
            <w:tcW w:w="850" w:type="dxa"/>
            <w:tcBorders>
              <w:top w:val="single" w:sz="6" w:space="0" w:color="auto"/>
              <w:left w:val="single" w:sz="6" w:space="0" w:color="auto"/>
              <w:bottom w:val="single" w:sz="6" w:space="0" w:color="auto"/>
              <w:right w:val="single" w:sz="6" w:space="0" w:color="auto"/>
            </w:tcBorders>
          </w:tcPr>
          <w:p w14:paraId="4276C90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7 009</w:t>
            </w:r>
          </w:p>
        </w:tc>
        <w:tc>
          <w:tcPr>
            <w:tcW w:w="886" w:type="dxa"/>
            <w:tcBorders>
              <w:top w:val="single" w:sz="6" w:space="0" w:color="auto"/>
              <w:left w:val="single" w:sz="6" w:space="0" w:color="auto"/>
              <w:bottom w:val="single" w:sz="6" w:space="0" w:color="auto"/>
              <w:right w:val="single" w:sz="6" w:space="0" w:color="auto"/>
            </w:tcBorders>
          </w:tcPr>
          <w:p w14:paraId="620B9AB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9 341</w:t>
            </w:r>
          </w:p>
        </w:tc>
        <w:tc>
          <w:tcPr>
            <w:tcW w:w="676" w:type="dxa"/>
            <w:tcBorders>
              <w:top w:val="single" w:sz="6" w:space="0" w:color="auto"/>
              <w:left w:val="single" w:sz="6" w:space="0" w:color="auto"/>
              <w:bottom w:val="single" w:sz="6" w:space="0" w:color="auto"/>
              <w:right w:val="single" w:sz="6" w:space="0" w:color="auto"/>
            </w:tcBorders>
          </w:tcPr>
          <w:p w14:paraId="723B31A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6 503</w:t>
            </w:r>
          </w:p>
        </w:tc>
        <w:tc>
          <w:tcPr>
            <w:tcW w:w="855" w:type="dxa"/>
            <w:tcBorders>
              <w:top w:val="single" w:sz="6" w:space="0" w:color="auto"/>
              <w:left w:val="single" w:sz="6" w:space="0" w:color="auto"/>
              <w:bottom w:val="single" w:sz="6" w:space="0" w:color="auto"/>
              <w:right w:val="single" w:sz="6" w:space="0" w:color="auto"/>
            </w:tcBorders>
          </w:tcPr>
          <w:p w14:paraId="63EC9EF8"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9 505</w:t>
            </w:r>
          </w:p>
        </w:tc>
        <w:tc>
          <w:tcPr>
            <w:tcW w:w="854" w:type="dxa"/>
            <w:tcBorders>
              <w:top w:val="single" w:sz="6" w:space="0" w:color="auto"/>
              <w:left w:val="single" w:sz="6" w:space="0" w:color="auto"/>
              <w:bottom w:val="single" w:sz="6" w:space="0" w:color="auto"/>
              <w:right w:val="single" w:sz="6" w:space="0" w:color="auto"/>
            </w:tcBorders>
          </w:tcPr>
          <w:p w14:paraId="079B7F1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5 516</w:t>
            </w:r>
          </w:p>
        </w:tc>
        <w:tc>
          <w:tcPr>
            <w:tcW w:w="838" w:type="dxa"/>
            <w:tcBorders>
              <w:top w:val="single" w:sz="6" w:space="0" w:color="auto"/>
              <w:left w:val="single" w:sz="6" w:space="0" w:color="auto"/>
              <w:bottom w:val="single" w:sz="6" w:space="0" w:color="auto"/>
              <w:right w:val="single" w:sz="6" w:space="0" w:color="auto"/>
            </w:tcBorders>
          </w:tcPr>
          <w:p w14:paraId="7366630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4 571</w:t>
            </w:r>
          </w:p>
        </w:tc>
        <w:tc>
          <w:tcPr>
            <w:tcW w:w="854" w:type="dxa"/>
            <w:tcBorders>
              <w:top w:val="single" w:sz="6" w:space="0" w:color="auto"/>
              <w:left w:val="single" w:sz="6" w:space="0" w:color="auto"/>
              <w:bottom w:val="single" w:sz="6" w:space="0" w:color="auto"/>
              <w:right w:val="single" w:sz="6" w:space="0" w:color="auto"/>
            </w:tcBorders>
          </w:tcPr>
          <w:p w14:paraId="39F1D1B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8 678</w:t>
            </w:r>
          </w:p>
        </w:tc>
        <w:tc>
          <w:tcPr>
            <w:tcW w:w="886" w:type="dxa"/>
            <w:tcBorders>
              <w:top w:val="single" w:sz="6" w:space="0" w:color="auto"/>
              <w:left w:val="single" w:sz="6" w:space="0" w:color="auto"/>
              <w:bottom w:val="single" w:sz="6" w:space="0" w:color="auto"/>
              <w:right w:val="single" w:sz="6" w:space="0" w:color="auto"/>
            </w:tcBorders>
          </w:tcPr>
          <w:p w14:paraId="0D065E8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8 243</w:t>
            </w:r>
          </w:p>
        </w:tc>
        <w:tc>
          <w:tcPr>
            <w:tcW w:w="902" w:type="dxa"/>
            <w:tcBorders>
              <w:top w:val="single" w:sz="6" w:space="0" w:color="auto"/>
              <w:left w:val="single" w:sz="6" w:space="0" w:color="auto"/>
              <w:bottom w:val="single" w:sz="6" w:space="0" w:color="auto"/>
              <w:right w:val="single" w:sz="6" w:space="0" w:color="auto"/>
            </w:tcBorders>
          </w:tcPr>
          <w:p w14:paraId="486511B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4 504</w:t>
            </w:r>
          </w:p>
        </w:tc>
      </w:tr>
      <w:tr w:rsidR="00117C0D" w:rsidRPr="003954D9" w14:paraId="67A62712"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45658C58" w14:textId="79F9C77E"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u. barn </w:t>
            </w:r>
            <w:r w:rsidR="00365C66" w:rsidRPr="003954D9">
              <w:rPr>
                <w:rFonts w:ascii="Calibri" w:hAnsi="Calibri" w:cs="Calibri"/>
                <w:b/>
                <w:bCs/>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tcPr>
          <w:p w14:paraId="63C5F2B2" w14:textId="77777777" w:rsidR="00117C0D" w:rsidRPr="00155ABC" w:rsidRDefault="00117C0D" w:rsidP="00117C0D">
            <w:pPr>
              <w:autoSpaceDE w:val="0"/>
              <w:autoSpaceDN w:val="0"/>
              <w:adjustRightInd w:val="0"/>
              <w:jc w:val="right"/>
              <w:rPr>
                <w:rFonts w:ascii="Calibri" w:hAnsi="Calibri" w:cs="Calibri"/>
                <w:b/>
                <w:bCs/>
                <w:color w:val="0070C0"/>
                <w:sz w:val="16"/>
                <w:szCs w:val="16"/>
              </w:rPr>
            </w:pPr>
            <w:r w:rsidRPr="00155ABC">
              <w:rPr>
                <w:rFonts w:ascii="Calibri" w:hAnsi="Calibri" w:cs="Calibri"/>
                <w:b/>
                <w:bCs/>
                <w:color w:val="0070C0"/>
                <w:sz w:val="16"/>
                <w:szCs w:val="16"/>
              </w:rPr>
              <w:t>1 446</w:t>
            </w:r>
          </w:p>
        </w:tc>
        <w:tc>
          <w:tcPr>
            <w:tcW w:w="850" w:type="dxa"/>
            <w:tcBorders>
              <w:top w:val="single" w:sz="6" w:space="0" w:color="auto"/>
              <w:left w:val="single" w:sz="6" w:space="0" w:color="auto"/>
              <w:bottom w:val="single" w:sz="6" w:space="0" w:color="auto"/>
              <w:right w:val="single" w:sz="6" w:space="0" w:color="auto"/>
            </w:tcBorders>
          </w:tcPr>
          <w:p w14:paraId="3BFC71A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3 765</w:t>
            </w:r>
          </w:p>
        </w:tc>
        <w:tc>
          <w:tcPr>
            <w:tcW w:w="886" w:type="dxa"/>
            <w:tcBorders>
              <w:top w:val="single" w:sz="6" w:space="0" w:color="auto"/>
              <w:left w:val="single" w:sz="6" w:space="0" w:color="auto"/>
              <w:bottom w:val="single" w:sz="6" w:space="0" w:color="auto"/>
              <w:right w:val="single" w:sz="6" w:space="0" w:color="auto"/>
            </w:tcBorders>
          </w:tcPr>
          <w:p w14:paraId="5E9FF49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6 253</w:t>
            </w:r>
          </w:p>
        </w:tc>
        <w:tc>
          <w:tcPr>
            <w:tcW w:w="676" w:type="dxa"/>
            <w:tcBorders>
              <w:top w:val="single" w:sz="6" w:space="0" w:color="auto"/>
              <w:left w:val="single" w:sz="6" w:space="0" w:color="auto"/>
              <w:bottom w:val="single" w:sz="6" w:space="0" w:color="auto"/>
              <w:right w:val="single" w:sz="6" w:space="0" w:color="auto"/>
            </w:tcBorders>
          </w:tcPr>
          <w:p w14:paraId="3977538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3 258</w:t>
            </w:r>
          </w:p>
        </w:tc>
        <w:tc>
          <w:tcPr>
            <w:tcW w:w="855" w:type="dxa"/>
            <w:tcBorders>
              <w:top w:val="single" w:sz="6" w:space="0" w:color="auto"/>
              <w:left w:val="single" w:sz="6" w:space="0" w:color="auto"/>
              <w:bottom w:val="single" w:sz="6" w:space="0" w:color="auto"/>
              <w:right w:val="single" w:sz="6" w:space="0" w:color="auto"/>
            </w:tcBorders>
          </w:tcPr>
          <w:p w14:paraId="31CBE92A"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7 935</w:t>
            </w:r>
          </w:p>
        </w:tc>
        <w:tc>
          <w:tcPr>
            <w:tcW w:w="854" w:type="dxa"/>
            <w:tcBorders>
              <w:top w:val="single" w:sz="6" w:space="0" w:color="auto"/>
              <w:left w:val="single" w:sz="6" w:space="0" w:color="auto"/>
              <w:bottom w:val="single" w:sz="6" w:space="0" w:color="auto"/>
              <w:right w:val="single" w:sz="6" w:space="0" w:color="auto"/>
            </w:tcBorders>
          </w:tcPr>
          <w:p w14:paraId="76BCAD8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3 791</w:t>
            </w:r>
          </w:p>
        </w:tc>
        <w:tc>
          <w:tcPr>
            <w:tcW w:w="838" w:type="dxa"/>
            <w:tcBorders>
              <w:top w:val="single" w:sz="6" w:space="0" w:color="auto"/>
              <w:left w:val="single" w:sz="6" w:space="0" w:color="auto"/>
              <w:bottom w:val="single" w:sz="6" w:space="0" w:color="auto"/>
              <w:right w:val="single" w:sz="6" w:space="0" w:color="auto"/>
            </w:tcBorders>
          </w:tcPr>
          <w:p w14:paraId="3F5AC40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2 558</w:t>
            </w:r>
          </w:p>
        </w:tc>
        <w:tc>
          <w:tcPr>
            <w:tcW w:w="854" w:type="dxa"/>
            <w:tcBorders>
              <w:top w:val="single" w:sz="6" w:space="0" w:color="auto"/>
              <w:left w:val="single" w:sz="6" w:space="0" w:color="auto"/>
              <w:bottom w:val="single" w:sz="6" w:space="0" w:color="auto"/>
              <w:right w:val="single" w:sz="6" w:space="0" w:color="auto"/>
            </w:tcBorders>
          </w:tcPr>
          <w:p w14:paraId="181F173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6 437</w:t>
            </w:r>
          </w:p>
        </w:tc>
        <w:tc>
          <w:tcPr>
            <w:tcW w:w="886" w:type="dxa"/>
            <w:tcBorders>
              <w:top w:val="single" w:sz="6" w:space="0" w:color="auto"/>
              <w:left w:val="single" w:sz="6" w:space="0" w:color="auto"/>
              <w:bottom w:val="single" w:sz="6" w:space="0" w:color="auto"/>
              <w:right w:val="single" w:sz="6" w:space="0" w:color="auto"/>
            </w:tcBorders>
          </w:tcPr>
          <w:p w14:paraId="7BCB38B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5 284</w:t>
            </w:r>
          </w:p>
        </w:tc>
        <w:tc>
          <w:tcPr>
            <w:tcW w:w="902" w:type="dxa"/>
            <w:tcBorders>
              <w:top w:val="single" w:sz="6" w:space="0" w:color="auto"/>
              <w:left w:val="single" w:sz="6" w:space="0" w:color="auto"/>
              <w:bottom w:val="single" w:sz="6" w:space="0" w:color="auto"/>
              <w:right w:val="single" w:sz="6" w:space="0" w:color="auto"/>
            </w:tcBorders>
          </w:tcPr>
          <w:p w14:paraId="3E4B3E6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2 238</w:t>
            </w:r>
          </w:p>
        </w:tc>
      </w:tr>
      <w:tr w:rsidR="00117C0D" w:rsidRPr="003954D9" w14:paraId="7C95B768"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6C35D113" w14:textId="18880BE0"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1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67A2C98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2 430</w:t>
            </w:r>
          </w:p>
        </w:tc>
        <w:tc>
          <w:tcPr>
            <w:tcW w:w="850" w:type="dxa"/>
            <w:tcBorders>
              <w:top w:val="single" w:sz="6" w:space="0" w:color="auto"/>
              <w:left w:val="single" w:sz="6" w:space="0" w:color="auto"/>
              <w:bottom w:val="single" w:sz="6" w:space="0" w:color="auto"/>
              <w:right w:val="single" w:sz="6" w:space="0" w:color="auto"/>
            </w:tcBorders>
          </w:tcPr>
          <w:p w14:paraId="6B1B059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4 288</w:t>
            </w:r>
          </w:p>
        </w:tc>
        <w:tc>
          <w:tcPr>
            <w:tcW w:w="886" w:type="dxa"/>
            <w:tcBorders>
              <w:top w:val="single" w:sz="6" w:space="0" w:color="auto"/>
              <w:left w:val="single" w:sz="6" w:space="0" w:color="auto"/>
              <w:bottom w:val="single" w:sz="6" w:space="0" w:color="auto"/>
              <w:right w:val="single" w:sz="6" w:space="0" w:color="auto"/>
            </w:tcBorders>
          </w:tcPr>
          <w:p w14:paraId="06B2EDEB"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5 901</w:t>
            </w:r>
          </w:p>
        </w:tc>
        <w:tc>
          <w:tcPr>
            <w:tcW w:w="676" w:type="dxa"/>
            <w:tcBorders>
              <w:top w:val="single" w:sz="6" w:space="0" w:color="auto"/>
              <w:left w:val="single" w:sz="6" w:space="0" w:color="auto"/>
              <w:bottom w:val="single" w:sz="6" w:space="0" w:color="auto"/>
              <w:right w:val="single" w:sz="6" w:space="0" w:color="auto"/>
            </w:tcBorders>
          </w:tcPr>
          <w:p w14:paraId="195E055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2 570</w:t>
            </w:r>
          </w:p>
        </w:tc>
        <w:tc>
          <w:tcPr>
            <w:tcW w:w="855" w:type="dxa"/>
            <w:tcBorders>
              <w:top w:val="single" w:sz="6" w:space="0" w:color="auto"/>
              <w:left w:val="single" w:sz="6" w:space="0" w:color="auto"/>
              <w:bottom w:val="single" w:sz="6" w:space="0" w:color="auto"/>
              <w:right w:val="single" w:sz="6" w:space="0" w:color="auto"/>
            </w:tcBorders>
          </w:tcPr>
          <w:p w14:paraId="46FFEAE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5 440</w:t>
            </w:r>
          </w:p>
        </w:tc>
        <w:tc>
          <w:tcPr>
            <w:tcW w:w="854" w:type="dxa"/>
            <w:tcBorders>
              <w:top w:val="single" w:sz="6" w:space="0" w:color="auto"/>
              <w:left w:val="single" w:sz="6" w:space="0" w:color="auto"/>
              <w:bottom w:val="single" w:sz="6" w:space="0" w:color="auto"/>
              <w:right w:val="single" w:sz="6" w:space="0" w:color="auto"/>
            </w:tcBorders>
          </w:tcPr>
          <w:p w14:paraId="62E40D1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2 934</w:t>
            </w:r>
          </w:p>
        </w:tc>
        <w:tc>
          <w:tcPr>
            <w:tcW w:w="838" w:type="dxa"/>
            <w:tcBorders>
              <w:top w:val="single" w:sz="6" w:space="0" w:color="auto"/>
              <w:left w:val="single" w:sz="6" w:space="0" w:color="auto"/>
              <w:bottom w:val="single" w:sz="6" w:space="0" w:color="auto"/>
              <w:right w:val="single" w:sz="6" w:space="0" w:color="auto"/>
            </w:tcBorders>
          </w:tcPr>
          <w:p w14:paraId="61D61AE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2 172</w:t>
            </w:r>
          </w:p>
        </w:tc>
        <w:tc>
          <w:tcPr>
            <w:tcW w:w="854" w:type="dxa"/>
            <w:tcBorders>
              <w:top w:val="single" w:sz="6" w:space="0" w:color="auto"/>
              <w:left w:val="single" w:sz="6" w:space="0" w:color="auto"/>
              <w:bottom w:val="single" w:sz="6" w:space="0" w:color="auto"/>
              <w:right w:val="single" w:sz="6" w:space="0" w:color="auto"/>
            </w:tcBorders>
          </w:tcPr>
          <w:p w14:paraId="6DD2953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5 311</w:t>
            </w:r>
          </w:p>
        </w:tc>
        <w:tc>
          <w:tcPr>
            <w:tcW w:w="886" w:type="dxa"/>
            <w:tcBorders>
              <w:top w:val="single" w:sz="6" w:space="0" w:color="auto"/>
              <w:left w:val="single" w:sz="6" w:space="0" w:color="auto"/>
              <w:bottom w:val="single" w:sz="6" w:space="0" w:color="auto"/>
              <w:right w:val="single" w:sz="6" w:space="0" w:color="auto"/>
            </w:tcBorders>
          </w:tcPr>
          <w:p w14:paraId="42B41B0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4 269</w:t>
            </w:r>
          </w:p>
        </w:tc>
        <w:tc>
          <w:tcPr>
            <w:tcW w:w="902" w:type="dxa"/>
            <w:tcBorders>
              <w:top w:val="single" w:sz="6" w:space="0" w:color="auto"/>
              <w:left w:val="single" w:sz="6" w:space="0" w:color="auto"/>
              <w:bottom w:val="single" w:sz="6" w:space="0" w:color="auto"/>
              <w:right w:val="single" w:sz="6" w:space="0" w:color="auto"/>
            </w:tcBorders>
          </w:tcPr>
          <w:p w14:paraId="127DBBAE" w14:textId="77777777" w:rsidR="00117C0D" w:rsidRPr="003954D9" w:rsidRDefault="00117C0D" w:rsidP="00117C0D">
            <w:pPr>
              <w:autoSpaceDE w:val="0"/>
              <w:autoSpaceDN w:val="0"/>
              <w:adjustRightInd w:val="0"/>
              <w:jc w:val="right"/>
              <w:rPr>
                <w:rFonts w:ascii="Calibri" w:hAnsi="Calibri" w:cs="Calibri"/>
                <w:b/>
                <w:bCs/>
                <w:color w:val="333399"/>
                <w:sz w:val="16"/>
                <w:szCs w:val="16"/>
              </w:rPr>
            </w:pPr>
            <w:r w:rsidRPr="00155ABC">
              <w:rPr>
                <w:rFonts w:ascii="Calibri" w:hAnsi="Calibri" w:cs="Calibri"/>
                <w:b/>
                <w:bCs/>
                <w:color w:val="0070C0"/>
                <w:sz w:val="16"/>
                <w:szCs w:val="16"/>
              </w:rPr>
              <w:t>1 893</w:t>
            </w:r>
          </w:p>
        </w:tc>
      </w:tr>
      <w:tr w:rsidR="00117C0D" w:rsidRPr="003954D9" w14:paraId="1B195D12"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16AA0FA3" w14:textId="58CBADCB"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2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1526A7A0" w14:textId="77777777" w:rsidR="00117C0D" w:rsidRPr="003954D9" w:rsidRDefault="00117C0D" w:rsidP="00117C0D">
            <w:pPr>
              <w:autoSpaceDE w:val="0"/>
              <w:autoSpaceDN w:val="0"/>
              <w:adjustRightInd w:val="0"/>
              <w:jc w:val="right"/>
              <w:rPr>
                <w:rFonts w:ascii="Calibri" w:hAnsi="Calibri" w:cs="Calibri"/>
                <w:b/>
                <w:bCs/>
                <w:color w:val="333399"/>
                <w:sz w:val="16"/>
                <w:szCs w:val="16"/>
              </w:rPr>
            </w:pPr>
            <w:r w:rsidRPr="00155ABC">
              <w:rPr>
                <w:rFonts w:ascii="Calibri" w:hAnsi="Calibri" w:cs="Calibri"/>
                <w:b/>
                <w:bCs/>
                <w:color w:val="0070C0"/>
                <w:sz w:val="16"/>
                <w:szCs w:val="16"/>
              </w:rPr>
              <w:t>1 288</w:t>
            </w:r>
          </w:p>
        </w:tc>
        <w:tc>
          <w:tcPr>
            <w:tcW w:w="850" w:type="dxa"/>
            <w:tcBorders>
              <w:top w:val="single" w:sz="6" w:space="0" w:color="auto"/>
              <w:left w:val="single" w:sz="6" w:space="0" w:color="auto"/>
              <w:bottom w:val="single" w:sz="6" w:space="0" w:color="auto"/>
              <w:right w:val="single" w:sz="6" w:space="0" w:color="auto"/>
            </w:tcBorders>
          </w:tcPr>
          <w:p w14:paraId="06F95C9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2 282</w:t>
            </w:r>
          </w:p>
        </w:tc>
        <w:tc>
          <w:tcPr>
            <w:tcW w:w="886" w:type="dxa"/>
            <w:tcBorders>
              <w:top w:val="single" w:sz="6" w:space="0" w:color="auto"/>
              <w:left w:val="single" w:sz="6" w:space="0" w:color="auto"/>
              <w:bottom w:val="single" w:sz="6" w:space="0" w:color="auto"/>
              <w:right w:val="single" w:sz="6" w:space="0" w:color="auto"/>
            </w:tcBorders>
          </w:tcPr>
          <w:p w14:paraId="276136C4"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4 579</w:t>
            </w:r>
          </w:p>
        </w:tc>
        <w:tc>
          <w:tcPr>
            <w:tcW w:w="676" w:type="dxa"/>
            <w:tcBorders>
              <w:top w:val="single" w:sz="6" w:space="0" w:color="auto"/>
              <w:left w:val="single" w:sz="6" w:space="0" w:color="auto"/>
              <w:bottom w:val="single" w:sz="6" w:space="0" w:color="auto"/>
              <w:right w:val="single" w:sz="6" w:space="0" w:color="auto"/>
            </w:tcBorders>
          </w:tcPr>
          <w:p w14:paraId="577EBBF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1 989</w:t>
            </w:r>
          </w:p>
        </w:tc>
        <w:tc>
          <w:tcPr>
            <w:tcW w:w="855" w:type="dxa"/>
            <w:tcBorders>
              <w:top w:val="single" w:sz="6" w:space="0" w:color="auto"/>
              <w:left w:val="single" w:sz="6" w:space="0" w:color="auto"/>
              <w:bottom w:val="single" w:sz="6" w:space="0" w:color="auto"/>
              <w:right w:val="single" w:sz="6" w:space="0" w:color="auto"/>
            </w:tcBorders>
          </w:tcPr>
          <w:p w14:paraId="33FEE15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3 863</w:t>
            </w:r>
          </w:p>
        </w:tc>
        <w:tc>
          <w:tcPr>
            <w:tcW w:w="854" w:type="dxa"/>
            <w:tcBorders>
              <w:top w:val="single" w:sz="6" w:space="0" w:color="auto"/>
              <w:left w:val="single" w:sz="6" w:space="0" w:color="auto"/>
              <w:bottom w:val="single" w:sz="6" w:space="0" w:color="auto"/>
              <w:right w:val="single" w:sz="6" w:space="0" w:color="auto"/>
            </w:tcBorders>
          </w:tcPr>
          <w:p w14:paraId="541830F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2 249</w:t>
            </w:r>
          </w:p>
        </w:tc>
        <w:tc>
          <w:tcPr>
            <w:tcW w:w="838" w:type="dxa"/>
            <w:tcBorders>
              <w:top w:val="single" w:sz="6" w:space="0" w:color="auto"/>
              <w:left w:val="single" w:sz="6" w:space="0" w:color="auto"/>
              <w:bottom w:val="single" w:sz="6" w:space="0" w:color="auto"/>
              <w:right w:val="single" w:sz="6" w:space="0" w:color="auto"/>
            </w:tcBorders>
          </w:tcPr>
          <w:p w14:paraId="3F1BED9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1 412</w:t>
            </w:r>
          </w:p>
        </w:tc>
        <w:tc>
          <w:tcPr>
            <w:tcW w:w="854" w:type="dxa"/>
            <w:tcBorders>
              <w:top w:val="single" w:sz="6" w:space="0" w:color="auto"/>
              <w:left w:val="single" w:sz="6" w:space="0" w:color="auto"/>
              <w:bottom w:val="single" w:sz="6" w:space="0" w:color="auto"/>
              <w:right w:val="single" w:sz="6" w:space="0" w:color="auto"/>
            </w:tcBorders>
          </w:tcPr>
          <w:p w14:paraId="2D77977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3 935</w:t>
            </w:r>
          </w:p>
        </w:tc>
        <w:tc>
          <w:tcPr>
            <w:tcW w:w="886" w:type="dxa"/>
            <w:tcBorders>
              <w:top w:val="single" w:sz="6" w:space="0" w:color="auto"/>
              <w:left w:val="single" w:sz="6" w:space="0" w:color="auto"/>
              <w:bottom w:val="single" w:sz="6" w:space="0" w:color="auto"/>
              <w:right w:val="single" w:sz="6" w:space="0" w:color="auto"/>
            </w:tcBorders>
          </w:tcPr>
          <w:p w14:paraId="5FFAC4F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4 504</w:t>
            </w:r>
          </w:p>
        </w:tc>
        <w:tc>
          <w:tcPr>
            <w:tcW w:w="902" w:type="dxa"/>
            <w:tcBorders>
              <w:top w:val="single" w:sz="6" w:space="0" w:color="auto"/>
              <w:left w:val="single" w:sz="6" w:space="0" w:color="auto"/>
              <w:bottom w:val="single" w:sz="6" w:space="0" w:color="auto"/>
              <w:right w:val="single" w:sz="6" w:space="0" w:color="auto"/>
            </w:tcBorders>
          </w:tcPr>
          <w:p w14:paraId="3263009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1 384</w:t>
            </w:r>
          </w:p>
        </w:tc>
      </w:tr>
      <w:tr w:rsidR="00117C0D" w:rsidRPr="003954D9" w14:paraId="0C705983"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37143D54" w14:textId="09F1D3B7" w:rsidR="00117C0D" w:rsidRPr="003954D9" w:rsidRDefault="00365C66" w:rsidP="00117C0D">
            <w:pPr>
              <w:autoSpaceDE w:val="0"/>
              <w:autoSpaceDN w:val="0"/>
              <w:adjustRightInd w:val="0"/>
              <w:rPr>
                <w:rFonts w:ascii="Calibri" w:hAnsi="Calibri" w:cs="Calibri"/>
                <w:b/>
                <w:bCs/>
                <w:color w:val="000000"/>
                <w:sz w:val="16"/>
                <w:szCs w:val="16"/>
              </w:rPr>
            </w:pPr>
            <w:r>
              <w:rPr>
                <w:rFonts w:ascii="Calibri" w:hAnsi="Calibri" w:cs="Calibri"/>
                <w:b/>
                <w:bCs/>
                <w:color w:val="000000"/>
                <w:sz w:val="16"/>
                <w:szCs w:val="16"/>
              </w:rPr>
              <w:t xml:space="preserve">Sambo m. 3- </w:t>
            </w:r>
            <w:r w:rsidR="00117C0D" w:rsidRPr="003954D9">
              <w:rPr>
                <w:rFonts w:ascii="Calibri" w:hAnsi="Calibri" w:cs="Calibri"/>
                <w:b/>
                <w:bCs/>
                <w:color w:val="000000"/>
                <w:sz w:val="16"/>
                <w:szCs w:val="16"/>
              </w:rPr>
              <w:t xml:space="preserve">barn </w:t>
            </w:r>
            <w:r w:rsidRPr="003954D9">
              <w:rPr>
                <w:rFonts w:ascii="Calibri" w:hAnsi="Calibri" w:cs="Calibri"/>
                <w:b/>
                <w:bCs/>
                <w:color w:val="000000"/>
                <w:sz w:val="16"/>
                <w:szCs w:val="16"/>
              </w:rPr>
              <w:t>0–19</w:t>
            </w:r>
            <w:r w:rsidR="00117C0D" w:rsidRPr="003954D9">
              <w:rPr>
                <w:rFonts w:ascii="Calibri" w:hAnsi="Calibri" w:cs="Calibri"/>
                <w:b/>
                <w:bCs/>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1E81856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570</w:t>
            </w:r>
          </w:p>
        </w:tc>
        <w:tc>
          <w:tcPr>
            <w:tcW w:w="850" w:type="dxa"/>
            <w:tcBorders>
              <w:top w:val="single" w:sz="6" w:space="0" w:color="auto"/>
              <w:left w:val="single" w:sz="6" w:space="0" w:color="auto"/>
              <w:bottom w:val="single" w:sz="6" w:space="0" w:color="auto"/>
              <w:right w:val="single" w:sz="6" w:space="0" w:color="auto"/>
            </w:tcBorders>
          </w:tcPr>
          <w:p w14:paraId="69E86C2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812</w:t>
            </w:r>
          </w:p>
        </w:tc>
        <w:tc>
          <w:tcPr>
            <w:tcW w:w="886" w:type="dxa"/>
            <w:tcBorders>
              <w:top w:val="single" w:sz="6" w:space="0" w:color="auto"/>
              <w:left w:val="single" w:sz="6" w:space="0" w:color="auto"/>
              <w:bottom w:val="single" w:sz="6" w:space="0" w:color="auto"/>
              <w:right w:val="single" w:sz="6" w:space="0" w:color="auto"/>
            </w:tcBorders>
          </w:tcPr>
          <w:p w14:paraId="14891D6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2 197</w:t>
            </w:r>
          </w:p>
        </w:tc>
        <w:tc>
          <w:tcPr>
            <w:tcW w:w="676" w:type="dxa"/>
            <w:tcBorders>
              <w:top w:val="single" w:sz="6" w:space="0" w:color="auto"/>
              <w:left w:val="single" w:sz="6" w:space="0" w:color="auto"/>
              <w:bottom w:val="single" w:sz="6" w:space="0" w:color="auto"/>
              <w:right w:val="single" w:sz="6" w:space="0" w:color="auto"/>
            </w:tcBorders>
          </w:tcPr>
          <w:p w14:paraId="6B39FC7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823</w:t>
            </w:r>
          </w:p>
        </w:tc>
        <w:tc>
          <w:tcPr>
            <w:tcW w:w="855" w:type="dxa"/>
            <w:tcBorders>
              <w:top w:val="single" w:sz="6" w:space="0" w:color="auto"/>
              <w:left w:val="single" w:sz="6" w:space="0" w:color="auto"/>
              <w:bottom w:val="single" w:sz="6" w:space="0" w:color="auto"/>
              <w:right w:val="single" w:sz="6" w:space="0" w:color="auto"/>
            </w:tcBorders>
          </w:tcPr>
          <w:p w14:paraId="2A9656D7"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2 548</w:t>
            </w:r>
          </w:p>
        </w:tc>
        <w:tc>
          <w:tcPr>
            <w:tcW w:w="854" w:type="dxa"/>
            <w:tcBorders>
              <w:top w:val="single" w:sz="6" w:space="0" w:color="auto"/>
              <w:left w:val="single" w:sz="6" w:space="0" w:color="auto"/>
              <w:bottom w:val="single" w:sz="6" w:space="0" w:color="auto"/>
              <w:right w:val="single" w:sz="6" w:space="0" w:color="auto"/>
            </w:tcBorders>
          </w:tcPr>
          <w:p w14:paraId="648E3D3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1 368</w:t>
            </w:r>
          </w:p>
        </w:tc>
        <w:tc>
          <w:tcPr>
            <w:tcW w:w="838" w:type="dxa"/>
            <w:tcBorders>
              <w:top w:val="single" w:sz="6" w:space="0" w:color="auto"/>
              <w:left w:val="single" w:sz="6" w:space="0" w:color="auto"/>
              <w:bottom w:val="single" w:sz="6" w:space="0" w:color="auto"/>
              <w:right w:val="single" w:sz="6" w:space="0" w:color="auto"/>
            </w:tcBorders>
          </w:tcPr>
          <w:p w14:paraId="3FCF28E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572</w:t>
            </w:r>
          </w:p>
        </w:tc>
        <w:tc>
          <w:tcPr>
            <w:tcW w:w="854" w:type="dxa"/>
            <w:tcBorders>
              <w:top w:val="single" w:sz="6" w:space="0" w:color="auto"/>
              <w:left w:val="single" w:sz="6" w:space="0" w:color="auto"/>
              <w:bottom w:val="single" w:sz="6" w:space="0" w:color="auto"/>
              <w:right w:val="single" w:sz="6" w:space="0" w:color="auto"/>
            </w:tcBorders>
          </w:tcPr>
          <w:p w14:paraId="0961933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2 254</w:t>
            </w:r>
          </w:p>
        </w:tc>
        <w:tc>
          <w:tcPr>
            <w:tcW w:w="886" w:type="dxa"/>
            <w:tcBorders>
              <w:top w:val="single" w:sz="6" w:space="0" w:color="auto"/>
              <w:left w:val="single" w:sz="6" w:space="0" w:color="auto"/>
              <w:bottom w:val="single" w:sz="6" w:space="0" w:color="auto"/>
              <w:right w:val="single" w:sz="6" w:space="0" w:color="auto"/>
            </w:tcBorders>
          </w:tcPr>
          <w:p w14:paraId="7F5988A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1 565</w:t>
            </w:r>
          </w:p>
        </w:tc>
        <w:tc>
          <w:tcPr>
            <w:tcW w:w="902" w:type="dxa"/>
            <w:tcBorders>
              <w:top w:val="single" w:sz="6" w:space="0" w:color="auto"/>
              <w:left w:val="single" w:sz="6" w:space="0" w:color="auto"/>
              <w:bottom w:val="single" w:sz="6" w:space="0" w:color="auto"/>
              <w:right w:val="single" w:sz="6" w:space="0" w:color="auto"/>
            </w:tcBorders>
          </w:tcPr>
          <w:p w14:paraId="28DB9F05" w14:textId="77777777" w:rsidR="00117C0D" w:rsidRPr="003954D9" w:rsidRDefault="00117C0D" w:rsidP="00117C0D">
            <w:pPr>
              <w:autoSpaceDE w:val="0"/>
              <w:autoSpaceDN w:val="0"/>
              <w:adjustRightInd w:val="0"/>
              <w:jc w:val="right"/>
              <w:rPr>
                <w:rFonts w:ascii="Calibri" w:hAnsi="Calibri" w:cs="Calibri"/>
                <w:b/>
                <w:bCs/>
                <w:color w:val="333399"/>
                <w:sz w:val="16"/>
                <w:szCs w:val="16"/>
              </w:rPr>
            </w:pPr>
            <w:r w:rsidRPr="00155ABC">
              <w:rPr>
                <w:rFonts w:ascii="Calibri" w:hAnsi="Calibri" w:cs="Calibri"/>
                <w:b/>
                <w:bCs/>
                <w:color w:val="0070C0"/>
                <w:sz w:val="16"/>
                <w:szCs w:val="16"/>
              </w:rPr>
              <w:t>487</w:t>
            </w:r>
          </w:p>
        </w:tc>
      </w:tr>
      <w:tr w:rsidR="00117C0D" w:rsidRPr="003954D9" w14:paraId="12905431"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4D26B02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Övr. hushåll u. barn </w:t>
            </w:r>
          </w:p>
        </w:tc>
        <w:tc>
          <w:tcPr>
            <w:tcW w:w="709" w:type="dxa"/>
            <w:tcBorders>
              <w:top w:val="single" w:sz="6" w:space="0" w:color="auto"/>
              <w:left w:val="single" w:sz="6" w:space="0" w:color="auto"/>
              <w:bottom w:val="single" w:sz="6" w:space="0" w:color="auto"/>
              <w:right w:val="single" w:sz="6" w:space="0" w:color="auto"/>
            </w:tcBorders>
          </w:tcPr>
          <w:p w14:paraId="603FF55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4 604</w:t>
            </w:r>
          </w:p>
        </w:tc>
        <w:tc>
          <w:tcPr>
            <w:tcW w:w="850" w:type="dxa"/>
            <w:tcBorders>
              <w:top w:val="single" w:sz="6" w:space="0" w:color="auto"/>
              <w:left w:val="single" w:sz="6" w:space="0" w:color="auto"/>
              <w:bottom w:val="single" w:sz="6" w:space="0" w:color="auto"/>
              <w:right w:val="single" w:sz="6" w:space="0" w:color="auto"/>
            </w:tcBorders>
          </w:tcPr>
          <w:p w14:paraId="10B5225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4 550</w:t>
            </w:r>
          </w:p>
        </w:tc>
        <w:tc>
          <w:tcPr>
            <w:tcW w:w="886" w:type="dxa"/>
            <w:tcBorders>
              <w:top w:val="single" w:sz="6" w:space="0" w:color="auto"/>
              <w:left w:val="single" w:sz="6" w:space="0" w:color="auto"/>
              <w:bottom w:val="single" w:sz="6" w:space="0" w:color="auto"/>
              <w:right w:val="single" w:sz="6" w:space="0" w:color="auto"/>
            </w:tcBorders>
          </w:tcPr>
          <w:p w14:paraId="0FF4365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6 969</w:t>
            </w:r>
          </w:p>
        </w:tc>
        <w:tc>
          <w:tcPr>
            <w:tcW w:w="676" w:type="dxa"/>
            <w:tcBorders>
              <w:top w:val="single" w:sz="6" w:space="0" w:color="auto"/>
              <w:left w:val="single" w:sz="6" w:space="0" w:color="auto"/>
              <w:bottom w:val="single" w:sz="6" w:space="0" w:color="auto"/>
              <w:right w:val="single" w:sz="6" w:space="0" w:color="auto"/>
            </w:tcBorders>
          </w:tcPr>
          <w:p w14:paraId="26D6227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5 299</w:t>
            </w:r>
          </w:p>
        </w:tc>
        <w:tc>
          <w:tcPr>
            <w:tcW w:w="855" w:type="dxa"/>
            <w:tcBorders>
              <w:top w:val="single" w:sz="6" w:space="0" w:color="auto"/>
              <w:left w:val="single" w:sz="6" w:space="0" w:color="auto"/>
              <w:bottom w:val="single" w:sz="6" w:space="0" w:color="auto"/>
              <w:right w:val="single" w:sz="6" w:space="0" w:color="auto"/>
            </w:tcBorders>
          </w:tcPr>
          <w:p w14:paraId="7FF50E29"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7 342</w:t>
            </w:r>
          </w:p>
        </w:tc>
        <w:tc>
          <w:tcPr>
            <w:tcW w:w="854" w:type="dxa"/>
            <w:tcBorders>
              <w:top w:val="single" w:sz="6" w:space="0" w:color="auto"/>
              <w:left w:val="single" w:sz="6" w:space="0" w:color="auto"/>
              <w:bottom w:val="single" w:sz="6" w:space="0" w:color="auto"/>
              <w:right w:val="single" w:sz="6" w:space="0" w:color="auto"/>
            </w:tcBorders>
          </w:tcPr>
          <w:p w14:paraId="772D406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5 286</w:t>
            </w:r>
          </w:p>
        </w:tc>
        <w:tc>
          <w:tcPr>
            <w:tcW w:w="838" w:type="dxa"/>
            <w:tcBorders>
              <w:top w:val="single" w:sz="6" w:space="0" w:color="auto"/>
              <w:left w:val="single" w:sz="6" w:space="0" w:color="auto"/>
              <w:bottom w:val="single" w:sz="6" w:space="0" w:color="auto"/>
              <w:right w:val="single" w:sz="6" w:space="0" w:color="auto"/>
            </w:tcBorders>
          </w:tcPr>
          <w:p w14:paraId="1E0D16B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4 157</w:t>
            </w:r>
          </w:p>
        </w:tc>
        <w:tc>
          <w:tcPr>
            <w:tcW w:w="854" w:type="dxa"/>
            <w:tcBorders>
              <w:top w:val="single" w:sz="6" w:space="0" w:color="auto"/>
              <w:left w:val="single" w:sz="6" w:space="0" w:color="auto"/>
              <w:bottom w:val="single" w:sz="6" w:space="0" w:color="auto"/>
              <w:right w:val="single" w:sz="6" w:space="0" w:color="auto"/>
            </w:tcBorders>
          </w:tcPr>
          <w:p w14:paraId="772D868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6 304</w:t>
            </w:r>
          </w:p>
        </w:tc>
        <w:tc>
          <w:tcPr>
            <w:tcW w:w="886" w:type="dxa"/>
            <w:tcBorders>
              <w:top w:val="single" w:sz="6" w:space="0" w:color="auto"/>
              <w:left w:val="single" w:sz="6" w:space="0" w:color="auto"/>
              <w:bottom w:val="single" w:sz="6" w:space="0" w:color="auto"/>
              <w:right w:val="single" w:sz="6" w:space="0" w:color="auto"/>
            </w:tcBorders>
          </w:tcPr>
          <w:p w14:paraId="288FDD2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5 977</w:t>
            </w:r>
          </w:p>
        </w:tc>
        <w:tc>
          <w:tcPr>
            <w:tcW w:w="902" w:type="dxa"/>
            <w:tcBorders>
              <w:top w:val="single" w:sz="6" w:space="0" w:color="auto"/>
              <w:left w:val="single" w:sz="6" w:space="0" w:color="auto"/>
              <w:bottom w:val="single" w:sz="6" w:space="0" w:color="auto"/>
              <w:right w:val="single" w:sz="6" w:space="0" w:color="auto"/>
            </w:tcBorders>
          </w:tcPr>
          <w:p w14:paraId="322362C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3 602</w:t>
            </w:r>
          </w:p>
        </w:tc>
      </w:tr>
      <w:tr w:rsidR="00117C0D" w:rsidRPr="003954D9" w14:paraId="1B52CD0F"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45FA999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Övr. hushåll m. barn</w:t>
            </w:r>
          </w:p>
        </w:tc>
        <w:tc>
          <w:tcPr>
            <w:tcW w:w="709" w:type="dxa"/>
            <w:tcBorders>
              <w:top w:val="single" w:sz="6" w:space="0" w:color="auto"/>
              <w:left w:val="single" w:sz="6" w:space="0" w:color="auto"/>
              <w:bottom w:val="single" w:sz="6" w:space="0" w:color="auto"/>
              <w:right w:val="single" w:sz="6" w:space="0" w:color="auto"/>
            </w:tcBorders>
          </w:tcPr>
          <w:p w14:paraId="39E4169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3 178</w:t>
            </w:r>
          </w:p>
        </w:tc>
        <w:tc>
          <w:tcPr>
            <w:tcW w:w="850" w:type="dxa"/>
            <w:tcBorders>
              <w:top w:val="single" w:sz="6" w:space="0" w:color="auto"/>
              <w:left w:val="single" w:sz="6" w:space="0" w:color="auto"/>
              <w:bottom w:val="single" w:sz="6" w:space="0" w:color="auto"/>
              <w:right w:val="single" w:sz="6" w:space="0" w:color="auto"/>
            </w:tcBorders>
          </w:tcPr>
          <w:p w14:paraId="7E448B8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4 238</w:t>
            </w:r>
          </w:p>
        </w:tc>
        <w:tc>
          <w:tcPr>
            <w:tcW w:w="886" w:type="dxa"/>
            <w:tcBorders>
              <w:top w:val="single" w:sz="6" w:space="0" w:color="auto"/>
              <w:left w:val="single" w:sz="6" w:space="0" w:color="auto"/>
              <w:bottom w:val="single" w:sz="6" w:space="0" w:color="auto"/>
              <w:right w:val="single" w:sz="6" w:space="0" w:color="auto"/>
            </w:tcBorders>
          </w:tcPr>
          <w:p w14:paraId="26A9BBF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6 053</w:t>
            </w:r>
          </w:p>
        </w:tc>
        <w:tc>
          <w:tcPr>
            <w:tcW w:w="676" w:type="dxa"/>
            <w:tcBorders>
              <w:top w:val="single" w:sz="6" w:space="0" w:color="auto"/>
              <w:left w:val="single" w:sz="6" w:space="0" w:color="auto"/>
              <w:bottom w:val="single" w:sz="6" w:space="0" w:color="auto"/>
              <w:right w:val="single" w:sz="6" w:space="0" w:color="auto"/>
            </w:tcBorders>
          </w:tcPr>
          <w:p w14:paraId="589CF1B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3 442</w:t>
            </w:r>
          </w:p>
        </w:tc>
        <w:tc>
          <w:tcPr>
            <w:tcW w:w="855" w:type="dxa"/>
            <w:tcBorders>
              <w:top w:val="single" w:sz="6" w:space="0" w:color="auto"/>
              <w:left w:val="single" w:sz="6" w:space="0" w:color="auto"/>
              <w:bottom w:val="single" w:sz="6" w:space="0" w:color="auto"/>
              <w:right w:val="single" w:sz="6" w:space="0" w:color="auto"/>
            </w:tcBorders>
          </w:tcPr>
          <w:p w14:paraId="17F28E9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5 725</w:t>
            </w:r>
          </w:p>
        </w:tc>
        <w:tc>
          <w:tcPr>
            <w:tcW w:w="854" w:type="dxa"/>
            <w:tcBorders>
              <w:top w:val="single" w:sz="6" w:space="0" w:color="auto"/>
              <w:left w:val="single" w:sz="6" w:space="0" w:color="auto"/>
              <w:bottom w:val="single" w:sz="6" w:space="0" w:color="auto"/>
              <w:right w:val="single" w:sz="6" w:space="0" w:color="auto"/>
            </w:tcBorders>
          </w:tcPr>
          <w:p w14:paraId="4F541F4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3 282</w:t>
            </w:r>
          </w:p>
        </w:tc>
        <w:tc>
          <w:tcPr>
            <w:tcW w:w="838" w:type="dxa"/>
            <w:tcBorders>
              <w:top w:val="single" w:sz="6" w:space="0" w:color="auto"/>
              <w:left w:val="single" w:sz="6" w:space="0" w:color="auto"/>
              <w:bottom w:val="single" w:sz="6" w:space="0" w:color="auto"/>
              <w:right w:val="single" w:sz="6" w:space="0" w:color="auto"/>
            </w:tcBorders>
          </w:tcPr>
          <w:p w14:paraId="6940AF0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2 550</w:t>
            </w:r>
          </w:p>
        </w:tc>
        <w:tc>
          <w:tcPr>
            <w:tcW w:w="854" w:type="dxa"/>
            <w:tcBorders>
              <w:top w:val="single" w:sz="6" w:space="0" w:color="auto"/>
              <w:left w:val="single" w:sz="6" w:space="0" w:color="auto"/>
              <w:bottom w:val="single" w:sz="6" w:space="0" w:color="auto"/>
              <w:right w:val="single" w:sz="6" w:space="0" w:color="auto"/>
            </w:tcBorders>
          </w:tcPr>
          <w:p w14:paraId="718756EA"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6 141</w:t>
            </w:r>
          </w:p>
        </w:tc>
        <w:tc>
          <w:tcPr>
            <w:tcW w:w="886" w:type="dxa"/>
            <w:tcBorders>
              <w:top w:val="single" w:sz="6" w:space="0" w:color="auto"/>
              <w:left w:val="single" w:sz="6" w:space="0" w:color="auto"/>
              <w:bottom w:val="single" w:sz="6" w:space="0" w:color="auto"/>
              <w:right w:val="single" w:sz="6" w:space="0" w:color="auto"/>
            </w:tcBorders>
          </w:tcPr>
          <w:p w14:paraId="701E31C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4 908</w:t>
            </w:r>
          </w:p>
        </w:tc>
        <w:tc>
          <w:tcPr>
            <w:tcW w:w="902" w:type="dxa"/>
            <w:tcBorders>
              <w:top w:val="single" w:sz="6" w:space="0" w:color="auto"/>
              <w:left w:val="single" w:sz="6" w:space="0" w:color="auto"/>
              <w:bottom w:val="single" w:sz="6" w:space="0" w:color="auto"/>
              <w:right w:val="single" w:sz="6" w:space="0" w:color="auto"/>
            </w:tcBorders>
          </w:tcPr>
          <w:p w14:paraId="5167EF43" w14:textId="77777777" w:rsidR="00117C0D" w:rsidRPr="00155ABC" w:rsidRDefault="00117C0D" w:rsidP="00117C0D">
            <w:pPr>
              <w:autoSpaceDE w:val="0"/>
              <w:autoSpaceDN w:val="0"/>
              <w:adjustRightInd w:val="0"/>
              <w:jc w:val="right"/>
              <w:rPr>
                <w:rFonts w:ascii="Calibri" w:hAnsi="Calibri" w:cs="Calibri"/>
                <w:b/>
                <w:color w:val="000000"/>
                <w:sz w:val="16"/>
                <w:szCs w:val="16"/>
              </w:rPr>
            </w:pPr>
            <w:r w:rsidRPr="00155ABC">
              <w:rPr>
                <w:rFonts w:ascii="Calibri" w:hAnsi="Calibri" w:cs="Calibri"/>
                <w:b/>
                <w:color w:val="0070C0"/>
                <w:sz w:val="16"/>
                <w:szCs w:val="16"/>
              </w:rPr>
              <w:t>2 344</w:t>
            </w:r>
          </w:p>
        </w:tc>
      </w:tr>
    </w:tbl>
    <w:p w14:paraId="52918B9E" w14:textId="77777777" w:rsidR="00117C0D" w:rsidRPr="003954D9" w:rsidRDefault="00117C0D" w:rsidP="00117C0D">
      <w:pPr>
        <w:rPr>
          <w:sz w:val="16"/>
          <w:szCs w:val="16"/>
        </w:rPr>
      </w:pPr>
      <w:r w:rsidRPr="00155ABC">
        <w:rPr>
          <w:b/>
          <w:color w:val="FF6600"/>
          <w:sz w:val="16"/>
          <w:szCs w:val="16"/>
        </w:rPr>
        <w:t>Röd färg högsta</w:t>
      </w:r>
      <w:r w:rsidRPr="003954D9">
        <w:rPr>
          <w:color w:val="FF6600"/>
          <w:sz w:val="16"/>
          <w:szCs w:val="16"/>
        </w:rPr>
        <w:t xml:space="preserve"> </w:t>
      </w:r>
      <w:r w:rsidRPr="003954D9">
        <w:rPr>
          <w:sz w:val="16"/>
          <w:szCs w:val="16"/>
        </w:rPr>
        <w:t xml:space="preserve">och </w:t>
      </w:r>
      <w:r w:rsidRPr="00155ABC">
        <w:rPr>
          <w:b/>
          <w:color w:val="0070C0"/>
          <w:sz w:val="16"/>
          <w:szCs w:val="16"/>
        </w:rPr>
        <w:t>blå färg lägsta</w:t>
      </w:r>
      <w:r w:rsidRPr="00155ABC">
        <w:rPr>
          <w:color w:val="0070C0"/>
          <w:sz w:val="16"/>
          <w:szCs w:val="16"/>
        </w:rPr>
        <w:t xml:space="preserve"> </w:t>
      </w:r>
      <w:r w:rsidRPr="003954D9">
        <w:rPr>
          <w:sz w:val="16"/>
          <w:szCs w:val="16"/>
        </w:rPr>
        <w:t>värde i grupp.</w:t>
      </w:r>
    </w:p>
    <w:p w14:paraId="34A61E11"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5:4: Andel och antal i riskzonen efter hyreshöjning på 25 procent, hushållstyp och stadsdel</w:t>
      </w:r>
    </w:p>
    <w:tbl>
      <w:tblPr>
        <w:tblW w:w="9669" w:type="dxa"/>
        <w:tblInd w:w="-38" w:type="dxa"/>
        <w:tblLayout w:type="fixed"/>
        <w:tblCellMar>
          <w:left w:w="70" w:type="dxa"/>
          <w:right w:w="70" w:type="dxa"/>
        </w:tblCellMar>
        <w:tblLook w:val="0000" w:firstRow="0" w:lastRow="0" w:firstColumn="0" w:lastColumn="0" w:noHBand="0" w:noVBand="0"/>
      </w:tblPr>
      <w:tblGrid>
        <w:gridCol w:w="1873"/>
        <w:gridCol w:w="709"/>
        <w:gridCol w:w="838"/>
        <w:gridCol w:w="721"/>
        <w:gridCol w:w="677"/>
        <w:gridCol w:w="807"/>
        <w:gridCol w:w="784"/>
        <w:gridCol w:w="758"/>
        <w:gridCol w:w="801"/>
        <w:gridCol w:w="851"/>
        <w:gridCol w:w="850"/>
      </w:tblGrid>
      <w:tr w:rsidR="00117C0D" w:rsidRPr="003954D9" w14:paraId="13DE3E2A"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63DC3AB4"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Hushållstyp</w:t>
            </w:r>
          </w:p>
        </w:tc>
        <w:tc>
          <w:tcPr>
            <w:tcW w:w="709" w:type="dxa"/>
            <w:tcBorders>
              <w:top w:val="single" w:sz="6" w:space="0" w:color="auto"/>
              <w:left w:val="single" w:sz="6" w:space="0" w:color="auto"/>
              <w:bottom w:val="single" w:sz="6" w:space="0" w:color="auto"/>
              <w:right w:val="single" w:sz="6" w:space="0" w:color="auto"/>
            </w:tcBorders>
          </w:tcPr>
          <w:p w14:paraId="12C5050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38" w:type="dxa"/>
            <w:tcBorders>
              <w:top w:val="single" w:sz="6" w:space="0" w:color="auto"/>
              <w:left w:val="single" w:sz="6" w:space="0" w:color="auto"/>
              <w:bottom w:val="single" w:sz="6" w:space="0" w:color="auto"/>
              <w:right w:val="single" w:sz="6" w:space="0" w:color="auto"/>
            </w:tcBorders>
          </w:tcPr>
          <w:p w14:paraId="2B5DA34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21" w:type="dxa"/>
            <w:tcBorders>
              <w:top w:val="single" w:sz="6" w:space="0" w:color="auto"/>
              <w:left w:val="single" w:sz="6" w:space="0" w:color="auto"/>
              <w:bottom w:val="single" w:sz="6" w:space="0" w:color="auto"/>
              <w:right w:val="single" w:sz="6" w:space="0" w:color="auto"/>
            </w:tcBorders>
          </w:tcPr>
          <w:p w14:paraId="424D78D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677" w:type="dxa"/>
            <w:tcBorders>
              <w:top w:val="single" w:sz="6" w:space="0" w:color="auto"/>
              <w:left w:val="single" w:sz="6" w:space="0" w:color="auto"/>
              <w:bottom w:val="single" w:sz="6" w:space="0" w:color="auto"/>
              <w:right w:val="single" w:sz="6" w:space="0" w:color="auto"/>
            </w:tcBorders>
          </w:tcPr>
          <w:p w14:paraId="3121A3B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07" w:type="dxa"/>
            <w:tcBorders>
              <w:top w:val="single" w:sz="6" w:space="0" w:color="auto"/>
              <w:left w:val="single" w:sz="6" w:space="0" w:color="auto"/>
              <w:bottom w:val="single" w:sz="6" w:space="0" w:color="auto"/>
              <w:right w:val="single" w:sz="6" w:space="0" w:color="auto"/>
            </w:tcBorders>
          </w:tcPr>
          <w:p w14:paraId="7292E55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 Linne</w:t>
            </w:r>
          </w:p>
        </w:tc>
        <w:tc>
          <w:tcPr>
            <w:tcW w:w="784" w:type="dxa"/>
            <w:tcBorders>
              <w:top w:val="single" w:sz="6" w:space="0" w:color="auto"/>
              <w:left w:val="single" w:sz="6" w:space="0" w:color="auto"/>
              <w:bottom w:val="single" w:sz="6" w:space="0" w:color="auto"/>
              <w:right w:val="single" w:sz="6" w:space="0" w:color="auto"/>
            </w:tcBorders>
          </w:tcPr>
          <w:p w14:paraId="087450F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58" w:type="dxa"/>
            <w:tcBorders>
              <w:top w:val="single" w:sz="6" w:space="0" w:color="auto"/>
              <w:left w:val="single" w:sz="6" w:space="0" w:color="auto"/>
              <w:bottom w:val="single" w:sz="6" w:space="0" w:color="auto"/>
              <w:right w:val="single" w:sz="6" w:space="0" w:color="auto"/>
            </w:tcBorders>
          </w:tcPr>
          <w:p w14:paraId="71529CA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01" w:type="dxa"/>
            <w:tcBorders>
              <w:top w:val="single" w:sz="6" w:space="0" w:color="auto"/>
              <w:left w:val="single" w:sz="6" w:space="0" w:color="auto"/>
              <w:bottom w:val="single" w:sz="6" w:space="0" w:color="auto"/>
              <w:right w:val="single" w:sz="6" w:space="0" w:color="auto"/>
            </w:tcBorders>
          </w:tcPr>
          <w:p w14:paraId="0950576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6A3524B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50" w:type="dxa"/>
            <w:tcBorders>
              <w:top w:val="single" w:sz="6" w:space="0" w:color="auto"/>
              <w:left w:val="single" w:sz="6" w:space="0" w:color="auto"/>
              <w:bottom w:val="single" w:sz="6" w:space="0" w:color="auto"/>
              <w:right w:val="single" w:sz="6" w:space="0" w:color="auto"/>
            </w:tcBorders>
          </w:tcPr>
          <w:p w14:paraId="13CF543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117C0D" w:rsidRPr="003954D9" w14:paraId="1CD1D79A"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50037A9E" w14:textId="572885D3"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Ensambo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3083E36E"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41,1</w:t>
            </w:r>
          </w:p>
        </w:tc>
        <w:tc>
          <w:tcPr>
            <w:tcW w:w="838" w:type="dxa"/>
            <w:tcBorders>
              <w:top w:val="single" w:sz="6" w:space="0" w:color="auto"/>
              <w:left w:val="single" w:sz="6" w:space="0" w:color="auto"/>
              <w:bottom w:val="single" w:sz="6" w:space="0" w:color="auto"/>
              <w:right w:val="single" w:sz="6" w:space="0" w:color="auto"/>
            </w:tcBorders>
            <w:vAlign w:val="center"/>
          </w:tcPr>
          <w:p w14:paraId="4EB8B93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28,7</w:t>
            </w:r>
          </w:p>
        </w:tc>
        <w:tc>
          <w:tcPr>
            <w:tcW w:w="721" w:type="dxa"/>
            <w:tcBorders>
              <w:top w:val="single" w:sz="6" w:space="0" w:color="auto"/>
              <w:left w:val="single" w:sz="6" w:space="0" w:color="auto"/>
              <w:bottom w:val="single" w:sz="6" w:space="0" w:color="auto"/>
              <w:right w:val="single" w:sz="6" w:space="0" w:color="auto"/>
            </w:tcBorders>
            <w:vAlign w:val="center"/>
          </w:tcPr>
          <w:p w14:paraId="1FA767E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24,1</w:t>
            </w:r>
          </w:p>
        </w:tc>
        <w:tc>
          <w:tcPr>
            <w:tcW w:w="677" w:type="dxa"/>
            <w:tcBorders>
              <w:top w:val="single" w:sz="6" w:space="0" w:color="auto"/>
              <w:left w:val="single" w:sz="6" w:space="0" w:color="auto"/>
              <w:bottom w:val="single" w:sz="6" w:space="0" w:color="auto"/>
              <w:right w:val="single" w:sz="6" w:space="0" w:color="auto"/>
            </w:tcBorders>
            <w:vAlign w:val="center"/>
          </w:tcPr>
          <w:p w14:paraId="7449BD5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20,5</w:t>
            </w:r>
          </w:p>
        </w:tc>
        <w:tc>
          <w:tcPr>
            <w:tcW w:w="807" w:type="dxa"/>
            <w:tcBorders>
              <w:top w:val="single" w:sz="6" w:space="0" w:color="auto"/>
              <w:left w:val="single" w:sz="6" w:space="0" w:color="auto"/>
              <w:bottom w:val="single" w:sz="6" w:space="0" w:color="auto"/>
              <w:right w:val="single" w:sz="6" w:space="0" w:color="auto"/>
            </w:tcBorders>
            <w:vAlign w:val="center"/>
          </w:tcPr>
          <w:p w14:paraId="4BF29EA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22,8</w:t>
            </w:r>
          </w:p>
        </w:tc>
        <w:tc>
          <w:tcPr>
            <w:tcW w:w="784" w:type="dxa"/>
            <w:tcBorders>
              <w:top w:val="single" w:sz="6" w:space="0" w:color="auto"/>
              <w:left w:val="single" w:sz="6" w:space="0" w:color="auto"/>
              <w:bottom w:val="single" w:sz="6" w:space="0" w:color="auto"/>
              <w:right w:val="single" w:sz="6" w:space="0" w:color="auto"/>
            </w:tcBorders>
            <w:vAlign w:val="center"/>
          </w:tcPr>
          <w:p w14:paraId="35BE69D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26,9</w:t>
            </w:r>
          </w:p>
        </w:tc>
        <w:tc>
          <w:tcPr>
            <w:tcW w:w="758" w:type="dxa"/>
            <w:tcBorders>
              <w:top w:val="single" w:sz="6" w:space="0" w:color="auto"/>
              <w:left w:val="single" w:sz="6" w:space="0" w:color="auto"/>
              <w:bottom w:val="single" w:sz="6" w:space="0" w:color="auto"/>
              <w:right w:val="single" w:sz="6" w:space="0" w:color="auto"/>
            </w:tcBorders>
            <w:vAlign w:val="center"/>
          </w:tcPr>
          <w:p w14:paraId="64EEC41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36,4</w:t>
            </w:r>
          </w:p>
        </w:tc>
        <w:tc>
          <w:tcPr>
            <w:tcW w:w="801" w:type="dxa"/>
            <w:tcBorders>
              <w:top w:val="single" w:sz="6" w:space="0" w:color="auto"/>
              <w:left w:val="single" w:sz="6" w:space="0" w:color="auto"/>
              <w:bottom w:val="single" w:sz="6" w:space="0" w:color="auto"/>
              <w:right w:val="single" w:sz="6" w:space="0" w:color="auto"/>
            </w:tcBorders>
            <w:vAlign w:val="center"/>
          </w:tcPr>
          <w:p w14:paraId="36E519D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851" w:type="dxa"/>
            <w:tcBorders>
              <w:top w:val="single" w:sz="6" w:space="0" w:color="auto"/>
              <w:left w:val="single" w:sz="6" w:space="0" w:color="auto"/>
              <w:bottom w:val="single" w:sz="6" w:space="0" w:color="auto"/>
              <w:right w:val="single" w:sz="6" w:space="0" w:color="auto"/>
            </w:tcBorders>
            <w:vAlign w:val="center"/>
          </w:tcPr>
          <w:p w14:paraId="0E1D4080"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14,7</w:t>
            </w:r>
          </w:p>
        </w:tc>
        <w:tc>
          <w:tcPr>
            <w:tcW w:w="850" w:type="dxa"/>
            <w:tcBorders>
              <w:top w:val="single" w:sz="6" w:space="0" w:color="auto"/>
              <w:left w:val="single" w:sz="6" w:space="0" w:color="auto"/>
              <w:bottom w:val="single" w:sz="6" w:space="0" w:color="auto"/>
              <w:right w:val="single" w:sz="6" w:space="0" w:color="auto"/>
            </w:tcBorders>
            <w:vAlign w:val="center"/>
          </w:tcPr>
          <w:p w14:paraId="1340177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34,5</w:t>
            </w:r>
          </w:p>
        </w:tc>
      </w:tr>
      <w:tr w:rsidR="00117C0D" w:rsidRPr="003954D9" w14:paraId="2CE0C37A"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3948E379" w14:textId="5B8E0669"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Ensambo u. barn </w:t>
            </w:r>
            <w:r w:rsidR="00365C66" w:rsidRPr="003954D9">
              <w:rPr>
                <w:rFonts w:ascii="Calibri" w:hAnsi="Calibri" w:cs="Calibri"/>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vAlign w:val="center"/>
          </w:tcPr>
          <w:p w14:paraId="3C4B5919" w14:textId="77777777" w:rsidR="00117C0D" w:rsidRPr="003954D9" w:rsidRDefault="00117C0D" w:rsidP="00117C0D">
            <w:pPr>
              <w:autoSpaceDE w:val="0"/>
              <w:autoSpaceDN w:val="0"/>
              <w:adjustRightInd w:val="0"/>
              <w:jc w:val="right"/>
              <w:rPr>
                <w:rFonts w:ascii="Calibri" w:hAnsi="Calibri" w:cs="Calibri"/>
                <w:bCs/>
                <w:color w:val="FF0000"/>
                <w:sz w:val="16"/>
                <w:szCs w:val="16"/>
              </w:rPr>
            </w:pPr>
            <w:r w:rsidRPr="003954D9">
              <w:rPr>
                <w:rFonts w:ascii="Calibri" w:hAnsi="Calibri" w:cs="Calibri"/>
                <w:bCs/>
                <w:sz w:val="16"/>
                <w:szCs w:val="16"/>
              </w:rPr>
              <w:t>38,7</w:t>
            </w:r>
          </w:p>
        </w:tc>
        <w:tc>
          <w:tcPr>
            <w:tcW w:w="838" w:type="dxa"/>
            <w:tcBorders>
              <w:top w:val="single" w:sz="6" w:space="0" w:color="auto"/>
              <w:left w:val="single" w:sz="6" w:space="0" w:color="auto"/>
              <w:bottom w:val="single" w:sz="6" w:space="0" w:color="auto"/>
              <w:right w:val="single" w:sz="6" w:space="0" w:color="auto"/>
            </w:tcBorders>
            <w:vAlign w:val="center"/>
          </w:tcPr>
          <w:p w14:paraId="31A5DA24"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40,5</w:t>
            </w:r>
          </w:p>
        </w:tc>
        <w:tc>
          <w:tcPr>
            <w:tcW w:w="721" w:type="dxa"/>
            <w:tcBorders>
              <w:top w:val="single" w:sz="6" w:space="0" w:color="auto"/>
              <w:left w:val="single" w:sz="6" w:space="0" w:color="auto"/>
              <w:bottom w:val="single" w:sz="6" w:space="0" w:color="auto"/>
              <w:right w:val="single" w:sz="6" w:space="0" w:color="auto"/>
            </w:tcBorders>
            <w:vAlign w:val="center"/>
          </w:tcPr>
          <w:p w14:paraId="42AE6A8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24,4</w:t>
            </w:r>
          </w:p>
        </w:tc>
        <w:tc>
          <w:tcPr>
            <w:tcW w:w="677" w:type="dxa"/>
            <w:tcBorders>
              <w:top w:val="single" w:sz="6" w:space="0" w:color="auto"/>
              <w:left w:val="single" w:sz="6" w:space="0" w:color="auto"/>
              <w:bottom w:val="single" w:sz="6" w:space="0" w:color="auto"/>
              <w:right w:val="single" w:sz="6" w:space="0" w:color="auto"/>
            </w:tcBorders>
            <w:vAlign w:val="center"/>
          </w:tcPr>
          <w:p w14:paraId="383A640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c>
          <w:tcPr>
            <w:tcW w:w="807" w:type="dxa"/>
            <w:tcBorders>
              <w:top w:val="single" w:sz="6" w:space="0" w:color="auto"/>
              <w:left w:val="single" w:sz="6" w:space="0" w:color="auto"/>
              <w:bottom w:val="single" w:sz="6" w:space="0" w:color="auto"/>
              <w:right w:val="single" w:sz="6" w:space="0" w:color="auto"/>
            </w:tcBorders>
            <w:vAlign w:val="center"/>
          </w:tcPr>
          <w:p w14:paraId="331C8BA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29,8</w:t>
            </w:r>
          </w:p>
        </w:tc>
        <w:tc>
          <w:tcPr>
            <w:tcW w:w="784" w:type="dxa"/>
            <w:tcBorders>
              <w:top w:val="single" w:sz="6" w:space="0" w:color="auto"/>
              <w:left w:val="single" w:sz="6" w:space="0" w:color="auto"/>
              <w:bottom w:val="single" w:sz="6" w:space="0" w:color="auto"/>
              <w:right w:val="single" w:sz="6" w:space="0" w:color="auto"/>
            </w:tcBorders>
            <w:vAlign w:val="center"/>
          </w:tcPr>
          <w:p w14:paraId="692766F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25,1</w:t>
            </w:r>
          </w:p>
        </w:tc>
        <w:tc>
          <w:tcPr>
            <w:tcW w:w="758" w:type="dxa"/>
            <w:tcBorders>
              <w:top w:val="single" w:sz="6" w:space="0" w:color="auto"/>
              <w:left w:val="single" w:sz="6" w:space="0" w:color="auto"/>
              <w:bottom w:val="single" w:sz="6" w:space="0" w:color="auto"/>
              <w:right w:val="single" w:sz="6" w:space="0" w:color="auto"/>
            </w:tcBorders>
            <w:vAlign w:val="center"/>
          </w:tcPr>
          <w:p w14:paraId="27A5893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23,7</w:t>
            </w:r>
          </w:p>
        </w:tc>
        <w:tc>
          <w:tcPr>
            <w:tcW w:w="801" w:type="dxa"/>
            <w:tcBorders>
              <w:top w:val="single" w:sz="6" w:space="0" w:color="auto"/>
              <w:left w:val="single" w:sz="6" w:space="0" w:color="auto"/>
              <w:bottom w:val="single" w:sz="6" w:space="0" w:color="auto"/>
              <w:right w:val="single" w:sz="6" w:space="0" w:color="auto"/>
            </w:tcBorders>
            <w:vAlign w:val="center"/>
          </w:tcPr>
          <w:p w14:paraId="148CDB85"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21,5</w:t>
            </w:r>
          </w:p>
        </w:tc>
        <w:tc>
          <w:tcPr>
            <w:tcW w:w="851" w:type="dxa"/>
            <w:tcBorders>
              <w:top w:val="single" w:sz="6" w:space="0" w:color="auto"/>
              <w:left w:val="single" w:sz="6" w:space="0" w:color="auto"/>
              <w:bottom w:val="single" w:sz="6" w:space="0" w:color="auto"/>
              <w:right w:val="single" w:sz="6" w:space="0" w:color="auto"/>
            </w:tcBorders>
            <w:vAlign w:val="center"/>
          </w:tcPr>
          <w:p w14:paraId="7ACE321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31,8</w:t>
            </w:r>
          </w:p>
        </w:tc>
        <w:tc>
          <w:tcPr>
            <w:tcW w:w="850" w:type="dxa"/>
            <w:tcBorders>
              <w:top w:val="single" w:sz="6" w:space="0" w:color="auto"/>
              <w:left w:val="single" w:sz="6" w:space="0" w:color="auto"/>
              <w:bottom w:val="single" w:sz="6" w:space="0" w:color="auto"/>
              <w:right w:val="single" w:sz="6" w:space="0" w:color="auto"/>
            </w:tcBorders>
            <w:vAlign w:val="center"/>
          </w:tcPr>
          <w:p w14:paraId="53638B3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27,4</w:t>
            </w:r>
          </w:p>
        </w:tc>
      </w:tr>
      <w:tr w:rsidR="00117C0D" w:rsidRPr="003954D9" w14:paraId="45EF3C33"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45B7FAE2" w14:textId="17D27663"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Ensamst, m.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3E208898"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50,2</w:t>
            </w:r>
          </w:p>
        </w:tc>
        <w:tc>
          <w:tcPr>
            <w:tcW w:w="838" w:type="dxa"/>
            <w:tcBorders>
              <w:top w:val="single" w:sz="6" w:space="0" w:color="auto"/>
              <w:left w:val="single" w:sz="6" w:space="0" w:color="auto"/>
              <w:bottom w:val="single" w:sz="6" w:space="0" w:color="auto"/>
              <w:right w:val="single" w:sz="6" w:space="0" w:color="auto"/>
            </w:tcBorders>
            <w:vAlign w:val="center"/>
          </w:tcPr>
          <w:p w14:paraId="0124F68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40,2</w:t>
            </w:r>
          </w:p>
        </w:tc>
        <w:tc>
          <w:tcPr>
            <w:tcW w:w="721" w:type="dxa"/>
            <w:tcBorders>
              <w:top w:val="single" w:sz="6" w:space="0" w:color="auto"/>
              <w:left w:val="single" w:sz="6" w:space="0" w:color="auto"/>
              <w:bottom w:val="single" w:sz="6" w:space="0" w:color="auto"/>
              <w:right w:val="single" w:sz="6" w:space="0" w:color="auto"/>
            </w:tcBorders>
            <w:vAlign w:val="center"/>
          </w:tcPr>
          <w:p w14:paraId="0213561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23,4</w:t>
            </w:r>
          </w:p>
        </w:tc>
        <w:tc>
          <w:tcPr>
            <w:tcW w:w="677" w:type="dxa"/>
            <w:tcBorders>
              <w:top w:val="single" w:sz="6" w:space="0" w:color="auto"/>
              <w:left w:val="single" w:sz="6" w:space="0" w:color="auto"/>
              <w:bottom w:val="single" w:sz="6" w:space="0" w:color="auto"/>
              <w:right w:val="single" w:sz="6" w:space="0" w:color="auto"/>
            </w:tcBorders>
            <w:vAlign w:val="center"/>
          </w:tcPr>
          <w:p w14:paraId="3AD991A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30,0</w:t>
            </w:r>
          </w:p>
        </w:tc>
        <w:tc>
          <w:tcPr>
            <w:tcW w:w="807" w:type="dxa"/>
            <w:tcBorders>
              <w:top w:val="single" w:sz="6" w:space="0" w:color="auto"/>
              <w:left w:val="single" w:sz="6" w:space="0" w:color="auto"/>
              <w:bottom w:val="single" w:sz="6" w:space="0" w:color="auto"/>
              <w:right w:val="single" w:sz="6" w:space="0" w:color="auto"/>
            </w:tcBorders>
            <w:vAlign w:val="center"/>
          </w:tcPr>
          <w:p w14:paraId="47B5CA4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29,1</w:t>
            </w:r>
          </w:p>
        </w:tc>
        <w:tc>
          <w:tcPr>
            <w:tcW w:w="784" w:type="dxa"/>
            <w:tcBorders>
              <w:top w:val="single" w:sz="6" w:space="0" w:color="auto"/>
              <w:left w:val="single" w:sz="6" w:space="0" w:color="auto"/>
              <w:bottom w:val="single" w:sz="6" w:space="0" w:color="auto"/>
              <w:right w:val="single" w:sz="6" w:space="0" w:color="auto"/>
            </w:tcBorders>
            <w:vAlign w:val="center"/>
          </w:tcPr>
          <w:p w14:paraId="241F15F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34,7</w:t>
            </w:r>
          </w:p>
        </w:tc>
        <w:tc>
          <w:tcPr>
            <w:tcW w:w="758" w:type="dxa"/>
            <w:tcBorders>
              <w:top w:val="single" w:sz="6" w:space="0" w:color="auto"/>
              <w:left w:val="single" w:sz="6" w:space="0" w:color="auto"/>
              <w:bottom w:val="single" w:sz="6" w:space="0" w:color="auto"/>
              <w:right w:val="single" w:sz="6" w:space="0" w:color="auto"/>
            </w:tcBorders>
            <w:vAlign w:val="center"/>
          </w:tcPr>
          <w:p w14:paraId="579B43D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42,2</w:t>
            </w:r>
          </w:p>
        </w:tc>
        <w:tc>
          <w:tcPr>
            <w:tcW w:w="801" w:type="dxa"/>
            <w:tcBorders>
              <w:top w:val="single" w:sz="6" w:space="0" w:color="auto"/>
              <w:left w:val="single" w:sz="6" w:space="0" w:color="auto"/>
              <w:bottom w:val="single" w:sz="6" w:space="0" w:color="auto"/>
              <w:right w:val="single" w:sz="6" w:space="0" w:color="auto"/>
            </w:tcBorders>
            <w:vAlign w:val="center"/>
          </w:tcPr>
          <w:p w14:paraId="7A870431"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19,2</w:t>
            </w:r>
          </w:p>
        </w:tc>
        <w:tc>
          <w:tcPr>
            <w:tcW w:w="851" w:type="dxa"/>
            <w:tcBorders>
              <w:top w:val="single" w:sz="6" w:space="0" w:color="auto"/>
              <w:left w:val="single" w:sz="6" w:space="0" w:color="auto"/>
              <w:bottom w:val="single" w:sz="6" w:space="0" w:color="auto"/>
              <w:right w:val="single" w:sz="6" w:space="0" w:color="auto"/>
            </w:tcBorders>
            <w:vAlign w:val="center"/>
          </w:tcPr>
          <w:p w14:paraId="28B8D1A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28,6</w:t>
            </w:r>
          </w:p>
        </w:tc>
        <w:tc>
          <w:tcPr>
            <w:tcW w:w="850" w:type="dxa"/>
            <w:tcBorders>
              <w:top w:val="single" w:sz="6" w:space="0" w:color="auto"/>
              <w:left w:val="single" w:sz="6" w:space="0" w:color="auto"/>
              <w:bottom w:val="single" w:sz="6" w:space="0" w:color="auto"/>
              <w:right w:val="single" w:sz="6" w:space="0" w:color="auto"/>
            </w:tcBorders>
            <w:vAlign w:val="center"/>
          </w:tcPr>
          <w:p w14:paraId="554EAA7C"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50,1</w:t>
            </w:r>
          </w:p>
        </w:tc>
      </w:tr>
      <w:tr w:rsidR="00117C0D" w:rsidRPr="003954D9" w14:paraId="302D77AF"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05E5529D" w14:textId="71E7961B"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499EFB98"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21,9</w:t>
            </w:r>
          </w:p>
        </w:tc>
        <w:tc>
          <w:tcPr>
            <w:tcW w:w="838" w:type="dxa"/>
            <w:tcBorders>
              <w:top w:val="single" w:sz="6" w:space="0" w:color="auto"/>
              <w:left w:val="single" w:sz="6" w:space="0" w:color="auto"/>
              <w:bottom w:val="single" w:sz="6" w:space="0" w:color="auto"/>
              <w:right w:val="single" w:sz="6" w:space="0" w:color="auto"/>
            </w:tcBorders>
            <w:vAlign w:val="center"/>
          </w:tcPr>
          <w:p w14:paraId="7326D6A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8,5</w:t>
            </w:r>
          </w:p>
        </w:tc>
        <w:tc>
          <w:tcPr>
            <w:tcW w:w="721" w:type="dxa"/>
            <w:tcBorders>
              <w:top w:val="single" w:sz="6" w:space="0" w:color="auto"/>
              <w:left w:val="single" w:sz="6" w:space="0" w:color="auto"/>
              <w:bottom w:val="single" w:sz="6" w:space="0" w:color="auto"/>
              <w:right w:val="single" w:sz="6" w:space="0" w:color="auto"/>
            </w:tcBorders>
            <w:vAlign w:val="center"/>
          </w:tcPr>
          <w:p w14:paraId="340595BE"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5,4</w:t>
            </w:r>
          </w:p>
        </w:tc>
        <w:tc>
          <w:tcPr>
            <w:tcW w:w="677" w:type="dxa"/>
            <w:tcBorders>
              <w:top w:val="single" w:sz="6" w:space="0" w:color="auto"/>
              <w:left w:val="single" w:sz="6" w:space="0" w:color="auto"/>
              <w:bottom w:val="single" w:sz="6" w:space="0" w:color="auto"/>
              <w:right w:val="single" w:sz="6" w:space="0" w:color="auto"/>
            </w:tcBorders>
            <w:vAlign w:val="center"/>
          </w:tcPr>
          <w:p w14:paraId="554E622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10,9</w:t>
            </w:r>
          </w:p>
        </w:tc>
        <w:tc>
          <w:tcPr>
            <w:tcW w:w="807" w:type="dxa"/>
            <w:tcBorders>
              <w:top w:val="single" w:sz="6" w:space="0" w:color="auto"/>
              <w:left w:val="single" w:sz="6" w:space="0" w:color="auto"/>
              <w:bottom w:val="single" w:sz="6" w:space="0" w:color="auto"/>
              <w:right w:val="single" w:sz="6" w:space="0" w:color="auto"/>
            </w:tcBorders>
            <w:vAlign w:val="center"/>
          </w:tcPr>
          <w:p w14:paraId="3B19557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w:t>
            </w:r>
          </w:p>
        </w:tc>
        <w:tc>
          <w:tcPr>
            <w:tcW w:w="784" w:type="dxa"/>
            <w:tcBorders>
              <w:top w:val="single" w:sz="6" w:space="0" w:color="auto"/>
              <w:left w:val="single" w:sz="6" w:space="0" w:color="auto"/>
              <w:bottom w:val="single" w:sz="6" w:space="0" w:color="auto"/>
              <w:right w:val="single" w:sz="6" w:space="0" w:color="auto"/>
            </w:tcBorders>
            <w:vAlign w:val="center"/>
          </w:tcPr>
          <w:p w14:paraId="55F1103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15,8</w:t>
            </w:r>
          </w:p>
        </w:tc>
        <w:tc>
          <w:tcPr>
            <w:tcW w:w="758" w:type="dxa"/>
            <w:tcBorders>
              <w:top w:val="single" w:sz="6" w:space="0" w:color="auto"/>
              <w:left w:val="single" w:sz="6" w:space="0" w:color="auto"/>
              <w:bottom w:val="single" w:sz="6" w:space="0" w:color="auto"/>
              <w:right w:val="single" w:sz="6" w:space="0" w:color="auto"/>
            </w:tcBorders>
            <w:vAlign w:val="center"/>
          </w:tcPr>
          <w:p w14:paraId="1C07371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13,9</w:t>
            </w:r>
          </w:p>
        </w:tc>
        <w:tc>
          <w:tcPr>
            <w:tcW w:w="801" w:type="dxa"/>
            <w:tcBorders>
              <w:top w:val="single" w:sz="6" w:space="0" w:color="auto"/>
              <w:left w:val="single" w:sz="6" w:space="0" w:color="auto"/>
              <w:bottom w:val="single" w:sz="6" w:space="0" w:color="auto"/>
              <w:right w:val="single" w:sz="6" w:space="0" w:color="auto"/>
            </w:tcBorders>
            <w:vAlign w:val="center"/>
          </w:tcPr>
          <w:p w14:paraId="5BD8460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8,5</w:t>
            </w:r>
          </w:p>
        </w:tc>
        <w:tc>
          <w:tcPr>
            <w:tcW w:w="851" w:type="dxa"/>
            <w:tcBorders>
              <w:top w:val="single" w:sz="6" w:space="0" w:color="auto"/>
              <w:left w:val="single" w:sz="6" w:space="0" w:color="auto"/>
              <w:bottom w:val="single" w:sz="6" w:space="0" w:color="auto"/>
              <w:right w:val="single" w:sz="6" w:space="0" w:color="auto"/>
            </w:tcBorders>
            <w:vAlign w:val="center"/>
          </w:tcPr>
          <w:p w14:paraId="1303D6A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154FC46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19,5</w:t>
            </w:r>
          </w:p>
        </w:tc>
      </w:tr>
      <w:tr w:rsidR="00117C0D" w:rsidRPr="003954D9" w14:paraId="59E9E15C"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5B554220" w14:textId="4BE6F71B"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vAlign w:val="center"/>
          </w:tcPr>
          <w:p w14:paraId="70D69F63"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37,0</w:t>
            </w:r>
          </w:p>
        </w:tc>
        <w:tc>
          <w:tcPr>
            <w:tcW w:w="838" w:type="dxa"/>
            <w:tcBorders>
              <w:top w:val="single" w:sz="6" w:space="0" w:color="auto"/>
              <w:left w:val="single" w:sz="6" w:space="0" w:color="auto"/>
              <w:bottom w:val="single" w:sz="6" w:space="0" w:color="auto"/>
              <w:right w:val="single" w:sz="6" w:space="0" w:color="auto"/>
            </w:tcBorders>
            <w:vAlign w:val="center"/>
          </w:tcPr>
          <w:p w14:paraId="74AD8A0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7,9</w:t>
            </w:r>
          </w:p>
        </w:tc>
        <w:tc>
          <w:tcPr>
            <w:tcW w:w="721" w:type="dxa"/>
            <w:tcBorders>
              <w:top w:val="single" w:sz="6" w:space="0" w:color="auto"/>
              <w:left w:val="single" w:sz="6" w:space="0" w:color="auto"/>
              <w:bottom w:val="single" w:sz="6" w:space="0" w:color="auto"/>
              <w:right w:val="single" w:sz="6" w:space="0" w:color="auto"/>
            </w:tcBorders>
            <w:vAlign w:val="center"/>
          </w:tcPr>
          <w:p w14:paraId="4095327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vAlign w:val="center"/>
          </w:tcPr>
          <w:p w14:paraId="36BEE0A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07" w:type="dxa"/>
            <w:tcBorders>
              <w:top w:val="single" w:sz="6" w:space="0" w:color="auto"/>
              <w:left w:val="single" w:sz="6" w:space="0" w:color="auto"/>
              <w:bottom w:val="single" w:sz="6" w:space="0" w:color="auto"/>
              <w:right w:val="single" w:sz="6" w:space="0" w:color="auto"/>
            </w:tcBorders>
            <w:vAlign w:val="center"/>
          </w:tcPr>
          <w:p w14:paraId="53BDD23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784" w:type="dxa"/>
            <w:tcBorders>
              <w:top w:val="single" w:sz="6" w:space="0" w:color="auto"/>
              <w:left w:val="single" w:sz="6" w:space="0" w:color="auto"/>
              <w:bottom w:val="single" w:sz="6" w:space="0" w:color="auto"/>
              <w:right w:val="single" w:sz="6" w:space="0" w:color="auto"/>
            </w:tcBorders>
            <w:vAlign w:val="center"/>
          </w:tcPr>
          <w:p w14:paraId="3437715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17,6</w:t>
            </w:r>
          </w:p>
        </w:tc>
        <w:tc>
          <w:tcPr>
            <w:tcW w:w="758" w:type="dxa"/>
            <w:tcBorders>
              <w:top w:val="single" w:sz="6" w:space="0" w:color="auto"/>
              <w:left w:val="single" w:sz="6" w:space="0" w:color="auto"/>
              <w:bottom w:val="single" w:sz="6" w:space="0" w:color="auto"/>
              <w:right w:val="single" w:sz="6" w:space="0" w:color="auto"/>
            </w:tcBorders>
            <w:vAlign w:val="center"/>
          </w:tcPr>
          <w:p w14:paraId="4E04B24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22,0</w:t>
            </w:r>
          </w:p>
        </w:tc>
        <w:tc>
          <w:tcPr>
            <w:tcW w:w="801" w:type="dxa"/>
            <w:tcBorders>
              <w:top w:val="single" w:sz="6" w:space="0" w:color="auto"/>
              <w:left w:val="single" w:sz="6" w:space="0" w:color="auto"/>
              <w:bottom w:val="single" w:sz="6" w:space="0" w:color="auto"/>
              <w:right w:val="single" w:sz="6" w:space="0" w:color="auto"/>
            </w:tcBorders>
            <w:vAlign w:val="center"/>
          </w:tcPr>
          <w:p w14:paraId="25386886"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2,5</w:t>
            </w:r>
          </w:p>
        </w:tc>
        <w:tc>
          <w:tcPr>
            <w:tcW w:w="851" w:type="dxa"/>
            <w:tcBorders>
              <w:top w:val="single" w:sz="6" w:space="0" w:color="auto"/>
              <w:left w:val="single" w:sz="6" w:space="0" w:color="auto"/>
              <w:bottom w:val="single" w:sz="6" w:space="0" w:color="auto"/>
              <w:right w:val="single" w:sz="6" w:space="0" w:color="auto"/>
            </w:tcBorders>
            <w:vAlign w:val="center"/>
          </w:tcPr>
          <w:p w14:paraId="000E938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4A3E7A6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14,8</w:t>
            </w:r>
          </w:p>
        </w:tc>
      </w:tr>
      <w:tr w:rsidR="00117C0D" w:rsidRPr="003954D9" w14:paraId="3F381240"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7C777324" w14:textId="5D8F7CB2"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1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0D891B6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19,9</w:t>
            </w:r>
          </w:p>
        </w:tc>
        <w:tc>
          <w:tcPr>
            <w:tcW w:w="838" w:type="dxa"/>
            <w:tcBorders>
              <w:top w:val="single" w:sz="6" w:space="0" w:color="auto"/>
              <w:left w:val="single" w:sz="6" w:space="0" w:color="auto"/>
              <w:bottom w:val="single" w:sz="6" w:space="0" w:color="auto"/>
              <w:right w:val="single" w:sz="6" w:space="0" w:color="auto"/>
            </w:tcBorders>
            <w:vAlign w:val="center"/>
          </w:tcPr>
          <w:p w14:paraId="5FEDD51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14,2</w:t>
            </w:r>
          </w:p>
        </w:tc>
        <w:tc>
          <w:tcPr>
            <w:tcW w:w="721" w:type="dxa"/>
            <w:tcBorders>
              <w:top w:val="single" w:sz="6" w:space="0" w:color="auto"/>
              <w:left w:val="single" w:sz="6" w:space="0" w:color="auto"/>
              <w:bottom w:val="single" w:sz="6" w:space="0" w:color="auto"/>
              <w:right w:val="single" w:sz="6" w:space="0" w:color="auto"/>
            </w:tcBorders>
            <w:vAlign w:val="center"/>
          </w:tcPr>
          <w:p w14:paraId="421427B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vAlign w:val="center"/>
          </w:tcPr>
          <w:p w14:paraId="1A45AF2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14,3</w:t>
            </w:r>
          </w:p>
        </w:tc>
        <w:tc>
          <w:tcPr>
            <w:tcW w:w="807" w:type="dxa"/>
            <w:tcBorders>
              <w:top w:val="single" w:sz="6" w:space="0" w:color="auto"/>
              <w:left w:val="single" w:sz="6" w:space="0" w:color="auto"/>
              <w:bottom w:val="single" w:sz="6" w:space="0" w:color="auto"/>
              <w:right w:val="single" w:sz="6" w:space="0" w:color="auto"/>
            </w:tcBorders>
            <w:vAlign w:val="center"/>
          </w:tcPr>
          <w:p w14:paraId="7E5DC3DB"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7,2</w:t>
            </w:r>
          </w:p>
        </w:tc>
        <w:tc>
          <w:tcPr>
            <w:tcW w:w="784" w:type="dxa"/>
            <w:tcBorders>
              <w:top w:val="single" w:sz="6" w:space="0" w:color="auto"/>
              <w:left w:val="single" w:sz="6" w:space="0" w:color="auto"/>
              <w:bottom w:val="single" w:sz="6" w:space="0" w:color="auto"/>
              <w:right w:val="single" w:sz="6" w:space="0" w:color="auto"/>
            </w:tcBorders>
            <w:vAlign w:val="center"/>
          </w:tcPr>
          <w:p w14:paraId="6E2FB47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16,4</w:t>
            </w:r>
          </w:p>
        </w:tc>
        <w:tc>
          <w:tcPr>
            <w:tcW w:w="758" w:type="dxa"/>
            <w:tcBorders>
              <w:top w:val="single" w:sz="6" w:space="0" w:color="auto"/>
              <w:left w:val="single" w:sz="6" w:space="0" w:color="auto"/>
              <w:bottom w:val="single" w:sz="6" w:space="0" w:color="auto"/>
              <w:right w:val="single" w:sz="6" w:space="0" w:color="auto"/>
            </w:tcBorders>
            <w:vAlign w:val="center"/>
          </w:tcPr>
          <w:p w14:paraId="372A7E6A"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22,8</w:t>
            </w:r>
          </w:p>
        </w:tc>
        <w:tc>
          <w:tcPr>
            <w:tcW w:w="801" w:type="dxa"/>
            <w:tcBorders>
              <w:top w:val="single" w:sz="6" w:space="0" w:color="auto"/>
              <w:left w:val="single" w:sz="6" w:space="0" w:color="auto"/>
              <w:bottom w:val="single" w:sz="6" w:space="0" w:color="auto"/>
              <w:right w:val="single" w:sz="6" w:space="0" w:color="auto"/>
            </w:tcBorders>
            <w:vAlign w:val="center"/>
          </w:tcPr>
          <w:p w14:paraId="74406BD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8,3</w:t>
            </w:r>
          </w:p>
        </w:tc>
        <w:tc>
          <w:tcPr>
            <w:tcW w:w="851" w:type="dxa"/>
            <w:tcBorders>
              <w:top w:val="single" w:sz="6" w:space="0" w:color="auto"/>
              <w:left w:val="single" w:sz="6" w:space="0" w:color="auto"/>
              <w:bottom w:val="single" w:sz="6" w:space="0" w:color="auto"/>
              <w:right w:val="single" w:sz="6" w:space="0" w:color="auto"/>
            </w:tcBorders>
            <w:vAlign w:val="center"/>
          </w:tcPr>
          <w:p w14:paraId="667708C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7F9982B3"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22,9</w:t>
            </w:r>
          </w:p>
        </w:tc>
      </w:tr>
      <w:tr w:rsidR="00117C0D" w:rsidRPr="003954D9" w14:paraId="1E17868C"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6520F997" w14:textId="670B320D"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2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3D13F59D"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30,4</w:t>
            </w:r>
          </w:p>
        </w:tc>
        <w:tc>
          <w:tcPr>
            <w:tcW w:w="838" w:type="dxa"/>
            <w:tcBorders>
              <w:top w:val="single" w:sz="6" w:space="0" w:color="auto"/>
              <w:left w:val="single" w:sz="6" w:space="0" w:color="auto"/>
              <w:bottom w:val="single" w:sz="6" w:space="0" w:color="auto"/>
              <w:right w:val="single" w:sz="6" w:space="0" w:color="auto"/>
            </w:tcBorders>
            <w:vAlign w:val="center"/>
          </w:tcPr>
          <w:p w14:paraId="41C2671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16,5</w:t>
            </w:r>
          </w:p>
        </w:tc>
        <w:tc>
          <w:tcPr>
            <w:tcW w:w="721" w:type="dxa"/>
            <w:tcBorders>
              <w:top w:val="single" w:sz="6" w:space="0" w:color="auto"/>
              <w:left w:val="single" w:sz="6" w:space="0" w:color="auto"/>
              <w:bottom w:val="single" w:sz="6" w:space="0" w:color="auto"/>
              <w:right w:val="single" w:sz="6" w:space="0" w:color="auto"/>
            </w:tcBorders>
            <w:vAlign w:val="center"/>
          </w:tcPr>
          <w:p w14:paraId="59FAD6F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vAlign w:val="center"/>
          </w:tcPr>
          <w:p w14:paraId="0716BA1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807" w:type="dxa"/>
            <w:tcBorders>
              <w:top w:val="single" w:sz="6" w:space="0" w:color="auto"/>
              <w:left w:val="single" w:sz="6" w:space="0" w:color="auto"/>
              <w:bottom w:val="single" w:sz="6" w:space="0" w:color="auto"/>
              <w:right w:val="single" w:sz="6" w:space="0" w:color="auto"/>
            </w:tcBorders>
            <w:vAlign w:val="center"/>
          </w:tcPr>
          <w:p w14:paraId="0DEE132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6,9</w:t>
            </w:r>
          </w:p>
        </w:tc>
        <w:tc>
          <w:tcPr>
            <w:tcW w:w="784" w:type="dxa"/>
            <w:tcBorders>
              <w:top w:val="single" w:sz="6" w:space="0" w:color="auto"/>
              <w:left w:val="single" w:sz="6" w:space="0" w:color="auto"/>
              <w:bottom w:val="single" w:sz="6" w:space="0" w:color="auto"/>
              <w:right w:val="single" w:sz="6" w:space="0" w:color="auto"/>
            </w:tcBorders>
            <w:vAlign w:val="center"/>
          </w:tcPr>
          <w:p w14:paraId="01623A6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13,3</w:t>
            </w:r>
          </w:p>
        </w:tc>
        <w:tc>
          <w:tcPr>
            <w:tcW w:w="758" w:type="dxa"/>
            <w:tcBorders>
              <w:top w:val="single" w:sz="6" w:space="0" w:color="auto"/>
              <w:left w:val="single" w:sz="6" w:space="0" w:color="auto"/>
              <w:bottom w:val="single" w:sz="6" w:space="0" w:color="auto"/>
              <w:right w:val="single" w:sz="6" w:space="0" w:color="auto"/>
            </w:tcBorders>
            <w:vAlign w:val="center"/>
          </w:tcPr>
          <w:p w14:paraId="30675CD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21,2</w:t>
            </w:r>
          </w:p>
        </w:tc>
        <w:tc>
          <w:tcPr>
            <w:tcW w:w="801" w:type="dxa"/>
            <w:tcBorders>
              <w:top w:val="single" w:sz="6" w:space="0" w:color="auto"/>
              <w:left w:val="single" w:sz="6" w:space="0" w:color="auto"/>
              <w:bottom w:val="single" w:sz="6" w:space="0" w:color="auto"/>
              <w:right w:val="single" w:sz="6" w:space="0" w:color="auto"/>
            </w:tcBorders>
            <w:vAlign w:val="center"/>
          </w:tcPr>
          <w:p w14:paraId="086121F0"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6,1</w:t>
            </w:r>
          </w:p>
        </w:tc>
        <w:tc>
          <w:tcPr>
            <w:tcW w:w="851" w:type="dxa"/>
            <w:tcBorders>
              <w:top w:val="single" w:sz="6" w:space="0" w:color="auto"/>
              <w:left w:val="single" w:sz="6" w:space="0" w:color="auto"/>
              <w:bottom w:val="single" w:sz="6" w:space="0" w:color="auto"/>
              <w:right w:val="single" w:sz="6" w:space="0" w:color="auto"/>
            </w:tcBorders>
            <w:vAlign w:val="center"/>
          </w:tcPr>
          <w:p w14:paraId="115FA8E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1DDF644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29,4</w:t>
            </w:r>
          </w:p>
        </w:tc>
      </w:tr>
      <w:tr w:rsidR="00117C0D" w:rsidRPr="003954D9" w14:paraId="6071FDEA"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07917D45" w14:textId="433FC4AE"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3-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vAlign w:val="center"/>
          </w:tcPr>
          <w:p w14:paraId="737F781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35,3</w:t>
            </w:r>
          </w:p>
        </w:tc>
        <w:tc>
          <w:tcPr>
            <w:tcW w:w="838" w:type="dxa"/>
            <w:tcBorders>
              <w:top w:val="single" w:sz="6" w:space="0" w:color="auto"/>
              <w:left w:val="single" w:sz="6" w:space="0" w:color="auto"/>
              <w:bottom w:val="single" w:sz="6" w:space="0" w:color="auto"/>
              <w:right w:val="single" w:sz="6" w:space="0" w:color="auto"/>
            </w:tcBorders>
            <w:vAlign w:val="center"/>
          </w:tcPr>
          <w:p w14:paraId="7C2E555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29,4</w:t>
            </w:r>
          </w:p>
        </w:tc>
        <w:tc>
          <w:tcPr>
            <w:tcW w:w="721" w:type="dxa"/>
            <w:tcBorders>
              <w:top w:val="single" w:sz="6" w:space="0" w:color="auto"/>
              <w:left w:val="single" w:sz="6" w:space="0" w:color="auto"/>
              <w:bottom w:val="single" w:sz="6" w:space="0" w:color="auto"/>
              <w:right w:val="single" w:sz="6" w:space="0" w:color="auto"/>
            </w:tcBorders>
            <w:vAlign w:val="center"/>
          </w:tcPr>
          <w:p w14:paraId="188CEA8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vAlign w:val="center"/>
          </w:tcPr>
          <w:p w14:paraId="710D597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07" w:type="dxa"/>
            <w:tcBorders>
              <w:top w:val="single" w:sz="6" w:space="0" w:color="auto"/>
              <w:left w:val="single" w:sz="6" w:space="0" w:color="auto"/>
              <w:bottom w:val="single" w:sz="6" w:space="0" w:color="auto"/>
              <w:right w:val="single" w:sz="6" w:space="0" w:color="auto"/>
            </w:tcBorders>
            <w:vAlign w:val="center"/>
          </w:tcPr>
          <w:p w14:paraId="282DF4B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784" w:type="dxa"/>
            <w:tcBorders>
              <w:top w:val="single" w:sz="6" w:space="0" w:color="auto"/>
              <w:left w:val="single" w:sz="6" w:space="0" w:color="auto"/>
              <w:bottom w:val="single" w:sz="6" w:space="0" w:color="auto"/>
              <w:right w:val="single" w:sz="6" w:space="0" w:color="auto"/>
            </w:tcBorders>
            <w:vAlign w:val="center"/>
          </w:tcPr>
          <w:p w14:paraId="0611B2E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23,7</w:t>
            </w:r>
          </w:p>
        </w:tc>
        <w:tc>
          <w:tcPr>
            <w:tcW w:w="758" w:type="dxa"/>
            <w:tcBorders>
              <w:top w:val="single" w:sz="6" w:space="0" w:color="auto"/>
              <w:left w:val="single" w:sz="6" w:space="0" w:color="auto"/>
              <w:bottom w:val="single" w:sz="6" w:space="0" w:color="auto"/>
              <w:right w:val="single" w:sz="6" w:space="0" w:color="auto"/>
            </w:tcBorders>
            <w:vAlign w:val="center"/>
          </w:tcPr>
          <w:p w14:paraId="7007FD2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26,9</w:t>
            </w:r>
          </w:p>
        </w:tc>
        <w:tc>
          <w:tcPr>
            <w:tcW w:w="801" w:type="dxa"/>
            <w:tcBorders>
              <w:top w:val="single" w:sz="6" w:space="0" w:color="auto"/>
              <w:left w:val="single" w:sz="6" w:space="0" w:color="auto"/>
              <w:bottom w:val="single" w:sz="6" w:space="0" w:color="auto"/>
              <w:right w:val="single" w:sz="6" w:space="0" w:color="auto"/>
            </w:tcBorders>
            <w:vAlign w:val="center"/>
          </w:tcPr>
          <w:p w14:paraId="7D87FA2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18,2</w:t>
            </w:r>
          </w:p>
        </w:tc>
        <w:tc>
          <w:tcPr>
            <w:tcW w:w="851" w:type="dxa"/>
            <w:tcBorders>
              <w:top w:val="single" w:sz="6" w:space="0" w:color="auto"/>
              <w:left w:val="single" w:sz="6" w:space="0" w:color="auto"/>
              <w:bottom w:val="single" w:sz="6" w:space="0" w:color="auto"/>
              <w:right w:val="single" w:sz="6" w:space="0" w:color="auto"/>
            </w:tcBorders>
            <w:vAlign w:val="center"/>
          </w:tcPr>
          <w:p w14:paraId="6495093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448FEC88"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40,1</w:t>
            </w:r>
          </w:p>
        </w:tc>
      </w:tr>
      <w:tr w:rsidR="00117C0D" w:rsidRPr="003954D9" w14:paraId="52C428C1"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1026D20D" w14:textId="30CA0F4D"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Övr</w:t>
            </w:r>
            <w:r w:rsidR="00DD3DF3">
              <w:rPr>
                <w:rFonts w:ascii="Calibri" w:hAnsi="Calibri" w:cs="Calibri"/>
                <w:color w:val="000000"/>
                <w:sz w:val="16"/>
                <w:szCs w:val="16"/>
              </w:rPr>
              <w:t>.</w:t>
            </w:r>
            <w:r w:rsidRPr="003954D9">
              <w:rPr>
                <w:rFonts w:ascii="Calibri" w:hAnsi="Calibri" w:cs="Calibri"/>
                <w:color w:val="000000"/>
                <w:sz w:val="16"/>
                <w:szCs w:val="16"/>
              </w:rPr>
              <w:t xml:space="preserve"> hushåll u. barn </w:t>
            </w:r>
          </w:p>
        </w:tc>
        <w:tc>
          <w:tcPr>
            <w:tcW w:w="709" w:type="dxa"/>
            <w:tcBorders>
              <w:top w:val="single" w:sz="6" w:space="0" w:color="auto"/>
              <w:left w:val="single" w:sz="6" w:space="0" w:color="auto"/>
              <w:bottom w:val="single" w:sz="6" w:space="0" w:color="auto"/>
              <w:right w:val="single" w:sz="6" w:space="0" w:color="auto"/>
            </w:tcBorders>
            <w:vAlign w:val="center"/>
          </w:tcPr>
          <w:p w14:paraId="3C55009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16,0</w:t>
            </w:r>
          </w:p>
        </w:tc>
        <w:tc>
          <w:tcPr>
            <w:tcW w:w="838" w:type="dxa"/>
            <w:tcBorders>
              <w:top w:val="single" w:sz="6" w:space="0" w:color="auto"/>
              <w:left w:val="single" w:sz="6" w:space="0" w:color="auto"/>
              <w:bottom w:val="single" w:sz="6" w:space="0" w:color="auto"/>
              <w:right w:val="single" w:sz="6" w:space="0" w:color="auto"/>
            </w:tcBorders>
            <w:vAlign w:val="center"/>
          </w:tcPr>
          <w:p w14:paraId="240529E1"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18,1</w:t>
            </w:r>
          </w:p>
        </w:tc>
        <w:tc>
          <w:tcPr>
            <w:tcW w:w="721" w:type="dxa"/>
            <w:tcBorders>
              <w:top w:val="single" w:sz="6" w:space="0" w:color="auto"/>
              <w:left w:val="single" w:sz="6" w:space="0" w:color="auto"/>
              <w:bottom w:val="single" w:sz="6" w:space="0" w:color="auto"/>
              <w:right w:val="single" w:sz="6" w:space="0" w:color="auto"/>
            </w:tcBorders>
            <w:vAlign w:val="center"/>
          </w:tcPr>
          <w:p w14:paraId="752461F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10,4</w:t>
            </w:r>
          </w:p>
        </w:tc>
        <w:tc>
          <w:tcPr>
            <w:tcW w:w="677" w:type="dxa"/>
            <w:tcBorders>
              <w:top w:val="single" w:sz="6" w:space="0" w:color="auto"/>
              <w:left w:val="single" w:sz="6" w:space="0" w:color="auto"/>
              <w:bottom w:val="single" w:sz="6" w:space="0" w:color="auto"/>
              <w:right w:val="single" w:sz="6" w:space="0" w:color="auto"/>
            </w:tcBorders>
            <w:vAlign w:val="center"/>
          </w:tcPr>
          <w:p w14:paraId="0FCF610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18,9</w:t>
            </w:r>
          </w:p>
        </w:tc>
        <w:tc>
          <w:tcPr>
            <w:tcW w:w="807" w:type="dxa"/>
            <w:tcBorders>
              <w:top w:val="single" w:sz="6" w:space="0" w:color="auto"/>
              <w:left w:val="single" w:sz="6" w:space="0" w:color="auto"/>
              <w:bottom w:val="single" w:sz="6" w:space="0" w:color="auto"/>
              <w:right w:val="single" w:sz="6" w:space="0" w:color="auto"/>
            </w:tcBorders>
            <w:vAlign w:val="center"/>
          </w:tcPr>
          <w:p w14:paraId="21C92B39"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5,7</w:t>
            </w:r>
          </w:p>
        </w:tc>
        <w:tc>
          <w:tcPr>
            <w:tcW w:w="784" w:type="dxa"/>
            <w:tcBorders>
              <w:top w:val="single" w:sz="6" w:space="0" w:color="auto"/>
              <w:left w:val="single" w:sz="6" w:space="0" w:color="auto"/>
              <w:bottom w:val="single" w:sz="6" w:space="0" w:color="auto"/>
              <w:right w:val="single" w:sz="6" w:space="0" w:color="auto"/>
            </w:tcBorders>
            <w:vAlign w:val="center"/>
          </w:tcPr>
          <w:p w14:paraId="3D8BE49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11,7</w:t>
            </w:r>
          </w:p>
        </w:tc>
        <w:tc>
          <w:tcPr>
            <w:tcW w:w="758" w:type="dxa"/>
            <w:tcBorders>
              <w:top w:val="single" w:sz="6" w:space="0" w:color="auto"/>
              <w:left w:val="single" w:sz="6" w:space="0" w:color="auto"/>
              <w:bottom w:val="single" w:sz="6" w:space="0" w:color="auto"/>
              <w:right w:val="single" w:sz="6" w:space="0" w:color="auto"/>
            </w:tcBorders>
            <w:vAlign w:val="center"/>
          </w:tcPr>
          <w:p w14:paraId="3ACDB8F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15,5</w:t>
            </w:r>
          </w:p>
        </w:tc>
        <w:tc>
          <w:tcPr>
            <w:tcW w:w="801" w:type="dxa"/>
            <w:tcBorders>
              <w:top w:val="single" w:sz="6" w:space="0" w:color="auto"/>
              <w:left w:val="single" w:sz="6" w:space="0" w:color="auto"/>
              <w:bottom w:val="single" w:sz="6" w:space="0" w:color="auto"/>
              <w:right w:val="single" w:sz="6" w:space="0" w:color="auto"/>
            </w:tcBorders>
            <w:vAlign w:val="center"/>
          </w:tcPr>
          <w:p w14:paraId="013CDCF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6,0</w:t>
            </w:r>
          </w:p>
        </w:tc>
        <w:tc>
          <w:tcPr>
            <w:tcW w:w="851" w:type="dxa"/>
            <w:tcBorders>
              <w:top w:val="single" w:sz="6" w:space="0" w:color="auto"/>
              <w:left w:val="single" w:sz="6" w:space="0" w:color="auto"/>
              <w:bottom w:val="single" w:sz="6" w:space="0" w:color="auto"/>
              <w:right w:val="single" w:sz="6" w:space="0" w:color="auto"/>
            </w:tcBorders>
            <w:vAlign w:val="center"/>
          </w:tcPr>
          <w:p w14:paraId="16F5499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5B15149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17,2</w:t>
            </w:r>
          </w:p>
        </w:tc>
      </w:tr>
      <w:tr w:rsidR="00117C0D" w:rsidRPr="003954D9" w14:paraId="201DA1DD"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4A5C5D50" w14:textId="64CBED18" w:rsidR="00117C0D" w:rsidRPr="003954D9" w:rsidRDefault="00DD3DF3" w:rsidP="00117C0D">
            <w:pPr>
              <w:autoSpaceDE w:val="0"/>
              <w:autoSpaceDN w:val="0"/>
              <w:adjustRightInd w:val="0"/>
              <w:rPr>
                <w:rFonts w:ascii="Calibri" w:hAnsi="Calibri" w:cs="Calibri"/>
                <w:color w:val="000000"/>
                <w:sz w:val="16"/>
                <w:szCs w:val="16"/>
              </w:rPr>
            </w:pPr>
            <w:r>
              <w:rPr>
                <w:rFonts w:ascii="Calibri" w:hAnsi="Calibri" w:cs="Calibri"/>
                <w:color w:val="000000"/>
                <w:sz w:val="16"/>
                <w:szCs w:val="16"/>
              </w:rPr>
              <w:t>Övr.</w:t>
            </w:r>
            <w:r w:rsidR="00117C0D" w:rsidRPr="003954D9">
              <w:rPr>
                <w:rFonts w:ascii="Calibri" w:hAnsi="Calibri" w:cs="Calibri"/>
                <w:color w:val="000000"/>
                <w:sz w:val="16"/>
                <w:szCs w:val="16"/>
              </w:rPr>
              <w:t xml:space="preserve"> hushåll m. barn</w:t>
            </w:r>
          </w:p>
        </w:tc>
        <w:tc>
          <w:tcPr>
            <w:tcW w:w="709" w:type="dxa"/>
            <w:tcBorders>
              <w:top w:val="single" w:sz="6" w:space="0" w:color="auto"/>
              <w:left w:val="single" w:sz="6" w:space="0" w:color="auto"/>
              <w:bottom w:val="single" w:sz="6" w:space="0" w:color="auto"/>
              <w:right w:val="single" w:sz="6" w:space="0" w:color="auto"/>
            </w:tcBorders>
            <w:vAlign w:val="center"/>
          </w:tcPr>
          <w:p w14:paraId="5474A0C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18,4</w:t>
            </w:r>
          </w:p>
        </w:tc>
        <w:tc>
          <w:tcPr>
            <w:tcW w:w="838" w:type="dxa"/>
            <w:tcBorders>
              <w:top w:val="single" w:sz="6" w:space="0" w:color="auto"/>
              <w:left w:val="single" w:sz="6" w:space="0" w:color="auto"/>
              <w:bottom w:val="single" w:sz="6" w:space="0" w:color="auto"/>
              <w:right w:val="single" w:sz="6" w:space="0" w:color="auto"/>
            </w:tcBorders>
            <w:vAlign w:val="center"/>
          </w:tcPr>
          <w:p w14:paraId="1949B10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12,7</w:t>
            </w:r>
          </w:p>
        </w:tc>
        <w:tc>
          <w:tcPr>
            <w:tcW w:w="721" w:type="dxa"/>
            <w:tcBorders>
              <w:top w:val="single" w:sz="6" w:space="0" w:color="auto"/>
              <w:left w:val="single" w:sz="6" w:space="0" w:color="auto"/>
              <w:bottom w:val="single" w:sz="6" w:space="0" w:color="auto"/>
              <w:right w:val="single" w:sz="6" w:space="0" w:color="auto"/>
            </w:tcBorders>
            <w:vAlign w:val="center"/>
          </w:tcPr>
          <w:p w14:paraId="3B199AEF"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7,6</w:t>
            </w:r>
          </w:p>
        </w:tc>
        <w:tc>
          <w:tcPr>
            <w:tcW w:w="677" w:type="dxa"/>
            <w:tcBorders>
              <w:top w:val="single" w:sz="6" w:space="0" w:color="auto"/>
              <w:left w:val="single" w:sz="6" w:space="0" w:color="auto"/>
              <w:bottom w:val="single" w:sz="6" w:space="0" w:color="auto"/>
              <w:right w:val="single" w:sz="6" w:space="0" w:color="auto"/>
            </w:tcBorders>
            <w:vAlign w:val="center"/>
          </w:tcPr>
          <w:p w14:paraId="6059958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19,7</w:t>
            </w:r>
          </w:p>
        </w:tc>
        <w:tc>
          <w:tcPr>
            <w:tcW w:w="807" w:type="dxa"/>
            <w:tcBorders>
              <w:top w:val="single" w:sz="6" w:space="0" w:color="auto"/>
              <w:left w:val="single" w:sz="6" w:space="0" w:color="auto"/>
              <w:bottom w:val="single" w:sz="6" w:space="0" w:color="auto"/>
              <w:right w:val="single" w:sz="6" w:space="0" w:color="auto"/>
            </w:tcBorders>
            <w:vAlign w:val="center"/>
          </w:tcPr>
          <w:p w14:paraId="67CAE3B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10,2</w:t>
            </w:r>
          </w:p>
        </w:tc>
        <w:tc>
          <w:tcPr>
            <w:tcW w:w="784" w:type="dxa"/>
            <w:tcBorders>
              <w:top w:val="single" w:sz="6" w:space="0" w:color="auto"/>
              <w:left w:val="single" w:sz="6" w:space="0" w:color="auto"/>
              <w:bottom w:val="single" w:sz="6" w:space="0" w:color="auto"/>
              <w:right w:val="single" w:sz="6" w:space="0" w:color="auto"/>
            </w:tcBorders>
            <w:vAlign w:val="center"/>
          </w:tcPr>
          <w:p w14:paraId="6D8EC4B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14,0</w:t>
            </w:r>
          </w:p>
        </w:tc>
        <w:tc>
          <w:tcPr>
            <w:tcW w:w="758" w:type="dxa"/>
            <w:tcBorders>
              <w:top w:val="single" w:sz="6" w:space="0" w:color="auto"/>
              <w:left w:val="single" w:sz="6" w:space="0" w:color="auto"/>
              <w:bottom w:val="single" w:sz="6" w:space="0" w:color="auto"/>
              <w:right w:val="single" w:sz="6" w:space="0" w:color="auto"/>
            </w:tcBorders>
            <w:vAlign w:val="center"/>
          </w:tcPr>
          <w:p w14:paraId="191E57A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16,3</w:t>
            </w:r>
          </w:p>
        </w:tc>
        <w:tc>
          <w:tcPr>
            <w:tcW w:w="801" w:type="dxa"/>
            <w:tcBorders>
              <w:top w:val="single" w:sz="6" w:space="0" w:color="auto"/>
              <w:left w:val="single" w:sz="6" w:space="0" w:color="auto"/>
              <w:bottom w:val="single" w:sz="6" w:space="0" w:color="auto"/>
              <w:right w:val="single" w:sz="6" w:space="0" w:color="auto"/>
            </w:tcBorders>
            <w:vAlign w:val="center"/>
          </w:tcPr>
          <w:p w14:paraId="3C15AF8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10,7</w:t>
            </w:r>
          </w:p>
        </w:tc>
        <w:tc>
          <w:tcPr>
            <w:tcW w:w="851" w:type="dxa"/>
            <w:tcBorders>
              <w:top w:val="single" w:sz="6" w:space="0" w:color="auto"/>
              <w:left w:val="single" w:sz="6" w:space="0" w:color="auto"/>
              <w:bottom w:val="single" w:sz="6" w:space="0" w:color="auto"/>
              <w:right w:val="single" w:sz="6" w:space="0" w:color="auto"/>
            </w:tcBorders>
            <w:vAlign w:val="center"/>
          </w:tcPr>
          <w:p w14:paraId="26FAE22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vAlign w:val="center"/>
          </w:tcPr>
          <w:p w14:paraId="01C29012"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20,7</w:t>
            </w:r>
          </w:p>
        </w:tc>
      </w:tr>
      <w:tr w:rsidR="00117C0D" w:rsidRPr="003954D9" w14:paraId="069521F6"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vAlign w:val="center"/>
          </w:tcPr>
          <w:p w14:paraId="2BD74BEB"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Antal</w:t>
            </w:r>
          </w:p>
        </w:tc>
        <w:tc>
          <w:tcPr>
            <w:tcW w:w="709" w:type="dxa"/>
            <w:tcBorders>
              <w:top w:val="single" w:sz="6" w:space="0" w:color="auto"/>
              <w:left w:val="single" w:sz="6" w:space="0" w:color="auto"/>
              <w:bottom w:val="single" w:sz="6" w:space="0" w:color="auto"/>
              <w:right w:val="single" w:sz="6" w:space="0" w:color="auto"/>
            </w:tcBorders>
            <w:vAlign w:val="center"/>
          </w:tcPr>
          <w:p w14:paraId="7D883C6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1 385</w:t>
            </w:r>
          </w:p>
        </w:tc>
        <w:tc>
          <w:tcPr>
            <w:tcW w:w="838" w:type="dxa"/>
            <w:tcBorders>
              <w:top w:val="single" w:sz="6" w:space="0" w:color="auto"/>
              <w:left w:val="single" w:sz="6" w:space="0" w:color="auto"/>
              <w:bottom w:val="single" w:sz="6" w:space="0" w:color="auto"/>
              <w:right w:val="single" w:sz="6" w:space="0" w:color="auto"/>
            </w:tcBorders>
            <w:vAlign w:val="center"/>
          </w:tcPr>
          <w:p w14:paraId="6E831B6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579</w:t>
            </w:r>
          </w:p>
        </w:tc>
        <w:tc>
          <w:tcPr>
            <w:tcW w:w="721" w:type="dxa"/>
            <w:tcBorders>
              <w:top w:val="single" w:sz="6" w:space="0" w:color="auto"/>
              <w:left w:val="single" w:sz="6" w:space="0" w:color="auto"/>
              <w:bottom w:val="single" w:sz="6" w:space="0" w:color="auto"/>
              <w:right w:val="single" w:sz="6" w:space="0" w:color="auto"/>
            </w:tcBorders>
            <w:vAlign w:val="center"/>
          </w:tcPr>
          <w:p w14:paraId="36C0324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677" w:type="dxa"/>
            <w:tcBorders>
              <w:top w:val="single" w:sz="6" w:space="0" w:color="auto"/>
              <w:left w:val="single" w:sz="6" w:space="0" w:color="auto"/>
              <w:bottom w:val="single" w:sz="6" w:space="0" w:color="auto"/>
              <w:right w:val="single" w:sz="6" w:space="0" w:color="auto"/>
            </w:tcBorders>
            <w:vAlign w:val="center"/>
          </w:tcPr>
          <w:p w14:paraId="065606F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178</w:t>
            </w:r>
          </w:p>
        </w:tc>
        <w:tc>
          <w:tcPr>
            <w:tcW w:w="807" w:type="dxa"/>
            <w:tcBorders>
              <w:top w:val="single" w:sz="6" w:space="0" w:color="auto"/>
              <w:left w:val="single" w:sz="6" w:space="0" w:color="auto"/>
              <w:bottom w:val="single" w:sz="6" w:space="0" w:color="auto"/>
              <w:right w:val="single" w:sz="6" w:space="0" w:color="auto"/>
            </w:tcBorders>
            <w:vAlign w:val="center"/>
          </w:tcPr>
          <w:p w14:paraId="2D551F0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480</w:t>
            </w:r>
          </w:p>
        </w:tc>
        <w:tc>
          <w:tcPr>
            <w:tcW w:w="784" w:type="dxa"/>
            <w:tcBorders>
              <w:top w:val="single" w:sz="6" w:space="0" w:color="auto"/>
              <w:left w:val="single" w:sz="6" w:space="0" w:color="auto"/>
              <w:bottom w:val="single" w:sz="6" w:space="0" w:color="auto"/>
              <w:right w:val="single" w:sz="6" w:space="0" w:color="auto"/>
            </w:tcBorders>
            <w:vAlign w:val="center"/>
          </w:tcPr>
          <w:p w14:paraId="3593E9F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306</w:t>
            </w:r>
          </w:p>
        </w:tc>
        <w:tc>
          <w:tcPr>
            <w:tcW w:w="758" w:type="dxa"/>
            <w:tcBorders>
              <w:top w:val="single" w:sz="6" w:space="0" w:color="auto"/>
              <w:left w:val="single" w:sz="6" w:space="0" w:color="auto"/>
              <w:bottom w:val="single" w:sz="6" w:space="0" w:color="auto"/>
              <w:right w:val="single" w:sz="6" w:space="0" w:color="auto"/>
            </w:tcBorders>
            <w:vAlign w:val="center"/>
          </w:tcPr>
          <w:p w14:paraId="068493B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727</w:t>
            </w:r>
          </w:p>
        </w:tc>
        <w:tc>
          <w:tcPr>
            <w:tcW w:w="801" w:type="dxa"/>
            <w:tcBorders>
              <w:top w:val="single" w:sz="6" w:space="0" w:color="auto"/>
              <w:left w:val="single" w:sz="6" w:space="0" w:color="auto"/>
              <w:bottom w:val="single" w:sz="6" w:space="0" w:color="auto"/>
              <w:right w:val="single" w:sz="6" w:space="0" w:color="auto"/>
            </w:tcBorders>
            <w:vAlign w:val="center"/>
          </w:tcPr>
          <w:p w14:paraId="2722755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401</w:t>
            </w:r>
          </w:p>
        </w:tc>
        <w:tc>
          <w:tcPr>
            <w:tcW w:w="851" w:type="dxa"/>
            <w:tcBorders>
              <w:top w:val="single" w:sz="6" w:space="0" w:color="auto"/>
              <w:left w:val="single" w:sz="6" w:space="0" w:color="auto"/>
              <w:bottom w:val="single" w:sz="6" w:space="0" w:color="auto"/>
              <w:right w:val="single" w:sz="6" w:space="0" w:color="auto"/>
            </w:tcBorders>
            <w:vAlign w:val="center"/>
          </w:tcPr>
          <w:p w14:paraId="6FFB8EF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w:t>
            </w:r>
          </w:p>
        </w:tc>
        <w:tc>
          <w:tcPr>
            <w:tcW w:w="850" w:type="dxa"/>
            <w:tcBorders>
              <w:top w:val="single" w:sz="6" w:space="0" w:color="auto"/>
              <w:left w:val="single" w:sz="6" w:space="0" w:color="auto"/>
              <w:bottom w:val="single" w:sz="6" w:space="0" w:color="auto"/>
              <w:right w:val="single" w:sz="6" w:space="0" w:color="auto"/>
            </w:tcBorders>
            <w:vAlign w:val="center"/>
          </w:tcPr>
          <w:p w14:paraId="20A8CB8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1 028</w:t>
            </w:r>
          </w:p>
        </w:tc>
      </w:tr>
    </w:tbl>
    <w:p w14:paraId="22449005" w14:textId="77777777" w:rsidR="00117C0D" w:rsidRPr="003954D9" w:rsidRDefault="00117C0D" w:rsidP="00117C0D">
      <w:pPr>
        <w:rPr>
          <w:sz w:val="16"/>
          <w:szCs w:val="16"/>
        </w:rPr>
      </w:pPr>
      <w:r w:rsidRPr="00155ABC">
        <w:rPr>
          <w:b/>
          <w:color w:val="FF6600"/>
          <w:sz w:val="16"/>
          <w:szCs w:val="16"/>
        </w:rPr>
        <w:t>Röd färg högsta</w:t>
      </w:r>
      <w:r w:rsidRPr="003954D9">
        <w:rPr>
          <w:color w:val="FF6600"/>
          <w:sz w:val="16"/>
          <w:szCs w:val="16"/>
        </w:rPr>
        <w:t xml:space="preserve"> </w:t>
      </w:r>
      <w:r w:rsidRPr="003954D9">
        <w:rPr>
          <w:sz w:val="16"/>
          <w:szCs w:val="16"/>
        </w:rPr>
        <w:t xml:space="preserve">och </w:t>
      </w:r>
      <w:r w:rsidRPr="00155ABC">
        <w:rPr>
          <w:b/>
          <w:color w:val="0070C0"/>
          <w:sz w:val="16"/>
          <w:szCs w:val="16"/>
        </w:rPr>
        <w:t>blå färg lägsta</w:t>
      </w:r>
      <w:r w:rsidRPr="00155ABC">
        <w:rPr>
          <w:color w:val="0070C0"/>
          <w:sz w:val="16"/>
          <w:szCs w:val="16"/>
        </w:rPr>
        <w:t xml:space="preserve"> </w:t>
      </w:r>
      <w:r w:rsidRPr="003954D9">
        <w:rPr>
          <w:sz w:val="16"/>
          <w:szCs w:val="16"/>
        </w:rPr>
        <w:t>värde i grupp.</w:t>
      </w:r>
    </w:p>
    <w:p w14:paraId="6482624B"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lang w:eastAsia="en-US"/>
        </w:rPr>
      </w:pPr>
      <w:r w:rsidRPr="003954D9">
        <w:rPr>
          <w:rFonts w:asciiTheme="majorHAnsi" w:eastAsiaTheme="majorEastAsia" w:hAnsiTheme="majorHAnsi" w:cstheme="majorBidi"/>
          <w:color w:val="243F60" w:themeColor="accent1" w:themeShade="7F"/>
          <w:lang w:eastAsia="en-US"/>
        </w:rPr>
        <w:t>Tabell 5:5: Kvar utöver skälig levnadsnivå efter en hyreshöjning på 25 procent - medelvärden i kronor per månad per person i olika hushållstyper och stadsdel</w:t>
      </w:r>
    </w:p>
    <w:tbl>
      <w:tblPr>
        <w:tblW w:w="10129" w:type="dxa"/>
        <w:tblInd w:w="-38" w:type="dxa"/>
        <w:tblLayout w:type="fixed"/>
        <w:tblLook w:val="0000" w:firstRow="0" w:lastRow="0" w:firstColumn="0" w:lastColumn="0" w:noHBand="0" w:noVBand="0"/>
      </w:tblPr>
      <w:tblGrid>
        <w:gridCol w:w="1730"/>
        <w:gridCol w:w="806"/>
        <w:gridCol w:w="885"/>
        <w:gridCol w:w="822"/>
        <w:gridCol w:w="822"/>
        <w:gridCol w:w="821"/>
        <w:gridCol w:w="822"/>
        <w:gridCol w:w="822"/>
        <w:gridCol w:w="864"/>
        <w:gridCol w:w="850"/>
        <w:gridCol w:w="885"/>
      </w:tblGrid>
      <w:tr w:rsidR="00117C0D" w:rsidRPr="003954D9" w14:paraId="593816AE" w14:textId="77777777" w:rsidTr="00117C0D">
        <w:trPr>
          <w:trHeight w:val="653"/>
        </w:trPr>
        <w:tc>
          <w:tcPr>
            <w:tcW w:w="1730" w:type="dxa"/>
            <w:tcBorders>
              <w:top w:val="single" w:sz="6" w:space="0" w:color="auto"/>
              <w:left w:val="single" w:sz="6" w:space="0" w:color="auto"/>
              <w:bottom w:val="single" w:sz="6" w:space="0" w:color="auto"/>
              <w:right w:val="single" w:sz="6" w:space="0" w:color="auto"/>
            </w:tcBorders>
          </w:tcPr>
          <w:p w14:paraId="7901D6B2"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Hushållstyp</w:t>
            </w:r>
          </w:p>
        </w:tc>
        <w:tc>
          <w:tcPr>
            <w:tcW w:w="806" w:type="dxa"/>
            <w:tcBorders>
              <w:top w:val="single" w:sz="6" w:space="0" w:color="auto"/>
              <w:left w:val="single" w:sz="6" w:space="0" w:color="auto"/>
              <w:bottom w:val="single" w:sz="6" w:space="0" w:color="auto"/>
              <w:right w:val="single" w:sz="6" w:space="0" w:color="auto"/>
            </w:tcBorders>
          </w:tcPr>
          <w:p w14:paraId="569669B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85" w:type="dxa"/>
            <w:tcBorders>
              <w:top w:val="single" w:sz="6" w:space="0" w:color="auto"/>
              <w:left w:val="single" w:sz="6" w:space="0" w:color="auto"/>
              <w:bottom w:val="single" w:sz="6" w:space="0" w:color="auto"/>
              <w:right w:val="single" w:sz="6" w:space="0" w:color="auto"/>
            </w:tcBorders>
          </w:tcPr>
          <w:p w14:paraId="63637A4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22" w:type="dxa"/>
            <w:tcBorders>
              <w:top w:val="single" w:sz="6" w:space="0" w:color="auto"/>
              <w:left w:val="single" w:sz="6" w:space="0" w:color="auto"/>
              <w:bottom w:val="single" w:sz="6" w:space="0" w:color="auto"/>
              <w:right w:val="single" w:sz="6" w:space="0" w:color="auto"/>
            </w:tcBorders>
          </w:tcPr>
          <w:p w14:paraId="7A5626D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822" w:type="dxa"/>
            <w:tcBorders>
              <w:top w:val="single" w:sz="6" w:space="0" w:color="auto"/>
              <w:left w:val="single" w:sz="6" w:space="0" w:color="auto"/>
              <w:bottom w:val="single" w:sz="6" w:space="0" w:color="auto"/>
              <w:right w:val="single" w:sz="6" w:space="0" w:color="auto"/>
            </w:tcBorders>
          </w:tcPr>
          <w:p w14:paraId="561C0EE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21" w:type="dxa"/>
            <w:tcBorders>
              <w:top w:val="single" w:sz="6" w:space="0" w:color="auto"/>
              <w:left w:val="single" w:sz="6" w:space="0" w:color="auto"/>
              <w:bottom w:val="single" w:sz="6" w:space="0" w:color="auto"/>
              <w:right w:val="single" w:sz="6" w:space="0" w:color="auto"/>
            </w:tcBorders>
          </w:tcPr>
          <w:p w14:paraId="0D74417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 Linne</w:t>
            </w:r>
          </w:p>
        </w:tc>
        <w:tc>
          <w:tcPr>
            <w:tcW w:w="822" w:type="dxa"/>
            <w:tcBorders>
              <w:top w:val="single" w:sz="6" w:space="0" w:color="auto"/>
              <w:left w:val="single" w:sz="6" w:space="0" w:color="auto"/>
              <w:bottom w:val="single" w:sz="6" w:space="0" w:color="auto"/>
              <w:right w:val="single" w:sz="6" w:space="0" w:color="auto"/>
            </w:tcBorders>
          </w:tcPr>
          <w:p w14:paraId="4000E0C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22" w:type="dxa"/>
            <w:tcBorders>
              <w:top w:val="single" w:sz="6" w:space="0" w:color="auto"/>
              <w:left w:val="single" w:sz="6" w:space="0" w:color="auto"/>
              <w:bottom w:val="single" w:sz="6" w:space="0" w:color="auto"/>
              <w:right w:val="single" w:sz="6" w:space="0" w:color="auto"/>
            </w:tcBorders>
          </w:tcPr>
          <w:p w14:paraId="7CBCFF7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64" w:type="dxa"/>
            <w:tcBorders>
              <w:top w:val="single" w:sz="6" w:space="0" w:color="auto"/>
              <w:left w:val="single" w:sz="6" w:space="0" w:color="auto"/>
              <w:bottom w:val="single" w:sz="6" w:space="0" w:color="auto"/>
              <w:right w:val="single" w:sz="6" w:space="0" w:color="auto"/>
            </w:tcBorders>
          </w:tcPr>
          <w:p w14:paraId="79A2A1F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0" w:type="dxa"/>
            <w:tcBorders>
              <w:top w:val="single" w:sz="6" w:space="0" w:color="auto"/>
              <w:left w:val="single" w:sz="6" w:space="0" w:color="auto"/>
              <w:bottom w:val="single" w:sz="6" w:space="0" w:color="auto"/>
              <w:right w:val="single" w:sz="6" w:space="0" w:color="auto"/>
            </w:tcBorders>
          </w:tcPr>
          <w:p w14:paraId="6F2CAA9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85" w:type="dxa"/>
            <w:tcBorders>
              <w:top w:val="single" w:sz="6" w:space="0" w:color="auto"/>
              <w:left w:val="single" w:sz="6" w:space="0" w:color="auto"/>
              <w:bottom w:val="single" w:sz="6" w:space="0" w:color="auto"/>
              <w:right w:val="single" w:sz="6" w:space="0" w:color="auto"/>
            </w:tcBorders>
          </w:tcPr>
          <w:p w14:paraId="1F995AA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117C0D" w:rsidRPr="003954D9" w14:paraId="674F1E8F" w14:textId="77777777" w:rsidTr="00117C0D">
        <w:trPr>
          <w:trHeight w:val="290"/>
        </w:trPr>
        <w:tc>
          <w:tcPr>
            <w:tcW w:w="1730" w:type="dxa"/>
            <w:tcBorders>
              <w:top w:val="single" w:sz="6" w:space="0" w:color="auto"/>
              <w:left w:val="single" w:sz="6" w:space="0" w:color="auto"/>
              <w:bottom w:val="single" w:sz="6" w:space="0" w:color="auto"/>
              <w:right w:val="single" w:sz="6" w:space="0" w:color="auto"/>
            </w:tcBorders>
          </w:tcPr>
          <w:p w14:paraId="57CAF2C4" w14:textId="67173148"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Ensambo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1FD03614"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2 568</w:t>
            </w:r>
          </w:p>
        </w:tc>
        <w:tc>
          <w:tcPr>
            <w:tcW w:w="885" w:type="dxa"/>
            <w:tcBorders>
              <w:top w:val="single" w:sz="6" w:space="0" w:color="auto"/>
              <w:left w:val="single" w:sz="6" w:space="0" w:color="auto"/>
              <w:bottom w:val="single" w:sz="6" w:space="0" w:color="auto"/>
              <w:right w:val="single" w:sz="6" w:space="0" w:color="auto"/>
            </w:tcBorders>
          </w:tcPr>
          <w:p w14:paraId="11B74DD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4 894</w:t>
            </w:r>
          </w:p>
        </w:tc>
        <w:tc>
          <w:tcPr>
            <w:tcW w:w="822" w:type="dxa"/>
            <w:tcBorders>
              <w:top w:val="single" w:sz="6" w:space="0" w:color="auto"/>
              <w:left w:val="single" w:sz="6" w:space="0" w:color="auto"/>
              <w:bottom w:val="single" w:sz="6" w:space="0" w:color="auto"/>
              <w:right w:val="single" w:sz="6" w:space="0" w:color="auto"/>
            </w:tcBorders>
          </w:tcPr>
          <w:p w14:paraId="40313FB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5 972</w:t>
            </w:r>
          </w:p>
        </w:tc>
        <w:tc>
          <w:tcPr>
            <w:tcW w:w="822" w:type="dxa"/>
            <w:tcBorders>
              <w:top w:val="single" w:sz="6" w:space="0" w:color="auto"/>
              <w:left w:val="single" w:sz="6" w:space="0" w:color="auto"/>
              <w:bottom w:val="single" w:sz="6" w:space="0" w:color="auto"/>
              <w:right w:val="single" w:sz="6" w:space="0" w:color="auto"/>
            </w:tcBorders>
          </w:tcPr>
          <w:p w14:paraId="3C67165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5 617</w:t>
            </w:r>
          </w:p>
        </w:tc>
        <w:tc>
          <w:tcPr>
            <w:tcW w:w="821" w:type="dxa"/>
            <w:tcBorders>
              <w:top w:val="single" w:sz="6" w:space="0" w:color="auto"/>
              <w:left w:val="single" w:sz="6" w:space="0" w:color="auto"/>
              <w:bottom w:val="single" w:sz="6" w:space="0" w:color="auto"/>
              <w:right w:val="single" w:sz="6" w:space="0" w:color="auto"/>
            </w:tcBorders>
          </w:tcPr>
          <w:p w14:paraId="59D00767"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6 435</w:t>
            </w:r>
          </w:p>
        </w:tc>
        <w:tc>
          <w:tcPr>
            <w:tcW w:w="822" w:type="dxa"/>
            <w:tcBorders>
              <w:top w:val="single" w:sz="6" w:space="0" w:color="auto"/>
              <w:left w:val="single" w:sz="6" w:space="0" w:color="auto"/>
              <w:bottom w:val="single" w:sz="6" w:space="0" w:color="auto"/>
              <w:right w:val="single" w:sz="6" w:space="0" w:color="auto"/>
            </w:tcBorders>
          </w:tcPr>
          <w:p w14:paraId="1CB8DC6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5 234</w:t>
            </w:r>
          </w:p>
        </w:tc>
        <w:tc>
          <w:tcPr>
            <w:tcW w:w="822" w:type="dxa"/>
            <w:tcBorders>
              <w:top w:val="single" w:sz="6" w:space="0" w:color="auto"/>
              <w:left w:val="single" w:sz="6" w:space="0" w:color="auto"/>
              <w:bottom w:val="single" w:sz="6" w:space="0" w:color="auto"/>
              <w:right w:val="single" w:sz="6" w:space="0" w:color="auto"/>
            </w:tcBorders>
          </w:tcPr>
          <w:p w14:paraId="7AED0B8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3 361</w:t>
            </w:r>
          </w:p>
        </w:tc>
        <w:tc>
          <w:tcPr>
            <w:tcW w:w="864" w:type="dxa"/>
            <w:tcBorders>
              <w:top w:val="single" w:sz="6" w:space="0" w:color="auto"/>
              <w:left w:val="single" w:sz="6" w:space="0" w:color="auto"/>
              <w:bottom w:val="single" w:sz="6" w:space="0" w:color="auto"/>
              <w:right w:val="single" w:sz="6" w:space="0" w:color="auto"/>
            </w:tcBorders>
          </w:tcPr>
          <w:p w14:paraId="72E104C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6 417</w:t>
            </w:r>
          </w:p>
        </w:tc>
        <w:tc>
          <w:tcPr>
            <w:tcW w:w="850" w:type="dxa"/>
            <w:tcBorders>
              <w:top w:val="single" w:sz="6" w:space="0" w:color="auto"/>
              <w:left w:val="single" w:sz="6" w:space="0" w:color="auto"/>
              <w:bottom w:val="single" w:sz="6" w:space="0" w:color="auto"/>
              <w:right w:val="single" w:sz="6" w:space="0" w:color="auto"/>
            </w:tcBorders>
          </w:tcPr>
          <w:p w14:paraId="3D81172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6 388</w:t>
            </w:r>
          </w:p>
        </w:tc>
        <w:tc>
          <w:tcPr>
            <w:tcW w:w="885" w:type="dxa"/>
            <w:tcBorders>
              <w:top w:val="single" w:sz="6" w:space="0" w:color="auto"/>
              <w:left w:val="single" w:sz="6" w:space="0" w:color="auto"/>
              <w:bottom w:val="single" w:sz="6" w:space="0" w:color="auto"/>
              <w:right w:val="single" w:sz="6" w:space="0" w:color="auto"/>
            </w:tcBorders>
          </w:tcPr>
          <w:p w14:paraId="1C61999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3 427</w:t>
            </w:r>
          </w:p>
        </w:tc>
      </w:tr>
      <w:tr w:rsidR="00117C0D" w:rsidRPr="003954D9" w14:paraId="0F60AFB4" w14:textId="77777777" w:rsidTr="00117C0D">
        <w:trPr>
          <w:trHeight w:val="290"/>
        </w:trPr>
        <w:tc>
          <w:tcPr>
            <w:tcW w:w="1730" w:type="dxa"/>
            <w:tcBorders>
              <w:top w:val="single" w:sz="6" w:space="0" w:color="auto"/>
              <w:left w:val="single" w:sz="6" w:space="0" w:color="auto"/>
              <w:bottom w:val="single" w:sz="6" w:space="0" w:color="auto"/>
              <w:right w:val="single" w:sz="6" w:space="0" w:color="auto"/>
            </w:tcBorders>
          </w:tcPr>
          <w:p w14:paraId="61543DD2" w14:textId="0A76864C"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Ensambo u. barn </w:t>
            </w:r>
            <w:r w:rsidR="00365C66" w:rsidRPr="003954D9">
              <w:rPr>
                <w:rFonts w:ascii="Calibri" w:hAnsi="Calibri" w:cs="Calibri"/>
                <w:color w:val="000000"/>
                <w:sz w:val="16"/>
                <w:szCs w:val="16"/>
              </w:rPr>
              <w:t>65-år</w:t>
            </w:r>
          </w:p>
        </w:tc>
        <w:tc>
          <w:tcPr>
            <w:tcW w:w="806" w:type="dxa"/>
            <w:tcBorders>
              <w:top w:val="single" w:sz="6" w:space="0" w:color="auto"/>
              <w:left w:val="single" w:sz="6" w:space="0" w:color="auto"/>
              <w:bottom w:val="single" w:sz="6" w:space="0" w:color="auto"/>
              <w:right w:val="single" w:sz="6" w:space="0" w:color="auto"/>
            </w:tcBorders>
          </w:tcPr>
          <w:p w14:paraId="77D49460"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826</w:t>
            </w:r>
          </w:p>
        </w:tc>
        <w:tc>
          <w:tcPr>
            <w:tcW w:w="885" w:type="dxa"/>
            <w:tcBorders>
              <w:top w:val="single" w:sz="6" w:space="0" w:color="auto"/>
              <w:left w:val="single" w:sz="6" w:space="0" w:color="auto"/>
              <w:bottom w:val="single" w:sz="6" w:space="0" w:color="auto"/>
              <w:right w:val="single" w:sz="6" w:space="0" w:color="auto"/>
            </w:tcBorders>
          </w:tcPr>
          <w:p w14:paraId="314D271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1 550</w:t>
            </w:r>
          </w:p>
        </w:tc>
        <w:tc>
          <w:tcPr>
            <w:tcW w:w="822" w:type="dxa"/>
            <w:tcBorders>
              <w:top w:val="single" w:sz="6" w:space="0" w:color="auto"/>
              <w:left w:val="single" w:sz="6" w:space="0" w:color="auto"/>
              <w:bottom w:val="single" w:sz="6" w:space="0" w:color="auto"/>
              <w:right w:val="single" w:sz="6" w:space="0" w:color="auto"/>
            </w:tcBorders>
          </w:tcPr>
          <w:p w14:paraId="77E0FC0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3 402</w:t>
            </w:r>
          </w:p>
        </w:tc>
        <w:tc>
          <w:tcPr>
            <w:tcW w:w="822" w:type="dxa"/>
            <w:tcBorders>
              <w:top w:val="single" w:sz="6" w:space="0" w:color="auto"/>
              <w:left w:val="single" w:sz="6" w:space="0" w:color="auto"/>
              <w:bottom w:val="single" w:sz="6" w:space="0" w:color="auto"/>
              <w:right w:val="single" w:sz="6" w:space="0" w:color="auto"/>
            </w:tcBorders>
          </w:tcPr>
          <w:p w14:paraId="0D30DF7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3 142</w:t>
            </w:r>
          </w:p>
        </w:tc>
        <w:tc>
          <w:tcPr>
            <w:tcW w:w="821" w:type="dxa"/>
            <w:tcBorders>
              <w:top w:val="single" w:sz="6" w:space="0" w:color="auto"/>
              <w:left w:val="single" w:sz="6" w:space="0" w:color="auto"/>
              <w:bottom w:val="single" w:sz="6" w:space="0" w:color="auto"/>
              <w:right w:val="single" w:sz="6" w:space="0" w:color="auto"/>
            </w:tcBorders>
          </w:tcPr>
          <w:p w14:paraId="26F9090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3 746</w:t>
            </w:r>
          </w:p>
        </w:tc>
        <w:tc>
          <w:tcPr>
            <w:tcW w:w="822" w:type="dxa"/>
            <w:tcBorders>
              <w:top w:val="single" w:sz="6" w:space="0" w:color="auto"/>
              <w:left w:val="single" w:sz="6" w:space="0" w:color="auto"/>
              <w:bottom w:val="single" w:sz="6" w:space="0" w:color="auto"/>
              <w:right w:val="single" w:sz="6" w:space="0" w:color="auto"/>
            </w:tcBorders>
          </w:tcPr>
          <w:p w14:paraId="3ADC51F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1 656</w:t>
            </w:r>
          </w:p>
        </w:tc>
        <w:tc>
          <w:tcPr>
            <w:tcW w:w="822" w:type="dxa"/>
            <w:tcBorders>
              <w:top w:val="single" w:sz="6" w:space="0" w:color="auto"/>
              <w:left w:val="single" w:sz="6" w:space="0" w:color="auto"/>
              <w:bottom w:val="single" w:sz="6" w:space="0" w:color="auto"/>
              <w:right w:val="single" w:sz="6" w:space="0" w:color="auto"/>
            </w:tcBorders>
          </w:tcPr>
          <w:p w14:paraId="31417D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1 657</w:t>
            </w:r>
          </w:p>
        </w:tc>
        <w:tc>
          <w:tcPr>
            <w:tcW w:w="864" w:type="dxa"/>
            <w:tcBorders>
              <w:top w:val="single" w:sz="6" w:space="0" w:color="auto"/>
              <w:left w:val="single" w:sz="6" w:space="0" w:color="auto"/>
              <w:bottom w:val="single" w:sz="6" w:space="0" w:color="auto"/>
              <w:right w:val="single" w:sz="6" w:space="0" w:color="auto"/>
            </w:tcBorders>
          </w:tcPr>
          <w:p w14:paraId="387EFC83"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4 315</w:t>
            </w:r>
          </w:p>
        </w:tc>
        <w:tc>
          <w:tcPr>
            <w:tcW w:w="850" w:type="dxa"/>
            <w:tcBorders>
              <w:top w:val="single" w:sz="6" w:space="0" w:color="auto"/>
              <w:left w:val="single" w:sz="6" w:space="0" w:color="auto"/>
              <w:bottom w:val="single" w:sz="6" w:space="0" w:color="auto"/>
              <w:right w:val="single" w:sz="6" w:space="0" w:color="auto"/>
            </w:tcBorders>
          </w:tcPr>
          <w:p w14:paraId="7AA9FC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2 484</w:t>
            </w:r>
          </w:p>
        </w:tc>
        <w:tc>
          <w:tcPr>
            <w:tcW w:w="885" w:type="dxa"/>
            <w:tcBorders>
              <w:top w:val="single" w:sz="6" w:space="0" w:color="auto"/>
              <w:left w:val="single" w:sz="6" w:space="0" w:color="auto"/>
              <w:bottom w:val="single" w:sz="6" w:space="0" w:color="auto"/>
              <w:right w:val="single" w:sz="6" w:space="0" w:color="auto"/>
            </w:tcBorders>
          </w:tcPr>
          <w:p w14:paraId="66596AB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1 293</w:t>
            </w:r>
          </w:p>
        </w:tc>
      </w:tr>
      <w:tr w:rsidR="00117C0D" w:rsidRPr="003954D9" w14:paraId="4C2289A0" w14:textId="77777777" w:rsidTr="00117C0D">
        <w:trPr>
          <w:trHeight w:val="290"/>
        </w:trPr>
        <w:tc>
          <w:tcPr>
            <w:tcW w:w="1730" w:type="dxa"/>
            <w:tcBorders>
              <w:top w:val="single" w:sz="6" w:space="0" w:color="auto"/>
              <w:left w:val="single" w:sz="6" w:space="0" w:color="auto"/>
              <w:bottom w:val="single" w:sz="6" w:space="0" w:color="auto"/>
              <w:right w:val="single" w:sz="6" w:space="0" w:color="auto"/>
            </w:tcBorders>
          </w:tcPr>
          <w:p w14:paraId="0B41341B" w14:textId="733A6171"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Ensamst. m.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5F78AD9F"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272</w:t>
            </w:r>
          </w:p>
        </w:tc>
        <w:tc>
          <w:tcPr>
            <w:tcW w:w="885" w:type="dxa"/>
            <w:tcBorders>
              <w:top w:val="single" w:sz="6" w:space="0" w:color="auto"/>
              <w:left w:val="single" w:sz="6" w:space="0" w:color="auto"/>
              <w:bottom w:val="single" w:sz="6" w:space="0" w:color="auto"/>
              <w:right w:val="single" w:sz="6" w:space="0" w:color="auto"/>
            </w:tcBorders>
          </w:tcPr>
          <w:p w14:paraId="33A9A75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1 054</w:t>
            </w:r>
          </w:p>
        </w:tc>
        <w:tc>
          <w:tcPr>
            <w:tcW w:w="822" w:type="dxa"/>
            <w:tcBorders>
              <w:top w:val="single" w:sz="6" w:space="0" w:color="auto"/>
              <w:left w:val="single" w:sz="6" w:space="0" w:color="auto"/>
              <w:bottom w:val="single" w:sz="6" w:space="0" w:color="auto"/>
              <w:right w:val="single" w:sz="6" w:space="0" w:color="auto"/>
            </w:tcBorders>
          </w:tcPr>
          <w:p w14:paraId="0E85BB1B"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2 390</w:t>
            </w:r>
          </w:p>
        </w:tc>
        <w:tc>
          <w:tcPr>
            <w:tcW w:w="822" w:type="dxa"/>
            <w:tcBorders>
              <w:top w:val="single" w:sz="6" w:space="0" w:color="auto"/>
              <w:left w:val="single" w:sz="6" w:space="0" w:color="auto"/>
              <w:bottom w:val="single" w:sz="6" w:space="0" w:color="auto"/>
              <w:right w:val="single" w:sz="6" w:space="0" w:color="auto"/>
            </w:tcBorders>
          </w:tcPr>
          <w:p w14:paraId="3B67B00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873</w:t>
            </w:r>
          </w:p>
        </w:tc>
        <w:tc>
          <w:tcPr>
            <w:tcW w:w="821" w:type="dxa"/>
            <w:tcBorders>
              <w:top w:val="single" w:sz="6" w:space="0" w:color="auto"/>
              <w:left w:val="single" w:sz="6" w:space="0" w:color="auto"/>
              <w:bottom w:val="single" w:sz="6" w:space="0" w:color="auto"/>
              <w:right w:val="single" w:sz="6" w:space="0" w:color="auto"/>
            </w:tcBorders>
          </w:tcPr>
          <w:p w14:paraId="13D8153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2 158</w:t>
            </w:r>
          </w:p>
        </w:tc>
        <w:tc>
          <w:tcPr>
            <w:tcW w:w="822" w:type="dxa"/>
            <w:tcBorders>
              <w:top w:val="single" w:sz="6" w:space="0" w:color="auto"/>
              <w:left w:val="single" w:sz="6" w:space="0" w:color="auto"/>
              <w:bottom w:val="single" w:sz="6" w:space="0" w:color="auto"/>
              <w:right w:val="single" w:sz="6" w:space="0" w:color="auto"/>
            </w:tcBorders>
          </w:tcPr>
          <w:p w14:paraId="63B2CC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1 179</w:t>
            </w:r>
          </w:p>
        </w:tc>
        <w:tc>
          <w:tcPr>
            <w:tcW w:w="822" w:type="dxa"/>
            <w:tcBorders>
              <w:top w:val="single" w:sz="6" w:space="0" w:color="auto"/>
              <w:left w:val="single" w:sz="6" w:space="0" w:color="auto"/>
              <w:bottom w:val="single" w:sz="6" w:space="0" w:color="auto"/>
              <w:right w:val="single" w:sz="6" w:space="0" w:color="auto"/>
            </w:tcBorders>
          </w:tcPr>
          <w:p w14:paraId="5D62DFB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354</w:t>
            </w:r>
          </w:p>
        </w:tc>
        <w:tc>
          <w:tcPr>
            <w:tcW w:w="864" w:type="dxa"/>
            <w:tcBorders>
              <w:top w:val="single" w:sz="6" w:space="0" w:color="auto"/>
              <w:left w:val="single" w:sz="6" w:space="0" w:color="auto"/>
              <w:bottom w:val="single" w:sz="6" w:space="0" w:color="auto"/>
              <w:right w:val="single" w:sz="6" w:space="0" w:color="auto"/>
            </w:tcBorders>
          </w:tcPr>
          <w:p w14:paraId="352C50C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1 884</w:t>
            </w:r>
          </w:p>
        </w:tc>
        <w:tc>
          <w:tcPr>
            <w:tcW w:w="850" w:type="dxa"/>
            <w:tcBorders>
              <w:top w:val="single" w:sz="6" w:space="0" w:color="auto"/>
              <w:left w:val="single" w:sz="6" w:space="0" w:color="auto"/>
              <w:bottom w:val="single" w:sz="6" w:space="0" w:color="auto"/>
              <w:right w:val="single" w:sz="6" w:space="0" w:color="auto"/>
            </w:tcBorders>
          </w:tcPr>
          <w:p w14:paraId="0023ED7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1 587</w:t>
            </w:r>
          </w:p>
        </w:tc>
        <w:tc>
          <w:tcPr>
            <w:tcW w:w="885" w:type="dxa"/>
            <w:tcBorders>
              <w:top w:val="single" w:sz="6" w:space="0" w:color="auto"/>
              <w:left w:val="single" w:sz="6" w:space="0" w:color="auto"/>
              <w:bottom w:val="single" w:sz="6" w:space="0" w:color="auto"/>
              <w:right w:val="single" w:sz="6" w:space="0" w:color="auto"/>
            </w:tcBorders>
          </w:tcPr>
          <w:p w14:paraId="7D58A0E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471</w:t>
            </w:r>
          </w:p>
        </w:tc>
      </w:tr>
      <w:tr w:rsidR="00117C0D" w:rsidRPr="003954D9" w14:paraId="0EF5B7FF" w14:textId="77777777" w:rsidTr="00117C0D">
        <w:trPr>
          <w:trHeight w:val="290"/>
        </w:trPr>
        <w:tc>
          <w:tcPr>
            <w:tcW w:w="1730" w:type="dxa"/>
            <w:tcBorders>
              <w:top w:val="single" w:sz="6" w:space="0" w:color="auto"/>
              <w:left w:val="single" w:sz="6" w:space="0" w:color="auto"/>
              <w:bottom w:val="single" w:sz="6" w:space="0" w:color="auto"/>
              <w:right w:val="single" w:sz="6" w:space="0" w:color="auto"/>
            </w:tcBorders>
          </w:tcPr>
          <w:p w14:paraId="6406AC25" w14:textId="107B2971"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6F06EC4B"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4 371</w:t>
            </w:r>
          </w:p>
        </w:tc>
        <w:tc>
          <w:tcPr>
            <w:tcW w:w="885" w:type="dxa"/>
            <w:tcBorders>
              <w:top w:val="single" w:sz="6" w:space="0" w:color="auto"/>
              <w:left w:val="single" w:sz="6" w:space="0" w:color="auto"/>
              <w:bottom w:val="single" w:sz="6" w:space="0" w:color="auto"/>
              <w:right w:val="single" w:sz="6" w:space="0" w:color="auto"/>
            </w:tcBorders>
          </w:tcPr>
          <w:p w14:paraId="77A3E5D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7 749</w:t>
            </w:r>
          </w:p>
        </w:tc>
        <w:tc>
          <w:tcPr>
            <w:tcW w:w="822" w:type="dxa"/>
            <w:tcBorders>
              <w:top w:val="single" w:sz="6" w:space="0" w:color="auto"/>
              <w:left w:val="single" w:sz="6" w:space="0" w:color="auto"/>
              <w:bottom w:val="single" w:sz="6" w:space="0" w:color="auto"/>
              <w:right w:val="single" w:sz="6" w:space="0" w:color="auto"/>
            </w:tcBorders>
          </w:tcPr>
          <w:p w14:paraId="65B4646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10 074</w:t>
            </w:r>
          </w:p>
        </w:tc>
        <w:tc>
          <w:tcPr>
            <w:tcW w:w="822" w:type="dxa"/>
            <w:tcBorders>
              <w:top w:val="single" w:sz="6" w:space="0" w:color="auto"/>
              <w:left w:val="single" w:sz="6" w:space="0" w:color="auto"/>
              <w:bottom w:val="single" w:sz="6" w:space="0" w:color="auto"/>
              <w:right w:val="single" w:sz="6" w:space="0" w:color="auto"/>
            </w:tcBorders>
          </w:tcPr>
          <w:p w14:paraId="547CCFC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7 242</w:t>
            </w:r>
          </w:p>
        </w:tc>
        <w:tc>
          <w:tcPr>
            <w:tcW w:w="821" w:type="dxa"/>
            <w:tcBorders>
              <w:top w:val="single" w:sz="6" w:space="0" w:color="auto"/>
              <w:left w:val="single" w:sz="6" w:space="0" w:color="auto"/>
              <w:bottom w:val="single" w:sz="6" w:space="0" w:color="auto"/>
              <w:right w:val="single" w:sz="6" w:space="0" w:color="auto"/>
            </w:tcBorders>
          </w:tcPr>
          <w:p w14:paraId="533B277B"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10 259</w:t>
            </w:r>
          </w:p>
        </w:tc>
        <w:tc>
          <w:tcPr>
            <w:tcW w:w="822" w:type="dxa"/>
            <w:tcBorders>
              <w:top w:val="single" w:sz="6" w:space="0" w:color="auto"/>
              <w:left w:val="single" w:sz="6" w:space="0" w:color="auto"/>
              <w:bottom w:val="single" w:sz="6" w:space="0" w:color="auto"/>
              <w:right w:val="single" w:sz="6" w:space="0" w:color="auto"/>
            </w:tcBorders>
          </w:tcPr>
          <w:p w14:paraId="1F668A0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6 127</w:t>
            </w:r>
          </w:p>
        </w:tc>
        <w:tc>
          <w:tcPr>
            <w:tcW w:w="822" w:type="dxa"/>
            <w:tcBorders>
              <w:top w:val="single" w:sz="6" w:space="0" w:color="auto"/>
              <w:left w:val="single" w:sz="6" w:space="0" w:color="auto"/>
              <w:bottom w:val="single" w:sz="6" w:space="0" w:color="auto"/>
              <w:right w:val="single" w:sz="6" w:space="0" w:color="auto"/>
            </w:tcBorders>
          </w:tcPr>
          <w:p w14:paraId="3BC9068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5 199</w:t>
            </w:r>
          </w:p>
        </w:tc>
        <w:tc>
          <w:tcPr>
            <w:tcW w:w="864" w:type="dxa"/>
            <w:tcBorders>
              <w:top w:val="single" w:sz="6" w:space="0" w:color="auto"/>
              <w:left w:val="single" w:sz="6" w:space="0" w:color="auto"/>
              <w:bottom w:val="single" w:sz="6" w:space="0" w:color="auto"/>
              <w:right w:val="single" w:sz="6" w:space="0" w:color="auto"/>
            </w:tcBorders>
          </w:tcPr>
          <w:p w14:paraId="2A0D464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9 361</w:t>
            </w:r>
          </w:p>
        </w:tc>
        <w:tc>
          <w:tcPr>
            <w:tcW w:w="850" w:type="dxa"/>
            <w:tcBorders>
              <w:top w:val="single" w:sz="6" w:space="0" w:color="auto"/>
              <w:left w:val="single" w:sz="6" w:space="0" w:color="auto"/>
              <w:bottom w:val="single" w:sz="6" w:space="0" w:color="auto"/>
              <w:right w:val="single" w:sz="6" w:space="0" w:color="auto"/>
            </w:tcBorders>
          </w:tcPr>
          <w:p w14:paraId="5A4E2A0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9 074</w:t>
            </w:r>
          </w:p>
        </w:tc>
        <w:tc>
          <w:tcPr>
            <w:tcW w:w="885" w:type="dxa"/>
            <w:tcBorders>
              <w:top w:val="single" w:sz="6" w:space="0" w:color="auto"/>
              <w:left w:val="single" w:sz="6" w:space="0" w:color="auto"/>
              <w:bottom w:val="single" w:sz="6" w:space="0" w:color="auto"/>
              <w:right w:val="single" w:sz="6" w:space="0" w:color="auto"/>
            </w:tcBorders>
          </w:tcPr>
          <w:p w14:paraId="03AFEBC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5 091</w:t>
            </w:r>
          </w:p>
        </w:tc>
      </w:tr>
      <w:tr w:rsidR="00117C0D" w:rsidRPr="003954D9" w14:paraId="1093F643" w14:textId="77777777" w:rsidTr="00117C0D">
        <w:trPr>
          <w:trHeight w:val="290"/>
        </w:trPr>
        <w:tc>
          <w:tcPr>
            <w:tcW w:w="1730" w:type="dxa"/>
            <w:tcBorders>
              <w:top w:val="single" w:sz="6" w:space="0" w:color="auto"/>
              <w:left w:val="single" w:sz="6" w:space="0" w:color="auto"/>
              <w:bottom w:val="single" w:sz="6" w:space="0" w:color="auto"/>
              <w:right w:val="single" w:sz="6" w:space="0" w:color="auto"/>
            </w:tcBorders>
          </w:tcPr>
          <w:p w14:paraId="03A05EAC" w14:textId="796EF24C"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65-år</w:t>
            </w:r>
          </w:p>
        </w:tc>
        <w:tc>
          <w:tcPr>
            <w:tcW w:w="806" w:type="dxa"/>
            <w:tcBorders>
              <w:top w:val="single" w:sz="6" w:space="0" w:color="auto"/>
              <w:left w:val="single" w:sz="6" w:space="0" w:color="auto"/>
              <w:bottom w:val="single" w:sz="6" w:space="0" w:color="auto"/>
              <w:right w:val="single" w:sz="6" w:space="0" w:color="auto"/>
            </w:tcBorders>
          </w:tcPr>
          <w:p w14:paraId="3A5CA654"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2 108</w:t>
            </w:r>
          </w:p>
        </w:tc>
        <w:tc>
          <w:tcPr>
            <w:tcW w:w="885" w:type="dxa"/>
            <w:tcBorders>
              <w:top w:val="single" w:sz="6" w:space="0" w:color="auto"/>
              <w:left w:val="single" w:sz="6" w:space="0" w:color="auto"/>
              <w:bottom w:val="single" w:sz="6" w:space="0" w:color="auto"/>
              <w:right w:val="single" w:sz="6" w:space="0" w:color="auto"/>
            </w:tcBorders>
          </w:tcPr>
          <w:p w14:paraId="0F65C70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4 565</w:t>
            </w:r>
          </w:p>
        </w:tc>
        <w:tc>
          <w:tcPr>
            <w:tcW w:w="822" w:type="dxa"/>
            <w:tcBorders>
              <w:top w:val="single" w:sz="6" w:space="0" w:color="auto"/>
              <w:left w:val="single" w:sz="6" w:space="0" w:color="auto"/>
              <w:bottom w:val="single" w:sz="6" w:space="0" w:color="auto"/>
              <w:right w:val="single" w:sz="6" w:space="0" w:color="auto"/>
            </w:tcBorders>
          </w:tcPr>
          <w:p w14:paraId="4E91EBB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7 146</w:t>
            </w:r>
          </w:p>
        </w:tc>
        <w:tc>
          <w:tcPr>
            <w:tcW w:w="822" w:type="dxa"/>
            <w:tcBorders>
              <w:top w:val="single" w:sz="6" w:space="0" w:color="auto"/>
              <w:left w:val="single" w:sz="6" w:space="0" w:color="auto"/>
              <w:bottom w:val="single" w:sz="6" w:space="0" w:color="auto"/>
              <w:right w:val="single" w:sz="6" w:space="0" w:color="auto"/>
            </w:tcBorders>
          </w:tcPr>
          <w:p w14:paraId="4F0D2CA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3 825</w:t>
            </w:r>
          </w:p>
        </w:tc>
        <w:tc>
          <w:tcPr>
            <w:tcW w:w="821" w:type="dxa"/>
            <w:tcBorders>
              <w:top w:val="single" w:sz="6" w:space="0" w:color="auto"/>
              <w:left w:val="single" w:sz="6" w:space="0" w:color="auto"/>
              <w:bottom w:val="single" w:sz="6" w:space="0" w:color="auto"/>
              <w:right w:val="single" w:sz="6" w:space="0" w:color="auto"/>
            </w:tcBorders>
          </w:tcPr>
          <w:p w14:paraId="477662E6"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8 809</w:t>
            </w:r>
          </w:p>
        </w:tc>
        <w:tc>
          <w:tcPr>
            <w:tcW w:w="822" w:type="dxa"/>
            <w:tcBorders>
              <w:top w:val="single" w:sz="6" w:space="0" w:color="auto"/>
              <w:left w:val="single" w:sz="6" w:space="0" w:color="auto"/>
              <w:bottom w:val="single" w:sz="6" w:space="0" w:color="auto"/>
              <w:right w:val="single" w:sz="6" w:space="0" w:color="auto"/>
            </w:tcBorders>
          </w:tcPr>
          <w:p w14:paraId="23BCEAC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4 496</w:t>
            </w:r>
          </w:p>
        </w:tc>
        <w:tc>
          <w:tcPr>
            <w:tcW w:w="822" w:type="dxa"/>
            <w:tcBorders>
              <w:top w:val="single" w:sz="6" w:space="0" w:color="auto"/>
              <w:left w:val="single" w:sz="6" w:space="0" w:color="auto"/>
              <w:bottom w:val="single" w:sz="6" w:space="0" w:color="auto"/>
              <w:right w:val="single" w:sz="6" w:space="0" w:color="auto"/>
            </w:tcBorders>
          </w:tcPr>
          <w:p w14:paraId="2188546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3 226</w:t>
            </w:r>
          </w:p>
        </w:tc>
        <w:tc>
          <w:tcPr>
            <w:tcW w:w="864" w:type="dxa"/>
            <w:tcBorders>
              <w:top w:val="single" w:sz="6" w:space="0" w:color="auto"/>
              <w:left w:val="single" w:sz="6" w:space="0" w:color="auto"/>
              <w:bottom w:val="single" w:sz="6" w:space="0" w:color="auto"/>
              <w:right w:val="single" w:sz="6" w:space="0" w:color="auto"/>
            </w:tcBorders>
          </w:tcPr>
          <w:p w14:paraId="061AA10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7 349</w:t>
            </w:r>
          </w:p>
        </w:tc>
        <w:tc>
          <w:tcPr>
            <w:tcW w:w="850" w:type="dxa"/>
            <w:tcBorders>
              <w:top w:val="single" w:sz="6" w:space="0" w:color="auto"/>
              <w:left w:val="single" w:sz="6" w:space="0" w:color="auto"/>
              <w:bottom w:val="single" w:sz="6" w:space="0" w:color="auto"/>
              <w:right w:val="single" w:sz="6" w:space="0" w:color="auto"/>
            </w:tcBorders>
          </w:tcPr>
          <w:p w14:paraId="46A13AF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6 113</w:t>
            </w:r>
          </w:p>
        </w:tc>
        <w:tc>
          <w:tcPr>
            <w:tcW w:w="885" w:type="dxa"/>
            <w:tcBorders>
              <w:top w:val="single" w:sz="6" w:space="0" w:color="auto"/>
              <w:left w:val="single" w:sz="6" w:space="0" w:color="auto"/>
              <w:bottom w:val="single" w:sz="6" w:space="0" w:color="auto"/>
              <w:right w:val="single" w:sz="6" w:space="0" w:color="auto"/>
            </w:tcBorders>
          </w:tcPr>
          <w:p w14:paraId="325F643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2 926</w:t>
            </w:r>
          </w:p>
        </w:tc>
      </w:tr>
      <w:tr w:rsidR="00117C0D" w:rsidRPr="003954D9" w14:paraId="58FE1C82" w14:textId="77777777" w:rsidTr="00117C0D">
        <w:trPr>
          <w:trHeight w:val="290"/>
        </w:trPr>
        <w:tc>
          <w:tcPr>
            <w:tcW w:w="1730" w:type="dxa"/>
            <w:tcBorders>
              <w:top w:val="single" w:sz="6" w:space="0" w:color="auto"/>
              <w:left w:val="single" w:sz="6" w:space="0" w:color="auto"/>
              <w:bottom w:val="single" w:sz="6" w:space="0" w:color="auto"/>
              <w:right w:val="single" w:sz="6" w:space="0" w:color="auto"/>
            </w:tcBorders>
          </w:tcPr>
          <w:p w14:paraId="175B13E0" w14:textId="262B16B5"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1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1C16404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2 799</w:t>
            </w:r>
          </w:p>
        </w:tc>
        <w:tc>
          <w:tcPr>
            <w:tcW w:w="885" w:type="dxa"/>
            <w:tcBorders>
              <w:top w:val="single" w:sz="6" w:space="0" w:color="auto"/>
              <w:left w:val="single" w:sz="6" w:space="0" w:color="auto"/>
              <w:bottom w:val="single" w:sz="6" w:space="0" w:color="auto"/>
              <w:right w:val="single" w:sz="6" w:space="0" w:color="auto"/>
            </w:tcBorders>
          </w:tcPr>
          <w:p w14:paraId="1CADD89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4 833</w:t>
            </w:r>
          </w:p>
        </w:tc>
        <w:tc>
          <w:tcPr>
            <w:tcW w:w="822" w:type="dxa"/>
            <w:tcBorders>
              <w:top w:val="single" w:sz="6" w:space="0" w:color="auto"/>
              <w:left w:val="single" w:sz="6" w:space="0" w:color="auto"/>
              <w:bottom w:val="single" w:sz="6" w:space="0" w:color="auto"/>
              <w:right w:val="single" w:sz="6" w:space="0" w:color="auto"/>
            </w:tcBorders>
          </w:tcPr>
          <w:p w14:paraId="5459D930"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6 465</w:t>
            </w:r>
          </w:p>
        </w:tc>
        <w:tc>
          <w:tcPr>
            <w:tcW w:w="822" w:type="dxa"/>
            <w:tcBorders>
              <w:top w:val="single" w:sz="6" w:space="0" w:color="auto"/>
              <w:left w:val="single" w:sz="6" w:space="0" w:color="auto"/>
              <w:bottom w:val="single" w:sz="6" w:space="0" w:color="auto"/>
              <w:right w:val="single" w:sz="6" w:space="0" w:color="auto"/>
            </w:tcBorders>
          </w:tcPr>
          <w:p w14:paraId="15EDEE3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3 019</w:t>
            </w:r>
          </w:p>
        </w:tc>
        <w:tc>
          <w:tcPr>
            <w:tcW w:w="821" w:type="dxa"/>
            <w:tcBorders>
              <w:top w:val="single" w:sz="6" w:space="0" w:color="auto"/>
              <w:left w:val="single" w:sz="6" w:space="0" w:color="auto"/>
              <w:bottom w:val="single" w:sz="6" w:space="0" w:color="auto"/>
              <w:right w:val="single" w:sz="6" w:space="0" w:color="auto"/>
            </w:tcBorders>
          </w:tcPr>
          <w:p w14:paraId="63D87D6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6 003</w:t>
            </w:r>
          </w:p>
        </w:tc>
        <w:tc>
          <w:tcPr>
            <w:tcW w:w="822" w:type="dxa"/>
            <w:tcBorders>
              <w:top w:val="single" w:sz="6" w:space="0" w:color="auto"/>
              <w:left w:val="single" w:sz="6" w:space="0" w:color="auto"/>
              <w:bottom w:val="single" w:sz="6" w:space="0" w:color="auto"/>
              <w:right w:val="single" w:sz="6" w:space="0" w:color="auto"/>
            </w:tcBorders>
          </w:tcPr>
          <w:p w14:paraId="034FFF4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3 393</w:t>
            </w:r>
          </w:p>
        </w:tc>
        <w:tc>
          <w:tcPr>
            <w:tcW w:w="822" w:type="dxa"/>
            <w:tcBorders>
              <w:top w:val="single" w:sz="6" w:space="0" w:color="auto"/>
              <w:left w:val="single" w:sz="6" w:space="0" w:color="auto"/>
              <w:bottom w:val="single" w:sz="6" w:space="0" w:color="auto"/>
              <w:right w:val="single" w:sz="6" w:space="0" w:color="auto"/>
            </w:tcBorders>
          </w:tcPr>
          <w:p w14:paraId="2F015AB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2 580</w:t>
            </w:r>
          </w:p>
        </w:tc>
        <w:tc>
          <w:tcPr>
            <w:tcW w:w="864" w:type="dxa"/>
            <w:tcBorders>
              <w:top w:val="single" w:sz="6" w:space="0" w:color="auto"/>
              <w:left w:val="single" w:sz="6" w:space="0" w:color="auto"/>
              <w:bottom w:val="single" w:sz="6" w:space="0" w:color="auto"/>
              <w:right w:val="single" w:sz="6" w:space="0" w:color="auto"/>
            </w:tcBorders>
          </w:tcPr>
          <w:p w14:paraId="6201744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5 840</w:t>
            </w:r>
          </w:p>
        </w:tc>
        <w:tc>
          <w:tcPr>
            <w:tcW w:w="850" w:type="dxa"/>
            <w:tcBorders>
              <w:top w:val="single" w:sz="6" w:space="0" w:color="auto"/>
              <w:left w:val="single" w:sz="6" w:space="0" w:color="auto"/>
              <w:bottom w:val="single" w:sz="6" w:space="0" w:color="auto"/>
              <w:right w:val="single" w:sz="6" w:space="0" w:color="auto"/>
            </w:tcBorders>
          </w:tcPr>
          <w:p w14:paraId="6CD76E5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4 843</w:t>
            </w:r>
          </w:p>
        </w:tc>
        <w:tc>
          <w:tcPr>
            <w:tcW w:w="885" w:type="dxa"/>
            <w:tcBorders>
              <w:top w:val="single" w:sz="6" w:space="0" w:color="auto"/>
              <w:left w:val="single" w:sz="6" w:space="0" w:color="auto"/>
              <w:bottom w:val="single" w:sz="6" w:space="0" w:color="auto"/>
              <w:right w:val="single" w:sz="6" w:space="0" w:color="auto"/>
            </w:tcBorders>
          </w:tcPr>
          <w:p w14:paraId="1FB0B435"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2 308</w:t>
            </w:r>
          </w:p>
        </w:tc>
      </w:tr>
      <w:tr w:rsidR="00117C0D" w:rsidRPr="003954D9" w14:paraId="01E0DC85" w14:textId="77777777" w:rsidTr="00117C0D">
        <w:trPr>
          <w:trHeight w:val="290"/>
        </w:trPr>
        <w:tc>
          <w:tcPr>
            <w:tcW w:w="1730" w:type="dxa"/>
            <w:tcBorders>
              <w:top w:val="single" w:sz="6" w:space="0" w:color="auto"/>
              <w:left w:val="single" w:sz="6" w:space="0" w:color="auto"/>
              <w:bottom w:val="single" w:sz="6" w:space="0" w:color="auto"/>
              <w:right w:val="single" w:sz="6" w:space="0" w:color="auto"/>
            </w:tcBorders>
          </w:tcPr>
          <w:p w14:paraId="27989D77" w14:textId="6E7929EA"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2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24DDA9D6"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1 604</w:t>
            </w:r>
          </w:p>
        </w:tc>
        <w:tc>
          <w:tcPr>
            <w:tcW w:w="885" w:type="dxa"/>
            <w:tcBorders>
              <w:top w:val="single" w:sz="6" w:space="0" w:color="auto"/>
              <w:left w:val="single" w:sz="6" w:space="0" w:color="auto"/>
              <w:bottom w:val="single" w:sz="6" w:space="0" w:color="auto"/>
              <w:right w:val="single" w:sz="6" w:space="0" w:color="auto"/>
            </w:tcBorders>
          </w:tcPr>
          <w:p w14:paraId="66C934C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2 713</w:t>
            </w:r>
          </w:p>
        </w:tc>
        <w:tc>
          <w:tcPr>
            <w:tcW w:w="822" w:type="dxa"/>
            <w:tcBorders>
              <w:top w:val="single" w:sz="6" w:space="0" w:color="auto"/>
              <w:left w:val="single" w:sz="6" w:space="0" w:color="auto"/>
              <w:bottom w:val="single" w:sz="6" w:space="0" w:color="auto"/>
              <w:right w:val="single" w:sz="6" w:space="0" w:color="auto"/>
            </w:tcBorders>
          </w:tcPr>
          <w:p w14:paraId="4FFAC5C8"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5 091</w:t>
            </w:r>
          </w:p>
        </w:tc>
        <w:tc>
          <w:tcPr>
            <w:tcW w:w="822" w:type="dxa"/>
            <w:tcBorders>
              <w:top w:val="single" w:sz="6" w:space="0" w:color="auto"/>
              <w:left w:val="single" w:sz="6" w:space="0" w:color="auto"/>
              <w:bottom w:val="single" w:sz="6" w:space="0" w:color="auto"/>
              <w:right w:val="single" w:sz="6" w:space="0" w:color="auto"/>
            </w:tcBorders>
          </w:tcPr>
          <w:p w14:paraId="62825D6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2 370</w:t>
            </w:r>
          </w:p>
        </w:tc>
        <w:tc>
          <w:tcPr>
            <w:tcW w:w="821" w:type="dxa"/>
            <w:tcBorders>
              <w:top w:val="single" w:sz="6" w:space="0" w:color="auto"/>
              <w:left w:val="single" w:sz="6" w:space="0" w:color="auto"/>
              <w:bottom w:val="single" w:sz="6" w:space="0" w:color="auto"/>
              <w:right w:val="single" w:sz="6" w:space="0" w:color="auto"/>
            </w:tcBorders>
          </w:tcPr>
          <w:p w14:paraId="3E46FB4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4 362</w:t>
            </w:r>
          </w:p>
        </w:tc>
        <w:tc>
          <w:tcPr>
            <w:tcW w:w="822" w:type="dxa"/>
            <w:tcBorders>
              <w:top w:val="single" w:sz="6" w:space="0" w:color="auto"/>
              <w:left w:val="single" w:sz="6" w:space="0" w:color="auto"/>
              <w:bottom w:val="single" w:sz="6" w:space="0" w:color="auto"/>
              <w:right w:val="single" w:sz="6" w:space="0" w:color="auto"/>
            </w:tcBorders>
          </w:tcPr>
          <w:p w14:paraId="4422ED7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2 610</w:t>
            </w:r>
          </w:p>
        </w:tc>
        <w:tc>
          <w:tcPr>
            <w:tcW w:w="822" w:type="dxa"/>
            <w:tcBorders>
              <w:top w:val="single" w:sz="6" w:space="0" w:color="auto"/>
              <w:left w:val="single" w:sz="6" w:space="0" w:color="auto"/>
              <w:bottom w:val="single" w:sz="6" w:space="0" w:color="auto"/>
              <w:right w:val="single" w:sz="6" w:space="0" w:color="auto"/>
            </w:tcBorders>
          </w:tcPr>
          <w:p w14:paraId="0AFC04A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1 740</w:t>
            </w:r>
          </w:p>
        </w:tc>
        <w:tc>
          <w:tcPr>
            <w:tcW w:w="864" w:type="dxa"/>
            <w:tcBorders>
              <w:top w:val="single" w:sz="6" w:space="0" w:color="auto"/>
              <w:left w:val="single" w:sz="6" w:space="0" w:color="auto"/>
              <w:bottom w:val="single" w:sz="6" w:space="0" w:color="auto"/>
              <w:right w:val="single" w:sz="6" w:space="0" w:color="auto"/>
            </w:tcBorders>
          </w:tcPr>
          <w:p w14:paraId="014B7D7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4 409</w:t>
            </w:r>
          </w:p>
        </w:tc>
        <w:tc>
          <w:tcPr>
            <w:tcW w:w="850" w:type="dxa"/>
            <w:tcBorders>
              <w:top w:val="single" w:sz="6" w:space="0" w:color="auto"/>
              <w:left w:val="single" w:sz="6" w:space="0" w:color="auto"/>
              <w:bottom w:val="single" w:sz="6" w:space="0" w:color="auto"/>
              <w:right w:val="single" w:sz="6" w:space="0" w:color="auto"/>
            </w:tcBorders>
          </w:tcPr>
          <w:p w14:paraId="481A2A2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4 992</w:t>
            </w:r>
          </w:p>
        </w:tc>
        <w:tc>
          <w:tcPr>
            <w:tcW w:w="885" w:type="dxa"/>
            <w:tcBorders>
              <w:top w:val="single" w:sz="6" w:space="0" w:color="auto"/>
              <w:left w:val="single" w:sz="6" w:space="0" w:color="auto"/>
              <w:bottom w:val="single" w:sz="6" w:space="0" w:color="auto"/>
              <w:right w:val="single" w:sz="6" w:space="0" w:color="auto"/>
            </w:tcBorders>
          </w:tcPr>
          <w:p w14:paraId="2ED0232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1 724</w:t>
            </w:r>
          </w:p>
        </w:tc>
      </w:tr>
      <w:tr w:rsidR="00117C0D" w:rsidRPr="003954D9" w14:paraId="54449510" w14:textId="77777777" w:rsidTr="00117C0D">
        <w:trPr>
          <w:trHeight w:val="290"/>
        </w:trPr>
        <w:tc>
          <w:tcPr>
            <w:tcW w:w="1730" w:type="dxa"/>
            <w:tcBorders>
              <w:top w:val="single" w:sz="6" w:space="0" w:color="auto"/>
              <w:left w:val="single" w:sz="6" w:space="0" w:color="auto"/>
              <w:bottom w:val="single" w:sz="6" w:space="0" w:color="auto"/>
              <w:right w:val="single" w:sz="6" w:space="0" w:color="auto"/>
            </w:tcBorders>
          </w:tcPr>
          <w:p w14:paraId="2A7895E3" w14:textId="3BAC32C2"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w:t>
            </w:r>
            <w:r w:rsidR="00365C66" w:rsidRPr="003954D9">
              <w:rPr>
                <w:rFonts w:ascii="Calibri" w:hAnsi="Calibri" w:cs="Calibri"/>
                <w:color w:val="000000"/>
                <w:sz w:val="16"/>
                <w:szCs w:val="16"/>
              </w:rPr>
              <w:t>3-barn</w:t>
            </w:r>
            <w:r w:rsidRPr="003954D9">
              <w:rPr>
                <w:rFonts w:ascii="Calibri" w:hAnsi="Calibri" w:cs="Calibri"/>
                <w:color w:val="000000"/>
                <w:sz w:val="16"/>
                <w:szCs w:val="16"/>
              </w:rPr>
              <w:t xml:space="preserve">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806" w:type="dxa"/>
            <w:tcBorders>
              <w:top w:val="single" w:sz="6" w:space="0" w:color="auto"/>
              <w:left w:val="single" w:sz="6" w:space="0" w:color="auto"/>
              <w:bottom w:val="single" w:sz="6" w:space="0" w:color="auto"/>
              <w:right w:val="single" w:sz="6" w:space="0" w:color="auto"/>
            </w:tcBorders>
          </w:tcPr>
          <w:p w14:paraId="6F1AE87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788</w:t>
            </w:r>
          </w:p>
        </w:tc>
        <w:tc>
          <w:tcPr>
            <w:tcW w:w="885" w:type="dxa"/>
            <w:tcBorders>
              <w:top w:val="single" w:sz="6" w:space="0" w:color="auto"/>
              <w:left w:val="single" w:sz="6" w:space="0" w:color="auto"/>
              <w:bottom w:val="single" w:sz="6" w:space="0" w:color="auto"/>
              <w:right w:val="single" w:sz="6" w:space="0" w:color="auto"/>
            </w:tcBorders>
          </w:tcPr>
          <w:p w14:paraId="7654837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1 132</w:t>
            </w:r>
          </w:p>
        </w:tc>
        <w:tc>
          <w:tcPr>
            <w:tcW w:w="822" w:type="dxa"/>
            <w:tcBorders>
              <w:top w:val="single" w:sz="6" w:space="0" w:color="auto"/>
              <w:left w:val="single" w:sz="6" w:space="0" w:color="auto"/>
              <w:bottom w:val="single" w:sz="6" w:space="0" w:color="auto"/>
              <w:right w:val="single" w:sz="6" w:space="0" w:color="auto"/>
            </w:tcBorders>
          </w:tcPr>
          <w:p w14:paraId="2343E6C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2 582</w:t>
            </w:r>
          </w:p>
        </w:tc>
        <w:tc>
          <w:tcPr>
            <w:tcW w:w="822" w:type="dxa"/>
            <w:tcBorders>
              <w:top w:val="single" w:sz="6" w:space="0" w:color="auto"/>
              <w:left w:val="single" w:sz="6" w:space="0" w:color="auto"/>
              <w:bottom w:val="single" w:sz="6" w:space="0" w:color="auto"/>
              <w:right w:val="single" w:sz="6" w:space="0" w:color="auto"/>
            </w:tcBorders>
          </w:tcPr>
          <w:p w14:paraId="7EF896C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1 158</w:t>
            </w:r>
          </w:p>
        </w:tc>
        <w:tc>
          <w:tcPr>
            <w:tcW w:w="821" w:type="dxa"/>
            <w:tcBorders>
              <w:top w:val="single" w:sz="6" w:space="0" w:color="auto"/>
              <w:left w:val="single" w:sz="6" w:space="0" w:color="auto"/>
              <w:bottom w:val="single" w:sz="6" w:space="0" w:color="auto"/>
              <w:right w:val="single" w:sz="6" w:space="0" w:color="auto"/>
            </w:tcBorders>
          </w:tcPr>
          <w:p w14:paraId="21BD95F5"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2 988</w:t>
            </w:r>
          </w:p>
        </w:tc>
        <w:tc>
          <w:tcPr>
            <w:tcW w:w="822" w:type="dxa"/>
            <w:tcBorders>
              <w:top w:val="single" w:sz="6" w:space="0" w:color="auto"/>
              <w:left w:val="single" w:sz="6" w:space="0" w:color="auto"/>
              <w:bottom w:val="single" w:sz="6" w:space="0" w:color="auto"/>
              <w:right w:val="single" w:sz="6" w:space="0" w:color="auto"/>
            </w:tcBorders>
          </w:tcPr>
          <w:p w14:paraId="012E921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1 653</w:t>
            </w:r>
          </w:p>
        </w:tc>
        <w:tc>
          <w:tcPr>
            <w:tcW w:w="822" w:type="dxa"/>
            <w:tcBorders>
              <w:top w:val="single" w:sz="6" w:space="0" w:color="auto"/>
              <w:left w:val="single" w:sz="6" w:space="0" w:color="auto"/>
              <w:bottom w:val="single" w:sz="6" w:space="0" w:color="auto"/>
              <w:right w:val="single" w:sz="6" w:space="0" w:color="auto"/>
            </w:tcBorders>
          </w:tcPr>
          <w:p w14:paraId="72A6B3F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808</w:t>
            </w:r>
          </w:p>
        </w:tc>
        <w:tc>
          <w:tcPr>
            <w:tcW w:w="864" w:type="dxa"/>
            <w:tcBorders>
              <w:top w:val="single" w:sz="6" w:space="0" w:color="auto"/>
              <w:left w:val="single" w:sz="6" w:space="0" w:color="auto"/>
              <w:bottom w:val="single" w:sz="6" w:space="0" w:color="auto"/>
              <w:right w:val="single" w:sz="6" w:space="0" w:color="auto"/>
            </w:tcBorders>
          </w:tcPr>
          <w:p w14:paraId="005345D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2 632</w:t>
            </w:r>
          </w:p>
        </w:tc>
        <w:tc>
          <w:tcPr>
            <w:tcW w:w="850" w:type="dxa"/>
            <w:tcBorders>
              <w:top w:val="single" w:sz="6" w:space="0" w:color="auto"/>
              <w:left w:val="single" w:sz="6" w:space="0" w:color="auto"/>
              <w:bottom w:val="single" w:sz="6" w:space="0" w:color="auto"/>
              <w:right w:val="single" w:sz="6" w:space="0" w:color="auto"/>
            </w:tcBorders>
          </w:tcPr>
          <w:p w14:paraId="15AAAA7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1 925</w:t>
            </w:r>
          </w:p>
        </w:tc>
        <w:tc>
          <w:tcPr>
            <w:tcW w:w="885" w:type="dxa"/>
            <w:tcBorders>
              <w:top w:val="single" w:sz="6" w:space="0" w:color="auto"/>
              <w:left w:val="single" w:sz="6" w:space="0" w:color="auto"/>
              <w:bottom w:val="single" w:sz="6" w:space="0" w:color="auto"/>
              <w:right w:val="single" w:sz="6" w:space="0" w:color="auto"/>
            </w:tcBorders>
          </w:tcPr>
          <w:p w14:paraId="4F5A3F8B"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751</w:t>
            </w:r>
          </w:p>
        </w:tc>
      </w:tr>
      <w:tr w:rsidR="00117C0D" w:rsidRPr="003954D9" w14:paraId="34EB3234" w14:textId="77777777" w:rsidTr="00117C0D">
        <w:trPr>
          <w:trHeight w:val="290"/>
        </w:trPr>
        <w:tc>
          <w:tcPr>
            <w:tcW w:w="1730" w:type="dxa"/>
            <w:tcBorders>
              <w:top w:val="single" w:sz="6" w:space="0" w:color="auto"/>
              <w:left w:val="single" w:sz="6" w:space="0" w:color="auto"/>
              <w:bottom w:val="single" w:sz="6" w:space="0" w:color="auto"/>
              <w:right w:val="single" w:sz="6" w:space="0" w:color="auto"/>
            </w:tcBorders>
          </w:tcPr>
          <w:p w14:paraId="6617637F" w14:textId="5B7995C2"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Övr</w:t>
            </w:r>
            <w:r w:rsidR="00DD3DF3">
              <w:rPr>
                <w:rFonts w:ascii="Calibri" w:hAnsi="Calibri" w:cs="Calibri"/>
                <w:color w:val="000000"/>
                <w:sz w:val="16"/>
                <w:szCs w:val="16"/>
              </w:rPr>
              <w:t xml:space="preserve">. </w:t>
            </w:r>
            <w:r w:rsidRPr="003954D9">
              <w:rPr>
                <w:rFonts w:ascii="Calibri" w:hAnsi="Calibri" w:cs="Calibri"/>
                <w:color w:val="000000"/>
                <w:sz w:val="16"/>
                <w:szCs w:val="16"/>
              </w:rPr>
              <w:t xml:space="preserve">hushåll u. barn </w:t>
            </w:r>
          </w:p>
        </w:tc>
        <w:tc>
          <w:tcPr>
            <w:tcW w:w="806" w:type="dxa"/>
            <w:tcBorders>
              <w:top w:val="single" w:sz="6" w:space="0" w:color="auto"/>
              <w:left w:val="single" w:sz="6" w:space="0" w:color="auto"/>
              <w:bottom w:val="single" w:sz="6" w:space="0" w:color="auto"/>
              <w:right w:val="single" w:sz="6" w:space="0" w:color="auto"/>
            </w:tcBorders>
          </w:tcPr>
          <w:p w14:paraId="2A50F36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4 676</w:t>
            </w:r>
          </w:p>
        </w:tc>
        <w:tc>
          <w:tcPr>
            <w:tcW w:w="885" w:type="dxa"/>
            <w:tcBorders>
              <w:top w:val="single" w:sz="6" w:space="0" w:color="auto"/>
              <w:left w:val="single" w:sz="6" w:space="0" w:color="auto"/>
              <w:bottom w:val="single" w:sz="6" w:space="0" w:color="auto"/>
              <w:right w:val="single" w:sz="6" w:space="0" w:color="auto"/>
            </w:tcBorders>
          </w:tcPr>
          <w:p w14:paraId="7E9772D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5 109</w:t>
            </w:r>
          </w:p>
        </w:tc>
        <w:tc>
          <w:tcPr>
            <w:tcW w:w="822" w:type="dxa"/>
            <w:tcBorders>
              <w:top w:val="single" w:sz="6" w:space="0" w:color="auto"/>
              <w:left w:val="single" w:sz="6" w:space="0" w:color="auto"/>
              <w:bottom w:val="single" w:sz="6" w:space="0" w:color="auto"/>
              <w:right w:val="single" w:sz="6" w:space="0" w:color="auto"/>
            </w:tcBorders>
          </w:tcPr>
          <w:p w14:paraId="131D7E9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7 493</w:t>
            </w:r>
          </w:p>
        </w:tc>
        <w:tc>
          <w:tcPr>
            <w:tcW w:w="822" w:type="dxa"/>
            <w:tcBorders>
              <w:top w:val="single" w:sz="6" w:space="0" w:color="auto"/>
              <w:left w:val="single" w:sz="6" w:space="0" w:color="auto"/>
              <w:bottom w:val="single" w:sz="6" w:space="0" w:color="auto"/>
              <w:right w:val="single" w:sz="6" w:space="0" w:color="auto"/>
            </w:tcBorders>
          </w:tcPr>
          <w:p w14:paraId="6D8D603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5 709</w:t>
            </w:r>
          </w:p>
        </w:tc>
        <w:tc>
          <w:tcPr>
            <w:tcW w:w="821" w:type="dxa"/>
            <w:tcBorders>
              <w:top w:val="single" w:sz="6" w:space="0" w:color="auto"/>
              <w:left w:val="single" w:sz="6" w:space="0" w:color="auto"/>
              <w:bottom w:val="single" w:sz="6" w:space="0" w:color="auto"/>
              <w:right w:val="single" w:sz="6" w:space="0" w:color="auto"/>
            </w:tcBorders>
          </w:tcPr>
          <w:p w14:paraId="63B0C1CB"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7 932</w:t>
            </w:r>
          </w:p>
        </w:tc>
        <w:tc>
          <w:tcPr>
            <w:tcW w:w="822" w:type="dxa"/>
            <w:tcBorders>
              <w:top w:val="single" w:sz="6" w:space="0" w:color="auto"/>
              <w:left w:val="single" w:sz="6" w:space="0" w:color="auto"/>
              <w:bottom w:val="single" w:sz="6" w:space="0" w:color="auto"/>
              <w:right w:val="single" w:sz="6" w:space="0" w:color="auto"/>
            </w:tcBorders>
          </w:tcPr>
          <w:p w14:paraId="0F07825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5 757</w:t>
            </w:r>
          </w:p>
        </w:tc>
        <w:tc>
          <w:tcPr>
            <w:tcW w:w="822" w:type="dxa"/>
            <w:tcBorders>
              <w:top w:val="single" w:sz="6" w:space="0" w:color="auto"/>
              <w:left w:val="single" w:sz="6" w:space="0" w:color="auto"/>
              <w:bottom w:val="single" w:sz="6" w:space="0" w:color="auto"/>
              <w:right w:val="single" w:sz="6" w:space="0" w:color="auto"/>
            </w:tcBorders>
          </w:tcPr>
          <w:p w14:paraId="2E20AF5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4 634</w:t>
            </w:r>
          </w:p>
        </w:tc>
        <w:tc>
          <w:tcPr>
            <w:tcW w:w="864" w:type="dxa"/>
            <w:tcBorders>
              <w:top w:val="single" w:sz="6" w:space="0" w:color="auto"/>
              <w:left w:val="single" w:sz="6" w:space="0" w:color="auto"/>
              <w:bottom w:val="single" w:sz="6" w:space="0" w:color="auto"/>
              <w:right w:val="single" w:sz="6" w:space="0" w:color="auto"/>
            </w:tcBorders>
          </w:tcPr>
          <w:p w14:paraId="36F3144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6 789</w:t>
            </w:r>
          </w:p>
        </w:tc>
        <w:tc>
          <w:tcPr>
            <w:tcW w:w="850" w:type="dxa"/>
            <w:tcBorders>
              <w:top w:val="single" w:sz="6" w:space="0" w:color="auto"/>
              <w:left w:val="single" w:sz="6" w:space="0" w:color="auto"/>
              <w:bottom w:val="single" w:sz="6" w:space="0" w:color="auto"/>
              <w:right w:val="single" w:sz="6" w:space="0" w:color="auto"/>
            </w:tcBorders>
          </w:tcPr>
          <w:p w14:paraId="265E2E8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6 610</w:t>
            </w:r>
          </w:p>
        </w:tc>
        <w:tc>
          <w:tcPr>
            <w:tcW w:w="885" w:type="dxa"/>
            <w:tcBorders>
              <w:top w:val="single" w:sz="6" w:space="0" w:color="auto"/>
              <w:left w:val="single" w:sz="6" w:space="0" w:color="auto"/>
              <w:bottom w:val="single" w:sz="6" w:space="0" w:color="auto"/>
              <w:right w:val="single" w:sz="6" w:space="0" w:color="auto"/>
            </w:tcBorders>
          </w:tcPr>
          <w:p w14:paraId="062AD99E"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4 006</w:t>
            </w:r>
          </w:p>
        </w:tc>
      </w:tr>
      <w:tr w:rsidR="00117C0D" w:rsidRPr="003954D9" w14:paraId="1709DEC7" w14:textId="77777777" w:rsidTr="00117C0D">
        <w:trPr>
          <w:trHeight w:val="290"/>
        </w:trPr>
        <w:tc>
          <w:tcPr>
            <w:tcW w:w="1730" w:type="dxa"/>
            <w:tcBorders>
              <w:top w:val="single" w:sz="6" w:space="0" w:color="auto"/>
              <w:left w:val="single" w:sz="6" w:space="0" w:color="auto"/>
              <w:bottom w:val="single" w:sz="6" w:space="0" w:color="auto"/>
              <w:right w:val="single" w:sz="6" w:space="0" w:color="auto"/>
            </w:tcBorders>
          </w:tcPr>
          <w:p w14:paraId="3DF1CA62" w14:textId="396EA0EE"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Övr</w:t>
            </w:r>
            <w:r w:rsidR="00DD3DF3">
              <w:rPr>
                <w:rFonts w:ascii="Calibri" w:hAnsi="Calibri" w:cs="Calibri"/>
                <w:color w:val="000000"/>
                <w:sz w:val="16"/>
                <w:szCs w:val="16"/>
              </w:rPr>
              <w:t>.</w:t>
            </w:r>
            <w:r w:rsidRPr="003954D9">
              <w:rPr>
                <w:rFonts w:ascii="Calibri" w:hAnsi="Calibri" w:cs="Calibri"/>
                <w:color w:val="000000"/>
                <w:sz w:val="16"/>
                <w:szCs w:val="16"/>
              </w:rPr>
              <w:t xml:space="preserve"> hushåll m. barn</w:t>
            </w:r>
          </w:p>
        </w:tc>
        <w:tc>
          <w:tcPr>
            <w:tcW w:w="806" w:type="dxa"/>
            <w:tcBorders>
              <w:top w:val="single" w:sz="6" w:space="0" w:color="auto"/>
              <w:left w:val="single" w:sz="6" w:space="0" w:color="auto"/>
              <w:bottom w:val="single" w:sz="6" w:space="0" w:color="auto"/>
              <w:right w:val="single" w:sz="6" w:space="0" w:color="auto"/>
            </w:tcBorders>
          </w:tcPr>
          <w:p w14:paraId="7FEDF51A"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2 533</w:t>
            </w:r>
          </w:p>
        </w:tc>
        <w:tc>
          <w:tcPr>
            <w:tcW w:w="885" w:type="dxa"/>
            <w:tcBorders>
              <w:top w:val="single" w:sz="6" w:space="0" w:color="auto"/>
              <w:left w:val="single" w:sz="6" w:space="0" w:color="auto"/>
              <w:bottom w:val="single" w:sz="6" w:space="0" w:color="auto"/>
              <w:right w:val="single" w:sz="6" w:space="0" w:color="auto"/>
            </w:tcBorders>
          </w:tcPr>
          <w:p w14:paraId="66E0EF0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4 680</w:t>
            </w:r>
          </w:p>
        </w:tc>
        <w:tc>
          <w:tcPr>
            <w:tcW w:w="822" w:type="dxa"/>
            <w:tcBorders>
              <w:top w:val="single" w:sz="6" w:space="0" w:color="auto"/>
              <w:left w:val="single" w:sz="6" w:space="0" w:color="auto"/>
              <w:bottom w:val="single" w:sz="6" w:space="0" w:color="auto"/>
              <w:right w:val="single" w:sz="6" w:space="0" w:color="auto"/>
            </w:tcBorders>
          </w:tcPr>
          <w:p w14:paraId="5E3F319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6 553</w:t>
            </w:r>
          </w:p>
        </w:tc>
        <w:tc>
          <w:tcPr>
            <w:tcW w:w="822" w:type="dxa"/>
            <w:tcBorders>
              <w:top w:val="single" w:sz="6" w:space="0" w:color="auto"/>
              <w:left w:val="single" w:sz="6" w:space="0" w:color="auto"/>
              <w:bottom w:val="single" w:sz="6" w:space="0" w:color="auto"/>
              <w:right w:val="single" w:sz="6" w:space="0" w:color="auto"/>
            </w:tcBorders>
          </w:tcPr>
          <w:p w14:paraId="395D66D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3 825</w:t>
            </w:r>
          </w:p>
        </w:tc>
        <w:tc>
          <w:tcPr>
            <w:tcW w:w="821" w:type="dxa"/>
            <w:tcBorders>
              <w:top w:val="single" w:sz="6" w:space="0" w:color="auto"/>
              <w:left w:val="single" w:sz="6" w:space="0" w:color="auto"/>
              <w:bottom w:val="single" w:sz="6" w:space="0" w:color="auto"/>
              <w:right w:val="single" w:sz="6" w:space="0" w:color="auto"/>
            </w:tcBorders>
          </w:tcPr>
          <w:p w14:paraId="4F3EED7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6 245</w:t>
            </w:r>
          </w:p>
        </w:tc>
        <w:tc>
          <w:tcPr>
            <w:tcW w:w="822" w:type="dxa"/>
            <w:tcBorders>
              <w:top w:val="single" w:sz="6" w:space="0" w:color="auto"/>
              <w:left w:val="single" w:sz="6" w:space="0" w:color="auto"/>
              <w:bottom w:val="single" w:sz="6" w:space="0" w:color="auto"/>
              <w:right w:val="single" w:sz="6" w:space="0" w:color="auto"/>
            </w:tcBorders>
          </w:tcPr>
          <w:p w14:paraId="3C27EFC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3 632</w:t>
            </w:r>
          </w:p>
        </w:tc>
        <w:tc>
          <w:tcPr>
            <w:tcW w:w="822" w:type="dxa"/>
            <w:tcBorders>
              <w:top w:val="single" w:sz="6" w:space="0" w:color="auto"/>
              <w:left w:val="single" w:sz="6" w:space="0" w:color="auto"/>
              <w:bottom w:val="single" w:sz="6" w:space="0" w:color="auto"/>
              <w:right w:val="single" w:sz="6" w:space="0" w:color="auto"/>
            </w:tcBorders>
          </w:tcPr>
          <w:p w14:paraId="6325819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2 825</w:t>
            </w:r>
          </w:p>
        </w:tc>
        <w:tc>
          <w:tcPr>
            <w:tcW w:w="864" w:type="dxa"/>
            <w:tcBorders>
              <w:top w:val="single" w:sz="6" w:space="0" w:color="auto"/>
              <w:left w:val="single" w:sz="6" w:space="0" w:color="auto"/>
              <w:bottom w:val="single" w:sz="6" w:space="0" w:color="auto"/>
              <w:right w:val="single" w:sz="6" w:space="0" w:color="auto"/>
            </w:tcBorders>
          </w:tcPr>
          <w:p w14:paraId="30E8C2AA"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6 583</w:t>
            </w:r>
          </w:p>
        </w:tc>
        <w:tc>
          <w:tcPr>
            <w:tcW w:w="850" w:type="dxa"/>
            <w:tcBorders>
              <w:top w:val="single" w:sz="6" w:space="0" w:color="auto"/>
              <w:left w:val="single" w:sz="6" w:space="0" w:color="auto"/>
              <w:bottom w:val="single" w:sz="6" w:space="0" w:color="auto"/>
              <w:right w:val="single" w:sz="6" w:space="0" w:color="auto"/>
            </w:tcBorders>
          </w:tcPr>
          <w:p w14:paraId="6C80BA9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5 398</w:t>
            </w:r>
          </w:p>
        </w:tc>
        <w:tc>
          <w:tcPr>
            <w:tcW w:w="885" w:type="dxa"/>
            <w:tcBorders>
              <w:top w:val="single" w:sz="6" w:space="0" w:color="auto"/>
              <w:left w:val="single" w:sz="6" w:space="0" w:color="auto"/>
              <w:bottom w:val="single" w:sz="6" w:space="0" w:color="auto"/>
              <w:right w:val="single" w:sz="6" w:space="0" w:color="auto"/>
            </w:tcBorders>
          </w:tcPr>
          <w:p w14:paraId="2182191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2 634</w:t>
            </w:r>
          </w:p>
        </w:tc>
      </w:tr>
      <w:tr w:rsidR="00117C0D" w:rsidRPr="003954D9" w14:paraId="29398E47" w14:textId="77777777" w:rsidTr="00117C0D">
        <w:trPr>
          <w:trHeight w:val="290"/>
        </w:trPr>
        <w:tc>
          <w:tcPr>
            <w:tcW w:w="1730" w:type="dxa"/>
            <w:tcBorders>
              <w:top w:val="single" w:sz="6" w:space="0" w:color="auto"/>
              <w:left w:val="single" w:sz="6" w:space="0" w:color="auto"/>
              <w:bottom w:val="single" w:sz="6" w:space="0" w:color="auto"/>
              <w:right w:val="single" w:sz="6" w:space="0" w:color="auto"/>
            </w:tcBorders>
          </w:tcPr>
          <w:p w14:paraId="70B43415"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Alla</w:t>
            </w:r>
          </w:p>
        </w:tc>
        <w:tc>
          <w:tcPr>
            <w:tcW w:w="806" w:type="dxa"/>
            <w:tcBorders>
              <w:top w:val="single" w:sz="6" w:space="0" w:color="auto"/>
              <w:left w:val="single" w:sz="6" w:space="0" w:color="auto"/>
              <w:bottom w:val="single" w:sz="6" w:space="0" w:color="auto"/>
              <w:right w:val="single" w:sz="6" w:space="0" w:color="auto"/>
            </w:tcBorders>
          </w:tcPr>
          <w:p w14:paraId="4C3F07E2"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2 200</w:t>
            </w:r>
          </w:p>
        </w:tc>
        <w:tc>
          <w:tcPr>
            <w:tcW w:w="885" w:type="dxa"/>
            <w:tcBorders>
              <w:top w:val="single" w:sz="6" w:space="0" w:color="auto"/>
              <w:left w:val="single" w:sz="6" w:space="0" w:color="auto"/>
              <w:bottom w:val="single" w:sz="6" w:space="0" w:color="auto"/>
              <w:right w:val="single" w:sz="6" w:space="0" w:color="auto"/>
            </w:tcBorders>
          </w:tcPr>
          <w:p w14:paraId="291E457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4 026</w:t>
            </w:r>
          </w:p>
        </w:tc>
        <w:tc>
          <w:tcPr>
            <w:tcW w:w="822" w:type="dxa"/>
            <w:tcBorders>
              <w:top w:val="single" w:sz="6" w:space="0" w:color="auto"/>
              <w:left w:val="single" w:sz="6" w:space="0" w:color="auto"/>
              <w:bottom w:val="single" w:sz="6" w:space="0" w:color="auto"/>
              <w:right w:val="single" w:sz="6" w:space="0" w:color="auto"/>
            </w:tcBorders>
          </w:tcPr>
          <w:p w14:paraId="095CA4D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6 056</w:t>
            </w:r>
          </w:p>
        </w:tc>
        <w:tc>
          <w:tcPr>
            <w:tcW w:w="822" w:type="dxa"/>
            <w:tcBorders>
              <w:top w:val="single" w:sz="6" w:space="0" w:color="auto"/>
              <w:left w:val="single" w:sz="6" w:space="0" w:color="auto"/>
              <w:bottom w:val="single" w:sz="6" w:space="0" w:color="auto"/>
              <w:right w:val="single" w:sz="6" w:space="0" w:color="auto"/>
            </w:tcBorders>
          </w:tcPr>
          <w:p w14:paraId="422C196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4 504</w:t>
            </w:r>
          </w:p>
        </w:tc>
        <w:tc>
          <w:tcPr>
            <w:tcW w:w="821" w:type="dxa"/>
            <w:tcBorders>
              <w:top w:val="single" w:sz="6" w:space="0" w:color="auto"/>
              <w:left w:val="single" w:sz="6" w:space="0" w:color="auto"/>
              <w:bottom w:val="single" w:sz="6" w:space="0" w:color="auto"/>
              <w:right w:val="single" w:sz="6" w:space="0" w:color="auto"/>
            </w:tcBorders>
          </w:tcPr>
          <w:p w14:paraId="30D67934"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6 330</w:t>
            </w:r>
          </w:p>
        </w:tc>
        <w:tc>
          <w:tcPr>
            <w:tcW w:w="822" w:type="dxa"/>
            <w:tcBorders>
              <w:top w:val="single" w:sz="6" w:space="0" w:color="auto"/>
              <w:left w:val="single" w:sz="6" w:space="0" w:color="auto"/>
              <w:bottom w:val="single" w:sz="6" w:space="0" w:color="auto"/>
              <w:right w:val="single" w:sz="6" w:space="0" w:color="auto"/>
            </w:tcBorders>
          </w:tcPr>
          <w:p w14:paraId="2EF4870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3 656</w:t>
            </w:r>
          </w:p>
        </w:tc>
        <w:tc>
          <w:tcPr>
            <w:tcW w:w="822" w:type="dxa"/>
            <w:tcBorders>
              <w:top w:val="single" w:sz="6" w:space="0" w:color="auto"/>
              <w:left w:val="single" w:sz="6" w:space="0" w:color="auto"/>
              <w:bottom w:val="single" w:sz="6" w:space="0" w:color="auto"/>
              <w:right w:val="single" w:sz="6" w:space="0" w:color="auto"/>
            </w:tcBorders>
          </w:tcPr>
          <w:p w14:paraId="75EBCCE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2 618</w:t>
            </w:r>
          </w:p>
        </w:tc>
        <w:tc>
          <w:tcPr>
            <w:tcW w:w="864" w:type="dxa"/>
            <w:tcBorders>
              <w:top w:val="single" w:sz="6" w:space="0" w:color="auto"/>
              <w:left w:val="single" w:sz="6" w:space="0" w:color="auto"/>
              <w:bottom w:val="single" w:sz="6" w:space="0" w:color="auto"/>
              <w:right w:val="single" w:sz="6" w:space="0" w:color="auto"/>
            </w:tcBorders>
          </w:tcPr>
          <w:p w14:paraId="7221E70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5 858</w:t>
            </w:r>
          </w:p>
        </w:tc>
        <w:tc>
          <w:tcPr>
            <w:tcW w:w="850" w:type="dxa"/>
            <w:tcBorders>
              <w:top w:val="single" w:sz="6" w:space="0" w:color="auto"/>
              <w:left w:val="single" w:sz="6" w:space="0" w:color="auto"/>
              <w:bottom w:val="single" w:sz="6" w:space="0" w:color="auto"/>
              <w:right w:val="single" w:sz="6" w:space="0" w:color="auto"/>
            </w:tcBorders>
          </w:tcPr>
          <w:p w14:paraId="19A901A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5 125</w:t>
            </w:r>
          </w:p>
        </w:tc>
        <w:tc>
          <w:tcPr>
            <w:tcW w:w="885" w:type="dxa"/>
            <w:tcBorders>
              <w:top w:val="single" w:sz="6" w:space="0" w:color="auto"/>
              <w:left w:val="single" w:sz="6" w:space="0" w:color="auto"/>
              <w:bottom w:val="single" w:sz="6" w:space="0" w:color="auto"/>
              <w:right w:val="single" w:sz="6" w:space="0" w:color="auto"/>
            </w:tcBorders>
          </w:tcPr>
          <w:p w14:paraId="03B09B1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2 482</w:t>
            </w:r>
          </w:p>
        </w:tc>
      </w:tr>
    </w:tbl>
    <w:p w14:paraId="20140EFD" w14:textId="77777777" w:rsidR="00117C0D" w:rsidRPr="003954D9" w:rsidRDefault="00117C0D" w:rsidP="00117C0D">
      <w:pPr>
        <w:rPr>
          <w:sz w:val="16"/>
          <w:szCs w:val="16"/>
        </w:rPr>
      </w:pPr>
      <w:r w:rsidRPr="00155ABC">
        <w:rPr>
          <w:b/>
          <w:color w:val="FF6600"/>
          <w:sz w:val="16"/>
          <w:szCs w:val="16"/>
        </w:rPr>
        <w:t>Röd färg högsta</w:t>
      </w:r>
      <w:r w:rsidRPr="003954D9">
        <w:rPr>
          <w:color w:val="FF6600"/>
          <w:sz w:val="16"/>
          <w:szCs w:val="16"/>
        </w:rPr>
        <w:t xml:space="preserve"> </w:t>
      </w:r>
      <w:r w:rsidRPr="003954D9">
        <w:rPr>
          <w:sz w:val="16"/>
          <w:szCs w:val="16"/>
        </w:rPr>
        <w:t xml:space="preserve">och </w:t>
      </w:r>
      <w:r w:rsidRPr="00155ABC">
        <w:rPr>
          <w:b/>
          <w:color w:val="0070C0"/>
          <w:sz w:val="16"/>
          <w:szCs w:val="16"/>
        </w:rPr>
        <w:t>blå färg lägsta</w:t>
      </w:r>
      <w:r w:rsidRPr="00155ABC">
        <w:rPr>
          <w:color w:val="0070C0"/>
          <w:sz w:val="16"/>
          <w:szCs w:val="16"/>
        </w:rPr>
        <w:t xml:space="preserve"> </w:t>
      </w:r>
      <w:r w:rsidRPr="003954D9">
        <w:rPr>
          <w:sz w:val="16"/>
          <w:szCs w:val="16"/>
        </w:rPr>
        <w:t>värde i grupp.</w:t>
      </w:r>
    </w:p>
    <w:p w14:paraId="72E6EBD8" w14:textId="16D7EA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lastRenderedPageBreak/>
        <w:t>Tabell 5:6: Andel och antal i riskzonen efter hyreshöjning på 5 procent, hushållstyp och stadsdel</w:t>
      </w:r>
    </w:p>
    <w:tbl>
      <w:tblPr>
        <w:tblW w:w="9722" w:type="dxa"/>
        <w:tblInd w:w="-38" w:type="dxa"/>
        <w:tblLayout w:type="fixed"/>
        <w:tblCellMar>
          <w:left w:w="70" w:type="dxa"/>
          <w:right w:w="70" w:type="dxa"/>
        </w:tblCellMar>
        <w:tblLook w:val="0000" w:firstRow="0" w:lastRow="0" w:firstColumn="0" w:lastColumn="0" w:noHBand="0" w:noVBand="0"/>
      </w:tblPr>
      <w:tblGrid>
        <w:gridCol w:w="1873"/>
        <w:gridCol w:w="709"/>
        <w:gridCol w:w="838"/>
        <w:gridCol w:w="721"/>
        <w:gridCol w:w="677"/>
        <w:gridCol w:w="806"/>
        <w:gridCol w:w="821"/>
        <w:gridCol w:w="759"/>
        <w:gridCol w:w="764"/>
        <w:gridCol w:w="851"/>
        <w:gridCol w:w="903"/>
      </w:tblGrid>
      <w:tr w:rsidR="00117C0D" w:rsidRPr="003954D9" w14:paraId="3C2EDD3F" w14:textId="77777777" w:rsidTr="00117C0D">
        <w:trPr>
          <w:trHeight w:val="667"/>
        </w:trPr>
        <w:tc>
          <w:tcPr>
            <w:tcW w:w="1873" w:type="dxa"/>
            <w:tcBorders>
              <w:top w:val="single" w:sz="6" w:space="0" w:color="auto"/>
              <w:left w:val="single" w:sz="6" w:space="0" w:color="auto"/>
              <w:bottom w:val="single" w:sz="6" w:space="0" w:color="auto"/>
              <w:right w:val="single" w:sz="6" w:space="0" w:color="auto"/>
            </w:tcBorders>
          </w:tcPr>
          <w:p w14:paraId="1FF2C132"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Hushållstyp</w:t>
            </w:r>
          </w:p>
        </w:tc>
        <w:tc>
          <w:tcPr>
            <w:tcW w:w="709" w:type="dxa"/>
            <w:tcBorders>
              <w:top w:val="single" w:sz="6" w:space="0" w:color="auto"/>
              <w:left w:val="single" w:sz="6" w:space="0" w:color="auto"/>
              <w:bottom w:val="single" w:sz="6" w:space="0" w:color="auto"/>
              <w:right w:val="single" w:sz="6" w:space="0" w:color="auto"/>
            </w:tcBorders>
          </w:tcPr>
          <w:p w14:paraId="3EEA5B3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38" w:type="dxa"/>
            <w:tcBorders>
              <w:top w:val="single" w:sz="6" w:space="0" w:color="auto"/>
              <w:left w:val="single" w:sz="6" w:space="0" w:color="auto"/>
              <w:bottom w:val="single" w:sz="6" w:space="0" w:color="auto"/>
              <w:right w:val="single" w:sz="6" w:space="0" w:color="auto"/>
            </w:tcBorders>
          </w:tcPr>
          <w:p w14:paraId="3FBAA58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21" w:type="dxa"/>
            <w:tcBorders>
              <w:top w:val="single" w:sz="6" w:space="0" w:color="auto"/>
              <w:left w:val="single" w:sz="6" w:space="0" w:color="auto"/>
              <w:bottom w:val="single" w:sz="6" w:space="0" w:color="auto"/>
              <w:right w:val="single" w:sz="6" w:space="0" w:color="auto"/>
            </w:tcBorders>
          </w:tcPr>
          <w:p w14:paraId="766CDD4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677" w:type="dxa"/>
            <w:tcBorders>
              <w:top w:val="single" w:sz="6" w:space="0" w:color="auto"/>
              <w:left w:val="single" w:sz="6" w:space="0" w:color="auto"/>
              <w:bottom w:val="single" w:sz="6" w:space="0" w:color="auto"/>
              <w:right w:val="single" w:sz="6" w:space="0" w:color="auto"/>
            </w:tcBorders>
          </w:tcPr>
          <w:p w14:paraId="497186D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06" w:type="dxa"/>
            <w:tcBorders>
              <w:top w:val="single" w:sz="6" w:space="0" w:color="auto"/>
              <w:left w:val="single" w:sz="6" w:space="0" w:color="auto"/>
              <w:bottom w:val="single" w:sz="6" w:space="0" w:color="auto"/>
              <w:right w:val="single" w:sz="6" w:space="0" w:color="auto"/>
            </w:tcBorders>
          </w:tcPr>
          <w:p w14:paraId="234FD49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Majorna-Linne</w:t>
            </w:r>
          </w:p>
        </w:tc>
        <w:tc>
          <w:tcPr>
            <w:tcW w:w="821" w:type="dxa"/>
            <w:tcBorders>
              <w:top w:val="single" w:sz="6" w:space="0" w:color="auto"/>
              <w:left w:val="single" w:sz="6" w:space="0" w:color="auto"/>
              <w:bottom w:val="single" w:sz="6" w:space="0" w:color="auto"/>
              <w:right w:val="single" w:sz="6" w:space="0" w:color="auto"/>
            </w:tcBorders>
          </w:tcPr>
          <w:p w14:paraId="489B1B1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59" w:type="dxa"/>
            <w:tcBorders>
              <w:top w:val="single" w:sz="6" w:space="0" w:color="auto"/>
              <w:left w:val="single" w:sz="6" w:space="0" w:color="auto"/>
              <w:bottom w:val="single" w:sz="6" w:space="0" w:color="auto"/>
              <w:right w:val="single" w:sz="6" w:space="0" w:color="auto"/>
            </w:tcBorders>
          </w:tcPr>
          <w:p w14:paraId="016C103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64" w:type="dxa"/>
            <w:tcBorders>
              <w:top w:val="single" w:sz="6" w:space="0" w:color="auto"/>
              <w:left w:val="single" w:sz="6" w:space="0" w:color="auto"/>
              <w:bottom w:val="single" w:sz="6" w:space="0" w:color="auto"/>
              <w:right w:val="single" w:sz="6" w:space="0" w:color="auto"/>
            </w:tcBorders>
          </w:tcPr>
          <w:p w14:paraId="29B6B7F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61BB679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03" w:type="dxa"/>
            <w:tcBorders>
              <w:top w:val="single" w:sz="6" w:space="0" w:color="auto"/>
              <w:left w:val="single" w:sz="6" w:space="0" w:color="auto"/>
              <w:bottom w:val="single" w:sz="6" w:space="0" w:color="auto"/>
              <w:right w:val="single" w:sz="6" w:space="0" w:color="auto"/>
            </w:tcBorders>
          </w:tcPr>
          <w:p w14:paraId="6D82561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117C0D" w:rsidRPr="003954D9" w14:paraId="006DD708" w14:textId="77777777" w:rsidTr="00117C0D">
        <w:trPr>
          <w:trHeight w:val="290"/>
        </w:trPr>
        <w:tc>
          <w:tcPr>
            <w:tcW w:w="1873" w:type="dxa"/>
            <w:tcBorders>
              <w:top w:val="single" w:sz="6" w:space="0" w:color="auto"/>
              <w:left w:val="single" w:sz="6" w:space="0" w:color="auto"/>
              <w:bottom w:val="single" w:sz="6" w:space="0" w:color="auto"/>
              <w:right w:val="single" w:sz="6" w:space="0" w:color="auto"/>
            </w:tcBorders>
          </w:tcPr>
          <w:p w14:paraId="6CEA88A2" w14:textId="0340177E"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Ensambo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7C88AB61"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30,0</w:t>
            </w:r>
          </w:p>
        </w:tc>
        <w:tc>
          <w:tcPr>
            <w:tcW w:w="838" w:type="dxa"/>
            <w:tcBorders>
              <w:top w:val="single" w:sz="6" w:space="0" w:color="auto"/>
              <w:left w:val="single" w:sz="6" w:space="0" w:color="auto"/>
              <w:bottom w:val="single" w:sz="6" w:space="0" w:color="auto"/>
              <w:right w:val="single" w:sz="6" w:space="0" w:color="auto"/>
            </w:tcBorders>
          </w:tcPr>
          <w:p w14:paraId="2223A43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20,3</w:t>
            </w:r>
          </w:p>
        </w:tc>
        <w:tc>
          <w:tcPr>
            <w:tcW w:w="721" w:type="dxa"/>
            <w:tcBorders>
              <w:top w:val="single" w:sz="6" w:space="0" w:color="auto"/>
              <w:left w:val="single" w:sz="6" w:space="0" w:color="auto"/>
              <w:bottom w:val="single" w:sz="6" w:space="0" w:color="auto"/>
              <w:right w:val="single" w:sz="6" w:space="0" w:color="auto"/>
            </w:tcBorders>
          </w:tcPr>
          <w:p w14:paraId="4C60D00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18,4</w:t>
            </w:r>
          </w:p>
        </w:tc>
        <w:tc>
          <w:tcPr>
            <w:tcW w:w="677" w:type="dxa"/>
            <w:tcBorders>
              <w:top w:val="single" w:sz="6" w:space="0" w:color="auto"/>
              <w:left w:val="single" w:sz="6" w:space="0" w:color="auto"/>
              <w:bottom w:val="single" w:sz="6" w:space="0" w:color="auto"/>
              <w:right w:val="single" w:sz="6" w:space="0" w:color="auto"/>
            </w:tcBorders>
          </w:tcPr>
          <w:p w14:paraId="3919F09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17,8</w:t>
            </w:r>
          </w:p>
        </w:tc>
        <w:tc>
          <w:tcPr>
            <w:tcW w:w="806" w:type="dxa"/>
            <w:tcBorders>
              <w:top w:val="single" w:sz="6" w:space="0" w:color="auto"/>
              <w:left w:val="single" w:sz="6" w:space="0" w:color="auto"/>
              <w:bottom w:val="single" w:sz="6" w:space="0" w:color="auto"/>
              <w:right w:val="single" w:sz="6" w:space="0" w:color="auto"/>
            </w:tcBorders>
          </w:tcPr>
          <w:p w14:paraId="332FAC5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821" w:type="dxa"/>
            <w:tcBorders>
              <w:top w:val="single" w:sz="6" w:space="0" w:color="auto"/>
              <w:left w:val="single" w:sz="6" w:space="0" w:color="auto"/>
              <w:bottom w:val="single" w:sz="6" w:space="0" w:color="auto"/>
              <w:right w:val="single" w:sz="6" w:space="0" w:color="auto"/>
            </w:tcBorders>
          </w:tcPr>
          <w:p w14:paraId="46F37D7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20,9</w:t>
            </w:r>
          </w:p>
        </w:tc>
        <w:tc>
          <w:tcPr>
            <w:tcW w:w="759" w:type="dxa"/>
            <w:tcBorders>
              <w:top w:val="single" w:sz="6" w:space="0" w:color="auto"/>
              <w:left w:val="single" w:sz="6" w:space="0" w:color="auto"/>
              <w:bottom w:val="single" w:sz="6" w:space="0" w:color="auto"/>
              <w:right w:val="single" w:sz="6" w:space="0" w:color="auto"/>
            </w:tcBorders>
          </w:tcPr>
          <w:p w14:paraId="0622163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23,0</w:t>
            </w:r>
          </w:p>
        </w:tc>
        <w:tc>
          <w:tcPr>
            <w:tcW w:w="764" w:type="dxa"/>
            <w:tcBorders>
              <w:top w:val="single" w:sz="6" w:space="0" w:color="auto"/>
              <w:left w:val="single" w:sz="6" w:space="0" w:color="auto"/>
              <w:bottom w:val="single" w:sz="6" w:space="0" w:color="auto"/>
              <w:right w:val="single" w:sz="6" w:space="0" w:color="auto"/>
            </w:tcBorders>
          </w:tcPr>
          <w:p w14:paraId="64BB858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15,7</w:t>
            </w:r>
          </w:p>
        </w:tc>
        <w:tc>
          <w:tcPr>
            <w:tcW w:w="851" w:type="dxa"/>
            <w:tcBorders>
              <w:top w:val="single" w:sz="6" w:space="0" w:color="auto"/>
              <w:left w:val="single" w:sz="6" w:space="0" w:color="auto"/>
              <w:bottom w:val="single" w:sz="6" w:space="0" w:color="auto"/>
              <w:right w:val="single" w:sz="6" w:space="0" w:color="auto"/>
            </w:tcBorders>
          </w:tcPr>
          <w:p w14:paraId="08FECA24"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9,8</w:t>
            </w:r>
          </w:p>
        </w:tc>
        <w:tc>
          <w:tcPr>
            <w:tcW w:w="903" w:type="dxa"/>
            <w:tcBorders>
              <w:top w:val="single" w:sz="6" w:space="0" w:color="auto"/>
              <w:left w:val="single" w:sz="6" w:space="0" w:color="auto"/>
              <w:bottom w:val="single" w:sz="6" w:space="0" w:color="auto"/>
              <w:right w:val="single" w:sz="6" w:space="0" w:color="auto"/>
            </w:tcBorders>
          </w:tcPr>
          <w:p w14:paraId="319D73B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25,6</w:t>
            </w:r>
          </w:p>
        </w:tc>
      </w:tr>
      <w:tr w:rsidR="00117C0D" w:rsidRPr="003954D9" w14:paraId="5E412533" w14:textId="77777777" w:rsidTr="00117C0D">
        <w:trPr>
          <w:trHeight w:val="290"/>
        </w:trPr>
        <w:tc>
          <w:tcPr>
            <w:tcW w:w="1873" w:type="dxa"/>
            <w:tcBorders>
              <w:top w:val="single" w:sz="6" w:space="0" w:color="auto"/>
              <w:left w:val="single" w:sz="6" w:space="0" w:color="auto"/>
              <w:bottom w:val="single" w:sz="6" w:space="0" w:color="auto"/>
              <w:right w:val="single" w:sz="6" w:space="0" w:color="auto"/>
            </w:tcBorders>
          </w:tcPr>
          <w:p w14:paraId="10DEF852" w14:textId="608B2130"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Ensambo u. barn </w:t>
            </w:r>
            <w:r w:rsidR="00365C66" w:rsidRPr="003954D9">
              <w:rPr>
                <w:rFonts w:ascii="Calibri" w:hAnsi="Calibri" w:cs="Calibri"/>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tcPr>
          <w:p w14:paraId="54E90DEC"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15,9</w:t>
            </w:r>
          </w:p>
        </w:tc>
        <w:tc>
          <w:tcPr>
            <w:tcW w:w="838" w:type="dxa"/>
            <w:tcBorders>
              <w:top w:val="single" w:sz="6" w:space="0" w:color="auto"/>
              <w:left w:val="single" w:sz="6" w:space="0" w:color="auto"/>
              <w:bottom w:val="single" w:sz="6" w:space="0" w:color="auto"/>
              <w:right w:val="single" w:sz="6" w:space="0" w:color="auto"/>
            </w:tcBorders>
          </w:tcPr>
          <w:p w14:paraId="0BC7FB8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13,5</w:t>
            </w:r>
          </w:p>
        </w:tc>
        <w:tc>
          <w:tcPr>
            <w:tcW w:w="721" w:type="dxa"/>
            <w:tcBorders>
              <w:top w:val="single" w:sz="6" w:space="0" w:color="auto"/>
              <w:left w:val="single" w:sz="6" w:space="0" w:color="auto"/>
              <w:bottom w:val="single" w:sz="6" w:space="0" w:color="auto"/>
              <w:right w:val="single" w:sz="6" w:space="0" w:color="auto"/>
            </w:tcBorders>
          </w:tcPr>
          <w:p w14:paraId="120A261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10,1</w:t>
            </w:r>
          </w:p>
        </w:tc>
        <w:tc>
          <w:tcPr>
            <w:tcW w:w="677" w:type="dxa"/>
            <w:tcBorders>
              <w:top w:val="single" w:sz="6" w:space="0" w:color="auto"/>
              <w:left w:val="single" w:sz="6" w:space="0" w:color="auto"/>
              <w:bottom w:val="single" w:sz="6" w:space="0" w:color="auto"/>
              <w:right w:val="single" w:sz="6" w:space="0" w:color="auto"/>
            </w:tcBorders>
          </w:tcPr>
          <w:p w14:paraId="2A642057"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7,7</w:t>
            </w:r>
          </w:p>
        </w:tc>
        <w:tc>
          <w:tcPr>
            <w:tcW w:w="806" w:type="dxa"/>
            <w:tcBorders>
              <w:top w:val="single" w:sz="6" w:space="0" w:color="auto"/>
              <w:left w:val="single" w:sz="6" w:space="0" w:color="auto"/>
              <w:bottom w:val="single" w:sz="6" w:space="0" w:color="auto"/>
              <w:right w:val="single" w:sz="6" w:space="0" w:color="auto"/>
            </w:tcBorders>
          </w:tcPr>
          <w:p w14:paraId="5E39773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15,8</w:t>
            </w:r>
          </w:p>
        </w:tc>
        <w:tc>
          <w:tcPr>
            <w:tcW w:w="821" w:type="dxa"/>
            <w:tcBorders>
              <w:top w:val="single" w:sz="6" w:space="0" w:color="auto"/>
              <w:left w:val="single" w:sz="6" w:space="0" w:color="auto"/>
              <w:bottom w:val="single" w:sz="6" w:space="0" w:color="auto"/>
              <w:right w:val="single" w:sz="6" w:space="0" w:color="auto"/>
            </w:tcBorders>
          </w:tcPr>
          <w:p w14:paraId="5D9FF32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9,3</w:t>
            </w:r>
          </w:p>
        </w:tc>
        <w:tc>
          <w:tcPr>
            <w:tcW w:w="759" w:type="dxa"/>
            <w:tcBorders>
              <w:top w:val="single" w:sz="6" w:space="0" w:color="auto"/>
              <w:left w:val="single" w:sz="6" w:space="0" w:color="auto"/>
              <w:bottom w:val="single" w:sz="6" w:space="0" w:color="auto"/>
              <w:right w:val="single" w:sz="6" w:space="0" w:color="auto"/>
            </w:tcBorders>
          </w:tcPr>
          <w:p w14:paraId="5C407F3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10,2</w:t>
            </w:r>
          </w:p>
        </w:tc>
        <w:tc>
          <w:tcPr>
            <w:tcW w:w="764" w:type="dxa"/>
            <w:tcBorders>
              <w:top w:val="single" w:sz="6" w:space="0" w:color="auto"/>
              <w:left w:val="single" w:sz="6" w:space="0" w:color="auto"/>
              <w:bottom w:val="single" w:sz="6" w:space="0" w:color="auto"/>
              <w:right w:val="single" w:sz="6" w:space="0" w:color="auto"/>
            </w:tcBorders>
          </w:tcPr>
          <w:p w14:paraId="315CCBC7" w14:textId="77777777" w:rsidR="00117C0D" w:rsidRPr="003954D9" w:rsidRDefault="00117C0D" w:rsidP="00117C0D">
            <w:pPr>
              <w:autoSpaceDE w:val="0"/>
              <w:autoSpaceDN w:val="0"/>
              <w:adjustRightInd w:val="0"/>
              <w:jc w:val="right"/>
              <w:rPr>
                <w:rFonts w:ascii="Calibri" w:hAnsi="Calibri" w:cs="Calibri"/>
                <w:bCs/>
                <w:color w:val="0066CC"/>
                <w:sz w:val="16"/>
                <w:szCs w:val="16"/>
              </w:rPr>
            </w:pPr>
            <w:r w:rsidRPr="003954D9">
              <w:rPr>
                <w:rFonts w:ascii="Calibri" w:hAnsi="Calibri" w:cs="Calibri"/>
                <w:bCs/>
                <w:color w:val="000000" w:themeColor="text1"/>
                <w:sz w:val="16"/>
                <w:szCs w:val="16"/>
              </w:rPr>
              <w:t>10,6</w:t>
            </w:r>
          </w:p>
        </w:tc>
        <w:tc>
          <w:tcPr>
            <w:tcW w:w="851" w:type="dxa"/>
            <w:tcBorders>
              <w:top w:val="single" w:sz="6" w:space="0" w:color="auto"/>
              <w:left w:val="single" w:sz="6" w:space="0" w:color="auto"/>
              <w:bottom w:val="single" w:sz="6" w:space="0" w:color="auto"/>
              <w:right w:val="single" w:sz="6" w:space="0" w:color="auto"/>
            </w:tcBorders>
          </w:tcPr>
          <w:p w14:paraId="50025B9F"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0581C3C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12,6</w:t>
            </w:r>
          </w:p>
        </w:tc>
      </w:tr>
      <w:tr w:rsidR="00117C0D" w:rsidRPr="003954D9" w14:paraId="408AC515" w14:textId="77777777" w:rsidTr="00117C0D">
        <w:trPr>
          <w:trHeight w:val="290"/>
        </w:trPr>
        <w:tc>
          <w:tcPr>
            <w:tcW w:w="1873" w:type="dxa"/>
            <w:tcBorders>
              <w:top w:val="single" w:sz="6" w:space="0" w:color="auto"/>
              <w:left w:val="single" w:sz="6" w:space="0" w:color="auto"/>
              <w:bottom w:val="single" w:sz="6" w:space="0" w:color="auto"/>
              <w:right w:val="single" w:sz="6" w:space="0" w:color="auto"/>
            </w:tcBorders>
          </w:tcPr>
          <w:p w14:paraId="043D094C" w14:textId="57AEFFAA"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Ensamst, m.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349A4E13"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31,8</w:t>
            </w:r>
          </w:p>
        </w:tc>
        <w:tc>
          <w:tcPr>
            <w:tcW w:w="838" w:type="dxa"/>
            <w:tcBorders>
              <w:top w:val="single" w:sz="6" w:space="0" w:color="auto"/>
              <w:left w:val="single" w:sz="6" w:space="0" w:color="auto"/>
              <w:bottom w:val="single" w:sz="6" w:space="0" w:color="auto"/>
              <w:right w:val="single" w:sz="6" w:space="0" w:color="auto"/>
            </w:tcBorders>
          </w:tcPr>
          <w:p w14:paraId="1EB201D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24,6</w:t>
            </w:r>
          </w:p>
        </w:tc>
        <w:tc>
          <w:tcPr>
            <w:tcW w:w="721" w:type="dxa"/>
            <w:tcBorders>
              <w:top w:val="single" w:sz="6" w:space="0" w:color="auto"/>
              <w:left w:val="single" w:sz="6" w:space="0" w:color="auto"/>
              <w:bottom w:val="single" w:sz="6" w:space="0" w:color="auto"/>
              <w:right w:val="single" w:sz="6" w:space="0" w:color="auto"/>
            </w:tcBorders>
          </w:tcPr>
          <w:p w14:paraId="2DFDBE9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16,9</w:t>
            </w:r>
          </w:p>
        </w:tc>
        <w:tc>
          <w:tcPr>
            <w:tcW w:w="677" w:type="dxa"/>
            <w:tcBorders>
              <w:top w:val="single" w:sz="6" w:space="0" w:color="auto"/>
              <w:left w:val="single" w:sz="6" w:space="0" w:color="auto"/>
              <w:bottom w:val="single" w:sz="6" w:space="0" w:color="auto"/>
              <w:right w:val="single" w:sz="6" w:space="0" w:color="auto"/>
            </w:tcBorders>
          </w:tcPr>
          <w:p w14:paraId="7A85A21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27,5</w:t>
            </w:r>
          </w:p>
        </w:tc>
        <w:tc>
          <w:tcPr>
            <w:tcW w:w="806" w:type="dxa"/>
            <w:tcBorders>
              <w:top w:val="single" w:sz="6" w:space="0" w:color="auto"/>
              <w:left w:val="single" w:sz="6" w:space="0" w:color="auto"/>
              <w:bottom w:val="single" w:sz="6" w:space="0" w:color="auto"/>
              <w:right w:val="single" w:sz="6" w:space="0" w:color="auto"/>
            </w:tcBorders>
          </w:tcPr>
          <w:p w14:paraId="73A904A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18,4</w:t>
            </w:r>
          </w:p>
        </w:tc>
        <w:tc>
          <w:tcPr>
            <w:tcW w:w="821" w:type="dxa"/>
            <w:tcBorders>
              <w:top w:val="single" w:sz="6" w:space="0" w:color="auto"/>
              <w:left w:val="single" w:sz="6" w:space="0" w:color="auto"/>
              <w:bottom w:val="single" w:sz="6" w:space="0" w:color="auto"/>
              <w:right w:val="single" w:sz="6" w:space="0" w:color="auto"/>
            </w:tcBorders>
          </w:tcPr>
          <w:p w14:paraId="36247DD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25,6</w:t>
            </w:r>
          </w:p>
        </w:tc>
        <w:tc>
          <w:tcPr>
            <w:tcW w:w="759" w:type="dxa"/>
            <w:tcBorders>
              <w:top w:val="single" w:sz="6" w:space="0" w:color="auto"/>
              <w:left w:val="single" w:sz="6" w:space="0" w:color="auto"/>
              <w:bottom w:val="single" w:sz="6" w:space="0" w:color="auto"/>
              <w:right w:val="single" w:sz="6" w:space="0" w:color="auto"/>
            </w:tcBorders>
          </w:tcPr>
          <w:p w14:paraId="30FD899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32,3</w:t>
            </w:r>
          </w:p>
        </w:tc>
        <w:tc>
          <w:tcPr>
            <w:tcW w:w="764" w:type="dxa"/>
            <w:tcBorders>
              <w:top w:val="single" w:sz="6" w:space="0" w:color="auto"/>
              <w:left w:val="single" w:sz="6" w:space="0" w:color="auto"/>
              <w:bottom w:val="single" w:sz="6" w:space="0" w:color="auto"/>
              <w:right w:val="single" w:sz="6" w:space="0" w:color="auto"/>
            </w:tcBorders>
          </w:tcPr>
          <w:p w14:paraId="09941477"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14,7</w:t>
            </w:r>
          </w:p>
        </w:tc>
        <w:tc>
          <w:tcPr>
            <w:tcW w:w="851" w:type="dxa"/>
            <w:tcBorders>
              <w:top w:val="single" w:sz="6" w:space="0" w:color="auto"/>
              <w:left w:val="single" w:sz="6" w:space="0" w:color="auto"/>
              <w:bottom w:val="single" w:sz="6" w:space="0" w:color="auto"/>
              <w:right w:val="single" w:sz="6" w:space="0" w:color="auto"/>
            </w:tcBorders>
          </w:tcPr>
          <w:p w14:paraId="10E1CBF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21,4</w:t>
            </w:r>
          </w:p>
        </w:tc>
        <w:tc>
          <w:tcPr>
            <w:tcW w:w="903" w:type="dxa"/>
            <w:tcBorders>
              <w:top w:val="single" w:sz="6" w:space="0" w:color="auto"/>
              <w:left w:val="single" w:sz="6" w:space="0" w:color="auto"/>
              <w:bottom w:val="single" w:sz="6" w:space="0" w:color="auto"/>
              <w:right w:val="single" w:sz="6" w:space="0" w:color="auto"/>
            </w:tcBorders>
          </w:tcPr>
          <w:p w14:paraId="415A4EB8"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34,2</w:t>
            </w:r>
          </w:p>
        </w:tc>
      </w:tr>
      <w:tr w:rsidR="00117C0D" w:rsidRPr="003954D9" w14:paraId="24B6BEA8" w14:textId="77777777" w:rsidTr="00117C0D">
        <w:trPr>
          <w:trHeight w:val="290"/>
        </w:trPr>
        <w:tc>
          <w:tcPr>
            <w:tcW w:w="1873" w:type="dxa"/>
            <w:tcBorders>
              <w:top w:val="single" w:sz="6" w:space="0" w:color="auto"/>
              <w:left w:val="single" w:sz="6" w:space="0" w:color="auto"/>
              <w:bottom w:val="single" w:sz="6" w:space="0" w:color="auto"/>
              <w:right w:val="single" w:sz="6" w:space="0" w:color="auto"/>
            </w:tcBorders>
          </w:tcPr>
          <w:p w14:paraId="26B7811C" w14:textId="4E4A0355"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68E0D7C6"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17,8</w:t>
            </w:r>
          </w:p>
        </w:tc>
        <w:tc>
          <w:tcPr>
            <w:tcW w:w="838" w:type="dxa"/>
            <w:tcBorders>
              <w:top w:val="single" w:sz="6" w:space="0" w:color="auto"/>
              <w:left w:val="single" w:sz="6" w:space="0" w:color="auto"/>
              <w:bottom w:val="single" w:sz="6" w:space="0" w:color="auto"/>
              <w:right w:val="single" w:sz="6" w:space="0" w:color="auto"/>
            </w:tcBorders>
          </w:tcPr>
          <w:p w14:paraId="14C2C78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8,5</w:t>
            </w:r>
          </w:p>
        </w:tc>
        <w:tc>
          <w:tcPr>
            <w:tcW w:w="721" w:type="dxa"/>
            <w:tcBorders>
              <w:top w:val="single" w:sz="6" w:space="0" w:color="auto"/>
              <w:left w:val="single" w:sz="6" w:space="0" w:color="auto"/>
              <w:bottom w:val="single" w:sz="6" w:space="0" w:color="auto"/>
              <w:right w:val="single" w:sz="6" w:space="0" w:color="auto"/>
            </w:tcBorders>
          </w:tcPr>
          <w:p w14:paraId="0F6C9461"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4,9</w:t>
            </w:r>
          </w:p>
        </w:tc>
        <w:tc>
          <w:tcPr>
            <w:tcW w:w="677" w:type="dxa"/>
            <w:tcBorders>
              <w:top w:val="single" w:sz="6" w:space="0" w:color="auto"/>
              <w:left w:val="single" w:sz="6" w:space="0" w:color="auto"/>
              <w:bottom w:val="single" w:sz="6" w:space="0" w:color="auto"/>
              <w:right w:val="single" w:sz="6" w:space="0" w:color="auto"/>
            </w:tcBorders>
          </w:tcPr>
          <w:p w14:paraId="5385120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8,9</w:t>
            </w:r>
          </w:p>
        </w:tc>
        <w:tc>
          <w:tcPr>
            <w:tcW w:w="806" w:type="dxa"/>
            <w:tcBorders>
              <w:top w:val="single" w:sz="6" w:space="0" w:color="auto"/>
              <w:left w:val="single" w:sz="6" w:space="0" w:color="auto"/>
              <w:bottom w:val="single" w:sz="6" w:space="0" w:color="auto"/>
              <w:right w:val="single" w:sz="6" w:space="0" w:color="auto"/>
            </w:tcBorders>
          </w:tcPr>
          <w:p w14:paraId="3311404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w:t>
            </w:r>
          </w:p>
        </w:tc>
        <w:tc>
          <w:tcPr>
            <w:tcW w:w="821" w:type="dxa"/>
            <w:tcBorders>
              <w:top w:val="single" w:sz="6" w:space="0" w:color="auto"/>
              <w:left w:val="single" w:sz="6" w:space="0" w:color="auto"/>
              <w:bottom w:val="single" w:sz="6" w:space="0" w:color="auto"/>
              <w:right w:val="single" w:sz="6" w:space="0" w:color="auto"/>
            </w:tcBorders>
          </w:tcPr>
          <w:p w14:paraId="37DBC44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11,3</w:t>
            </w:r>
          </w:p>
        </w:tc>
        <w:tc>
          <w:tcPr>
            <w:tcW w:w="759" w:type="dxa"/>
            <w:tcBorders>
              <w:top w:val="single" w:sz="6" w:space="0" w:color="auto"/>
              <w:left w:val="single" w:sz="6" w:space="0" w:color="auto"/>
              <w:bottom w:val="single" w:sz="6" w:space="0" w:color="auto"/>
              <w:right w:val="single" w:sz="6" w:space="0" w:color="auto"/>
            </w:tcBorders>
          </w:tcPr>
          <w:p w14:paraId="0506960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10,3</w:t>
            </w:r>
          </w:p>
        </w:tc>
        <w:tc>
          <w:tcPr>
            <w:tcW w:w="764" w:type="dxa"/>
            <w:tcBorders>
              <w:top w:val="single" w:sz="6" w:space="0" w:color="auto"/>
              <w:left w:val="single" w:sz="6" w:space="0" w:color="auto"/>
              <w:bottom w:val="single" w:sz="6" w:space="0" w:color="auto"/>
              <w:right w:val="single" w:sz="6" w:space="0" w:color="auto"/>
            </w:tcBorders>
          </w:tcPr>
          <w:p w14:paraId="68B5DB5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6,9</w:t>
            </w:r>
          </w:p>
        </w:tc>
        <w:tc>
          <w:tcPr>
            <w:tcW w:w="851" w:type="dxa"/>
            <w:tcBorders>
              <w:top w:val="single" w:sz="6" w:space="0" w:color="auto"/>
              <w:left w:val="single" w:sz="6" w:space="0" w:color="auto"/>
              <w:bottom w:val="single" w:sz="6" w:space="0" w:color="auto"/>
              <w:right w:val="single" w:sz="6" w:space="0" w:color="auto"/>
            </w:tcBorders>
          </w:tcPr>
          <w:p w14:paraId="23AC61D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27312DC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15,0</w:t>
            </w:r>
          </w:p>
        </w:tc>
      </w:tr>
      <w:tr w:rsidR="00117C0D" w:rsidRPr="003954D9" w14:paraId="727C2C1D" w14:textId="77777777" w:rsidTr="00117C0D">
        <w:trPr>
          <w:trHeight w:val="290"/>
        </w:trPr>
        <w:tc>
          <w:tcPr>
            <w:tcW w:w="1873" w:type="dxa"/>
            <w:tcBorders>
              <w:top w:val="single" w:sz="6" w:space="0" w:color="auto"/>
              <w:left w:val="single" w:sz="6" w:space="0" w:color="auto"/>
              <w:bottom w:val="single" w:sz="6" w:space="0" w:color="auto"/>
              <w:right w:val="single" w:sz="6" w:space="0" w:color="auto"/>
            </w:tcBorders>
          </w:tcPr>
          <w:p w14:paraId="11BCFAD1" w14:textId="0B3A8584"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65-år</w:t>
            </w:r>
          </w:p>
        </w:tc>
        <w:tc>
          <w:tcPr>
            <w:tcW w:w="709" w:type="dxa"/>
            <w:tcBorders>
              <w:top w:val="single" w:sz="6" w:space="0" w:color="auto"/>
              <w:left w:val="single" w:sz="6" w:space="0" w:color="auto"/>
              <w:bottom w:val="single" w:sz="6" w:space="0" w:color="auto"/>
              <w:right w:val="single" w:sz="6" w:space="0" w:color="auto"/>
            </w:tcBorders>
          </w:tcPr>
          <w:p w14:paraId="19EED7DB"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25,2</w:t>
            </w:r>
          </w:p>
        </w:tc>
        <w:tc>
          <w:tcPr>
            <w:tcW w:w="838" w:type="dxa"/>
            <w:tcBorders>
              <w:top w:val="single" w:sz="6" w:space="0" w:color="auto"/>
              <w:left w:val="single" w:sz="6" w:space="0" w:color="auto"/>
              <w:bottom w:val="single" w:sz="6" w:space="0" w:color="auto"/>
              <w:right w:val="single" w:sz="6" w:space="0" w:color="auto"/>
            </w:tcBorders>
          </w:tcPr>
          <w:p w14:paraId="7ADB9B50"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21" w:type="dxa"/>
            <w:tcBorders>
              <w:top w:val="single" w:sz="6" w:space="0" w:color="auto"/>
              <w:left w:val="single" w:sz="6" w:space="0" w:color="auto"/>
              <w:bottom w:val="single" w:sz="6" w:space="0" w:color="auto"/>
              <w:right w:val="single" w:sz="6" w:space="0" w:color="auto"/>
            </w:tcBorders>
          </w:tcPr>
          <w:p w14:paraId="55E2331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tcPr>
          <w:p w14:paraId="61CEC9E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06" w:type="dxa"/>
            <w:tcBorders>
              <w:top w:val="single" w:sz="6" w:space="0" w:color="auto"/>
              <w:left w:val="single" w:sz="6" w:space="0" w:color="auto"/>
              <w:bottom w:val="single" w:sz="6" w:space="0" w:color="auto"/>
              <w:right w:val="single" w:sz="6" w:space="0" w:color="auto"/>
            </w:tcBorders>
          </w:tcPr>
          <w:p w14:paraId="552486D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21" w:type="dxa"/>
            <w:tcBorders>
              <w:top w:val="single" w:sz="6" w:space="0" w:color="auto"/>
              <w:left w:val="single" w:sz="6" w:space="0" w:color="auto"/>
              <w:bottom w:val="single" w:sz="6" w:space="0" w:color="auto"/>
              <w:right w:val="single" w:sz="6" w:space="0" w:color="auto"/>
            </w:tcBorders>
          </w:tcPr>
          <w:p w14:paraId="7556FEB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9,8</w:t>
            </w:r>
          </w:p>
        </w:tc>
        <w:tc>
          <w:tcPr>
            <w:tcW w:w="759" w:type="dxa"/>
            <w:tcBorders>
              <w:top w:val="single" w:sz="6" w:space="0" w:color="auto"/>
              <w:left w:val="single" w:sz="6" w:space="0" w:color="auto"/>
              <w:bottom w:val="single" w:sz="6" w:space="0" w:color="auto"/>
              <w:right w:val="single" w:sz="6" w:space="0" w:color="auto"/>
            </w:tcBorders>
          </w:tcPr>
          <w:p w14:paraId="2575927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11,0</w:t>
            </w:r>
          </w:p>
        </w:tc>
        <w:tc>
          <w:tcPr>
            <w:tcW w:w="764" w:type="dxa"/>
            <w:tcBorders>
              <w:top w:val="single" w:sz="6" w:space="0" w:color="auto"/>
              <w:left w:val="single" w:sz="6" w:space="0" w:color="auto"/>
              <w:bottom w:val="single" w:sz="6" w:space="0" w:color="auto"/>
              <w:right w:val="single" w:sz="6" w:space="0" w:color="auto"/>
            </w:tcBorders>
          </w:tcPr>
          <w:p w14:paraId="2A7F86C4" w14:textId="77777777" w:rsidR="00117C0D" w:rsidRPr="003954D9" w:rsidRDefault="00117C0D" w:rsidP="00117C0D">
            <w:pPr>
              <w:autoSpaceDE w:val="0"/>
              <w:autoSpaceDN w:val="0"/>
              <w:adjustRightInd w:val="0"/>
              <w:rPr>
                <w:rFonts w:ascii="Calibri" w:hAnsi="Calibri" w:cs="Calibri"/>
                <w:b/>
                <w:bCs/>
                <w:color w:val="0066CC"/>
                <w:sz w:val="16"/>
                <w:szCs w:val="16"/>
              </w:rPr>
            </w:pPr>
            <w:r w:rsidRPr="003954D9">
              <w:rPr>
                <w:rFonts w:ascii="Calibri" w:hAnsi="Calibri" w:cs="Calibri"/>
                <w:b/>
                <w:bCs/>
                <w:color w:val="0066CC"/>
                <w:sz w:val="16"/>
                <w:szCs w:val="16"/>
              </w:rPr>
              <w:t>…</w:t>
            </w:r>
          </w:p>
        </w:tc>
        <w:tc>
          <w:tcPr>
            <w:tcW w:w="851" w:type="dxa"/>
            <w:tcBorders>
              <w:top w:val="single" w:sz="6" w:space="0" w:color="auto"/>
              <w:left w:val="single" w:sz="6" w:space="0" w:color="auto"/>
              <w:bottom w:val="single" w:sz="6" w:space="0" w:color="auto"/>
              <w:right w:val="single" w:sz="6" w:space="0" w:color="auto"/>
            </w:tcBorders>
          </w:tcPr>
          <w:p w14:paraId="7961C9E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378B34FA"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9,3</w:t>
            </w:r>
          </w:p>
        </w:tc>
      </w:tr>
      <w:tr w:rsidR="00117C0D" w:rsidRPr="003954D9" w14:paraId="4791642B" w14:textId="77777777" w:rsidTr="00117C0D">
        <w:trPr>
          <w:trHeight w:val="290"/>
        </w:trPr>
        <w:tc>
          <w:tcPr>
            <w:tcW w:w="1873" w:type="dxa"/>
            <w:tcBorders>
              <w:top w:val="single" w:sz="6" w:space="0" w:color="auto"/>
              <w:left w:val="single" w:sz="6" w:space="0" w:color="auto"/>
              <w:bottom w:val="single" w:sz="6" w:space="0" w:color="auto"/>
              <w:right w:val="single" w:sz="6" w:space="0" w:color="auto"/>
            </w:tcBorders>
          </w:tcPr>
          <w:p w14:paraId="20B557D0" w14:textId="57B773C9"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1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67F6830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15,9</w:t>
            </w:r>
          </w:p>
        </w:tc>
        <w:tc>
          <w:tcPr>
            <w:tcW w:w="838" w:type="dxa"/>
            <w:tcBorders>
              <w:top w:val="single" w:sz="6" w:space="0" w:color="auto"/>
              <w:left w:val="single" w:sz="6" w:space="0" w:color="auto"/>
              <w:bottom w:val="single" w:sz="6" w:space="0" w:color="auto"/>
              <w:right w:val="single" w:sz="6" w:space="0" w:color="auto"/>
            </w:tcBorders>
          </w:tcPr>
          <w:p w14:paraId="770D93C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7,1</w:t>
            </w:r>
          </w:p>
        </w:tc>
        <w:tc>
          <w:tcPr>
            <w:tcW w:w="721" w:type="dxa"/>
            <w:tcBorders>
              <w:top w:val="single" w:sz="6" w:space="0" w:color="auto"/>
              <w:left w:val="single" w:sz="6" w:space="0" w:color="auto"/>
              <w:bottom w:val="single" w:sz="6" w:space="0" w:color="auto"/>
              <w:right w:val="single" w:sz="6" w:space="0" w:color="auto"/>
            </w:tcBorders>
          </w:tcPr>
          <w:p w14:paraId="5EEB639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tcPr>
          <w:p w14:paraId="0759063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14,3</w:t>
            </w:r>
          </w:p>
        </w:tc>
        <w:tc>
          <w:tcPr>
            <w:tcW w:w="806" w:type="dxa"/>
            <w:tcBorders>
              <w:top w:val="single" w:sz="6" w:space="0" w:color="auto"/>
              <w:left w:val="single" w:sz="6" w:space="0" w:color="auto"/>
              <w:bottom w:val="single" w:sz="6" w:space="0" w:color="auto"/>
              <w:right w:val="single" w:sz="6" w:space="0" w:color="auto"/>
            </w:tcBorders>
          </w:tcPr>
          <w:p w14:paraId="7D4FCB02"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4,8</w:t>
            </w:r>
          </w:p>
        </w:tc>
        <w:tc>
          <w:tcPr>
            <w:tcW w:w="821" w:type="dxa"/>
            <w:tcBorders>
              <w:top w:val="single" w:sz="6" w:space="0" w:color="auto"/>
              <w:left w:val="single" w:sz="6" w:space="0" w:color="auto"/>
              <w:bottom w:val="single" w:sz="6" w:space="0" w:color="auto"/>
              <w:right w:val="single" w:sz="6" w:space="0" w:color="auto"/>
            </w:tcBorders>
          </w:tcPr>
          <w:p w14:paraId="792C0EE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13,4</w:t>
            </w:r>
          </w:p>
        </w:tc>
        <w:tc>
          <w:tcPr>
            <w:tcW w:w="759" w:type="dxa"/>
            <w:tcBorders>
              <w:top w:val="single" w:sz="6" w:space="0" w:color="auto"/>
              <w:left w:val="single" w:sz="6" w:space="0" w:color="auto"/>
              <w:bottom w:val="single" w:sz="6" w:space="0" w:color="auto"/>
              <w:right w:val="single" w:sz="6" w:space="0" w:color="auto"/>
            </w:tcBorders>
          </w:tcPr>
          <w:p w14:paraId="2A457609"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18,5</w:t>
            </w:r>
          </w:p>
        </w:tc>
        <w:tc>
          <w:tcPr>
            <w:tcW w:w="764" w:type="dxa"/>
            <w:tcBorders>
              <w:top w:val="single" w:sz="6" w:space="0" w:color="auto"/>
              <w:left w:val="single" w:sz="6" w:space="0" w:color="auto"/>
              <w:bottom w:val="single" w:sz="6" w:space="0" w:color="auto"/>
              <w:right w:val="single" w:sz="6" w:space="0" w:color="auto"/>
            </w:tcBorders>
          </w:tcPr>
          <w:p w14:paraId="45CE0C5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6,7</w:t>
            </w:r>
          </w:p>
        </w:tc>
        <w:tc>
          <w:tcPr>
            <w:tcW w:w="851" w:type="dxa"/>
            <w:tcBorders>
              <w:top w:val="single" w:sz="6" w:space="0" w:color="auto"/>
              <w:left w:val="single" w:sz="6" w:space="0" w:color="auto"/>
              <w:bottom w:val="single" w:sz="6" w:space="0" w:color="auto"/>
              <w:right w:val="single" w:sz="6" w:space="0" w:color="auto"/>
            </w:tcBorders>
          </w:tcPr>
          <w:p w14:paraId="0CBB392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058B2ED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16,6</w:t>
            </w:r>
          </w:p>
        </w:tc>
      </w:tr>
      <w:tr w:rsidR="00117C0D" w:rsidRPr="003954D9" w14:paraId="380BA101" w14:textId="77777777" w:rsidTr="00117C0D">
        <w:trPr>
          <w:trHeight w:val="290"/>
        </w:trPr>
        <w:tc>
          <w:tcPr>
            <w:tcW w:w="1873" w:type="dxa"/>
            <w:tcBorders>
              <w:top w:val="single" w:sz="6" w:space="0" w:color="auto"/>
              <w:left w:val="single" w:sz="6" w:space="0" w:color="auto"/>
              <w:bottom w:val="single" w:sz="6" w:space="0" w:color="auto"/>
              <w:right w:val="single" w:sz="6" w:space="0" w:color="auto"/>
            </w:tcBorders>
          </w:tcPr>
          <w:p w14:paraId="2FBCB2F1" w14:textId="032415BE"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2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7529A1E9"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22,1</w:t>
            </w:r>
          </w:p>
        </w:tc>
        <w:tc>
          <w:tcPr>
            <w:tcW w:w="838" w:type="dxa"/>
            <w:tcBorders>
              <w:top w:val="single" w:sz="6" w:space="0" w:color="auto"/>
              <w:left w:val="single" w:sz="6" w:space="0" w:color="auto"/>
              <w:bottom w:val="single" w:sz="6" w:space="0" w:color="auto"/>
              <w:right w:val="single" w:sz="6" w:space="0" w:color="auto"/>
            </w:tcBorders>
          </w:tcPr>
          <w:p w14:paraId="59356A1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11,5</w:t>
            </w:r>
          </w:p>
        </w:tc>
        <w:tc>
          <w:tcPr>
            <w:tcW w:w="721" w:type="dxa"/>
            <w:tcBorders>
              <w:top w:val="single" w:sz="6" w:space="0" w:color="auto"/>
              <w:left w:val="single" w:sz="6" w:space="0" w:color="auto"/>
              <w:bottom w:val="single" w:sz="6" w:space="0" w:color="auto"/>
              <w:right w:val="single" w:sz="6" w:space="0" w:color="auto"/>
            </w:tcBorders>
          </w:tcPr>
          <w:p w14:paraId="7133FDB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tcPr>
          <w:p w14:paraId="729893D7"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06" w:type="dxa"/>
            <w:tcBorders>
              <w:top w:val="single" w:sz="6" w:space="0" w:color="auto"/>
              <w:left w:val="single" w:sz="6" w:space="0" w:color="auto"/>
              <w:bottom w:val="single" w:sz="6" w:space="0" w:color="auto"/>
              <w:right w:val="single" w:sz="6" w:space="0" w:color="auto"/>
            </w:tcBorders>
          </w:tcPr>
          <w:p w14:paraId="626C9ACF"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4,6</w:t>
            </w:r>
          </w:p>
        </w:tc>
        <w:tc>
          <w:tcPr>
            <w:tcW w:w="821" w:type="dxa"/>
            <w:tcBorders>
              <w:top w:val="single" w:sz="6" w:space="0" w:color="auto"/>
              <w:left w:val="single" w:sz="6" w:space="0" w:color="auto"/>
              <w:bottom w:val="single" w:sz="6" w:space="0" w:color="auto"/>
              <w:right w:val="single" w:sz="6" w:space="0" w:color="auto"/>
            </w:tcBorders>
          </w:tcPr>
          <w:p w14:paraId="7B7BF33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11,7</w:t>
            </w:r>
          </w:p>
        </w:tc>
        <w:tc>
          <w:tcPr>
            <w:tcW w:w="759" w:type="dxa"/>
            <w:tcBorders>
              <w:top w:val="single" w:sz="6" w:space="0" w:color="auto"/>
              <w:left w:val="single" w:sz="6" w:space="0" w:color="auto"/>
              <w:bottom w:val="single" w:sz="6" w:space="0" w:color="auto"/>
              <w:right w:val="single" w:sz="6" w:space="0" w:color="auto"/>
            </w:tcBorders>
          </w:tcPr>
          <w:p w14:paraId="5D2E035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764" w:type="dxa"/>
            <w:tcBorders>
              <w:top w:val="single" w:sz="6" w:space="0" w:color="auto"/>
              <w:left w:val="single" w:sz="6" w:space="0" w:color="auto"/>
              <w:bottom w:val="single" w:sz="6" w:space="0" w:color="auto"/>
              <w:right w:val="single" w:sz="6" w:space="0" w:color="auto"/>
            </w:tcBorders>
          </w:tcPr>
          <w:p w14:paraId="4942AE04" w14:textId="77777777" w:rsidR="00117C0D" w:rsidRPr="003954D9" w:rsidRDefault="00117C0D" w:rsidP="00117C0D">
            <w:pPr>
              <w:autoSpaceDE w:val="0"/>
              <w:autoSpaceDN w:val="0"/>
              <w:adjustRightInd w:val="0"/>
              <w:jc w:val="right"/>
              <w:rPr>
                <w:rFonts w:ascii="Calibri" w:hAnsi="Calibri" w:cs="Calibri"/>
                <w:bCs/>
                <w:color w:val="0066CC"/>
                <w:sz w:val="16"/>
                <w:szCs w:val="16"/>
              </w:rPr>
            </w:pPr>
            <w:r w:rsidRPr="003954D9">
              <w:rPr>
                <w:rFonts w:ascii="Calibri" w:hAnsi="Calibri" w:cs="Calibri"/>
                <w:bCs/>
                <w:color w:val="000000" w:themeColor="text1"/>
                <w:sz w:val="16"/>
                <w:szCs w:val="16"/>
              </w:rPr>
              <w:t>5,2</w:t>
            </w:r>
          </w:p>
        </w:tc>
        <w:tc>
          <w:tcPr>
            <w:tcW w:w="851" w:type="dxa"/>
            <w:tcBorders>
              <w:top w:val="single" w:sz="6" w:space="0" w:color="auto"/>
              <w:left w:val="single" w:sz="6" w:space="0" w:color="auto"/>
              <w:bottom w:val="single" w:sz="6" w:space="0" w:color="auto"/>
              <w:right w:val="single" w:sz="6" w:space="0" w:color="auto"/>
            </w:tcBorders>
          </w:tcPr>
          <w:p w14:paraId="1E1ABD0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02D171E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18,2</w:t>
            </w:r>
          </w:p>
        </w:tc>
      </w:tr>
      <w:tr w:rsidR="00117C0D" w:rsidRPr="003954D9" w14:paraId="3ED177E7" w14:textId="77777777" w:rsidTr="00117C0D">
        <w:trPr>
          <w:trHeight w:val="290"/>
        </w:trPr>
        <w:tc>
          <w:tcPr>
            <w:tcW w:w="1873" w:type="dxa"/>
            <w:tcBorders>
              <w:top w:val="single" w:sz="6" w:space="0" w:color="auto"/>
              <w:left w:val="single" w:sz="6" w:space="0" w:color="auto"/>
              <w:bottom w:val="single" w:sz="6" w:space="0" w:color="auto"/>
              <w:right w:val="single" w:sz="6" w:space="0" w:color="auto"/>
            </w:tcBorders>
          </w:tcPr>
          <w:p w14:paraId="312C8765" w14:textId="146293E4"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3-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09" w:type="dxa"/>
            <w:tcBorders>
              <w:top w:val="single" w:sz="6" w:space="0" w:color="auto"/>
              <w:left w:val="single" w:sz="6" w:space="0" w:color="auto"/>
              <w:bottom w:val="single" w:sz="6" w:space="0" w:color="auto"/>
              <w:right w:val="single" w:sz="6" w:space="0" w:color="auto"/>
            </w:tcBorders>
          </w:tcPr>
          <w:p w14:paraId="14530AF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26,8</w:t>
            </w:r>
          </w:p>
        </w:tc>
        <w:tc>
          <w:tcPr>
            <w:tcW w:w="838" w:type="dxa"/>
            <w:tcBorders>
              <w:top w:val="single" w:sz="6" w:space="0" w:color="auto"/>
              <w:left w:val="single" w:sz="6" w:space="0" w:color="auto"/>
              <w:bottom w:val="single" w:sz="6" w:space="0" w:color="auto"/>
              <w:right w:val="single" w:sz="6" w:space="0" w:color="auto"/>
            </w:tcBorders>
          </w:tcPr>
          <w:p w14:paraId="50D8F82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19,1</w:t>
            </w:r>
          </w:p>
        </w:tc>
        <w:tc>
          <w:tcPr>
            <w:tcW w:w="721" w:type="dxa"/>
            <w:tcBorders>
              <w:top w:val="single" w:sz="6" w:space="0" w:color="auto"/>
              <w:left w:val="single" w:sz="6" w:space="0" w:color="auto"/>
              <w:bottom w:val="single" w:sz="6" w:space="0" w:color="auto"/>
              <w:right w:val="single" w:sz="6" w:space="0" w:color="auto"/>
            </w:tcBorders>
          </w:tcPr>
          <w:p w14:paraId="2EB3E5A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677" w:type="dxa"/>
            <w:tcBorders>
              <w:top w:val="single" w:sz="6" w:space="0" w:color="auto"/>
              <w:left w:val="single" w:sz="6" w:space="0" w:color="auto"/>
              <w:bottom w:val="single" w:sz="6" w:space="0" w:color="auto"/>
              <w:right w:val="single" w:sz="6" w:space="0" w:color="auto"/>
            </w:tcBorders>
          </w:tcPr>
          <w:p w14:paraId="467D0A9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06" w:type="dxa"/>
            <w:tcBorders>
              <w:top w:val="single" w:sz="6" w:space="0" w:color="auto"/>
              <w:left w:val="single" w:sz="6" w:space="0" w:color="auto"/>
              <w:bottom w:val="single" w:sz="6" w:space="0" w:color="auto"/>
              <w:right w:val="single" w:sz="6" w:space="0" w:color="auto"/>
            </w:tcBorders>
          </w:tcPr>
          <w:p w14:paraId="460BDFB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21" w:type="dxa"/>
            <w:tcBorders>
              <w:top w:val="single" w:sz="6" w:space="0" w:color="auto"/>
              <w:left w:val="single" w:sz="6" w:space="0" w:color="auto"/>
              <w:bottom w:val="single" w:sz="6" w:space="0" w:color="auto"/>
              <w:right w:val="single" w:sz="6" w:space="0" w:color="auto"/>
            </w:tcBorders>
          </w:tcPr>
          <w:p w14:paraId="5091D39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23,7</w:t>
            </w:r>
          </w:p>
        </w:tc>
        <w:tc>
          <w:tcPr>
            <w:tcW w:w="759" w:type="dxa"/>
            <w:tcBorders>
              <w:top w:val="single" w:sz="6" w:space="0" w:color="auto"/>
              <w:left w:val="single" w:sz="6" w:space="0" w:color="auto"/>
              <w:bottom w:val="single" w:sz="6" w:space="0" w:color="auto"/>
              <w:right w:val="single" w:sz="6" w:space="0" w:color="auto"/>
            </w:tcBorders>
          </w:tcPr>
          <w:p w14:paraId="056FCBA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19,4</w:t>
            </w:r>
          </w:p>
        </w:tc>
        <w:tc>
          <w:tcPr>
            <w:tcW w:w="764" w:type="dxa"/>
            <w:tcBorders>
              <w:top w:val="single" w:sz="6" w:space="0" w:color="auto"/>
              <w:left w:val="single" w:sz="6" w:space="0" w:color="auto"/>
              <w:bottom w:val="single" w:sz="6" w:space="0" w:color="auto"/>
              <w:right w:val="single" w:sz="6" w:space="0" w:color="auto"/>
            </w:tcBorders>
          </w:tcPr>
          <w:p w14:paraId="2CE3D607"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15,9</w:t>
            </w:r>
          </w:p>
        </w:tc>
        <w:tc>
          <w:tcPr>
            <w:tcW w:w="851" w:type="dxa"/>
            <w:tcBorders>
              <w:top w:val="single" w:sz="6" w:space="0" w:color="auto"/>
              <w:left w:val="single" w:sz="6" w:space="0" w:color="auto"/>
              <w:bottom w:val="single" w:sz="6" w:space="0" w:color="auto"/>
              <w:right w:val="single" w:sz="6" w:space="0" w:color="auto"/>
            </w:tcBorders>
          </w:tcPr>
          <w:p w14:paraId="3B968BA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19787FF4"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27,7</w:t>
            </w:r>
          </w:p>
        </w:tc>
      </w:tr>
      <w:tr w:rsidR="00117C0D" w:rsidRPr="003954D9" w14:paraId="46EA53DC" w14:textId="77777777" w:rsidTr="00117C0D">
        <w:trPr>
          <w:trHeight w:val="290"/>
        </w:trPr>
        <w:tc>
          <w:tcPr>
            <w:tcW w:w="1873" w:type="dxa"/>
            <w:tcBorders>
              <w:top w:val="single" w:sz="6" w:space="0" w:color="auto"/>
              <w:left w:val="single" w:sz="6" w:space="0" w:color="auto"/>
              <w:bottom w:val="single" w:sz="6" w:space="0" w:color="auto"/>
              <w:right w:val="single" w:sz="6" w:space="0" w:color="auto"/>
            </w:tcBorders>
          </w:tcPr>
          <w:p w14:paraId="04F19E9B" w14:textId="2910FDF0"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Övr</w:t>
            </w:r>
            <w:r w:rsidR="00DD3DF3">
              <w:rPr>
                <w:rFonts w:ascii="Calibri" w:hAnsi="Calibri" w:cs="Calibri"/>
                <w:color w:val="000000"/>
                <w:sz w:val="16"/>
                <w:szCs w:val="16"/>
              </w:rPr>
              <w:t>.</w:t>
            </w:r>
            <w:r w:rsidRPr="003954D9">
              <w:rPr>
                <w:rFonts w:ascii="Calibri" w:hAnsi="Calibri" w:cs="Calibri"/>
                <w:color w:val="000000"/>
                <w:sz w:val="16"/>
                <w:szCs w:val="16"/>
              </w:rPr>
              <w:t xml:space="preserve"> hushåll u. barn </w:t>
            </w:r>
          </w:p>
        </w:tc>
        <w:tc>
          <w:tcPr>
            <w:tcW w:w="709" w:type="dxa"/>
            <w:tcBorders>
              <w:top w:val="single" w:sz="6" w:space="0" w:color="auto"/>
              <w:left w:val="single" w:sz="6" w:space="0" w:color="auto"/>
              <w:bottom w:val="single" w:sz="6" w:space="0" w:color="auto"/>
              <w:right w:val="single" w:sz="6" w:space="0" w:color="auto"/>
            </w:tcBorders>
          </w:tcPr>
          <w:p w14:paraId="445E50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12,9</w:t>
            </w:r>
          </w:p>
        </w:tc>
        <w:tc>
          <w:tcPr>
            <w:tcW w:w="838" w:type="dxa"/>
            <w:tcBorders>
              <w:top w:val="single" w:sz="6" w:space="0" w:color="auto"/>
              <w:left w:val="single" w:sz="6" w:space="0" w:color="auto"/>
              <w:bottom w:val="single" w:sz="6" w:space="0" w:color="auto"/>
              <w:right w:val="single" w:sz="6" w:space="0" w:color="auto"/>
            </w:tcBorders>
          </w:tcPr>
          <w:p w14:paraId="7153DC9A"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14,6</w:t>
            </w:r>
          </w:p>
        </w:tc>
        <w:tc>
          <w:tcPr>
            <w:tcW w:w="721" w:type="dxa"/>
            <w:tcBorders>
              <w:top w:val="single" w:sz="6" w:space="0" w:color="auto"/>
              <w:left w:val="single" w:sz="6" w:space="0" w:color="auto"/>
              <w:bottom w:val="single" w:sz="6" w:space="0" w:color="auto"/>
              <w:right w:val="single" w:sz="6" w:space="0" w:color="auto"/>
            </w:tcBorders>
          </w:tcPr>
          <w:p w14:paraId="394302D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10,4</w:t>
            </w:r>
          </w:p>
        </w:tc>
        <w:tc>
          <w:tcPr>
            <w:tcW w:w="677" w:type="dxa"/>
            <w:tcBorders>
              <w:top w:val="single" w:sz="6" w:space="0" w:color="auto"/>
              <w:left w:val="single" w:sz="6" w:space="0" w:color="auto"/>
              <w:bottom w:val="single" w:sz="6" w:space="0" w:color="auto"/>
              <w:right w:val="single" w:sz="6" w:space="0" w:color="auto"/>
            </w:tcBorders>
          </w:tcPr>
          <w:p w14:paraId="5AD0FEE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15,6</w:t>
            </w:r>
          </w:p>
        </w:tc>
        <w:tc>
          <w:tcPr>
            <w:tcW w:w="806" w:type="dxa"/>
            <w:tcBorders>
              <w:top w:val="single" w:sz="6" w:space="0" w:color="auto"/>
              <w:left w:val="single" w:sz="6" w:space="0" w:color="auto"/>
              <w:bottom w:val="single" w:sz="6" w:space="0" w:color="auto"/>
              <w:right w:val="single" w:sz="6" w:space="0" w:color="auto"/>
            </w:tcBorders>
          </w:tcPr>
          <w:p w14:paraId="1ECF7CA6"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5,1</w:t>
            </w:r>
          </w:p>
        </w:tc>
        <w:tc>
          <w:tcPr>
            <w:tcW w:w="821" w:type="dxa"/>
            <w:tcBorders>
              <w:top w:val="single" w:sz="6" w:space="0" w:color="auto"/>
              <w:left w:val="single" w:sz="6" w:space="0" w:color="auto"/>
              <w:bottom w:val="single" w:sz="6" w:space="0" w:color="auto"/>
              <w:right w:val="single" w:sz="6" w:space="0" w:color="auto"/>
            </w:tcBorders>
          </w:tcPr>
          <w:p w14:paraId="18ED9D8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9,7</w:t>
            </w:r>
          </w:p>
        </w:tc>
        <w:tc>
          <w:tcPr>
            <w:tcW w:w="759" w:type="dxa"/>
            <w:tcBorders>
              <w:top w:val="single" w:sz="6" w:space="0" w:color="auto"/>
              <w:left w:val="single" w:sz="6" w:space="0" w:color="auto"/>
              <w:bottom w:val="single" w:sz="6" w:space="0" w:color="auto"/>
              <w:right w:val="single" w:sz="6" w:space="0" w:color="auto"/>
            </w:tcBorders>
          </w:tcPr>
          <w:p w14:paraId="6EC1513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14,0</w:t>
            </w:r>
          </w:p>
        </w:tc>
        <w:tc>
          <w:tcPr>
            <w:tcW w:w="764" w:type="dxa"/>
            <w:tcBorders>
              <w:top w:val="single" w:sz="6" w:space="0" w:color="auto"/>
              <w:left w:val="single" w:sz="6" w:space="0" w:color="auto"/>
              <w:bottom w:val="single" w:sz="6" w:space="0" w:color="auto"/>
              <w:right w:val="single" w:sz="6" w:space="0" w:color="auto"/>
            </w:tcBorders>
          </w:tcPr>
          <w:p w14:paraId="0955403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5,4</w:t>
            </w:r>
          </w:p>
        </w:tc>
        <w:tc>
          <w:tcPr>
            <w:tcW w:w="851" w:type="dxa"/>
            <w:tcBorders>
              <w:top w:val="single" w:sz="6" w:space="0" w:color="auto"/>
              <w:left w:val="single" w:sz="6" w:space="0" w:color="auto"/>
              <w:bottom w:val="single" w:sz="6" w:space="0" w:color="auto"/>
              <w:right w:val="single" w:sz="6" w:space="0" w:color="auto"/>
            </w:tcBorders>
          </w:tcPr>
          <w:p w14:paraId="268C348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6BC6DBC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14,4</w:t>
            </w:r>
          </w:p>
        </w:tc>
      </w:tr>
      <w:tr w:rsidR="00117C0D" w:rsidRPr="003954D9" w14:paraId="664B4EAF" w14:textId="77777777" w:rsidTr="00117C0D">
        <w:trPr>
          <w:trHeight w:val="290"/>
        </w:trPr>
        <w:tc>
          <w:tcPr>
            <w:tcW w:w="1873" w:type="dxa"/>
            <w:tcBorders>
              <w:top w:val="single" w:sz="6" w:space="0" w:color="auto"/>
              <w:left w:val="single" w:sz="6" w:space="0" w:color="auto"/>
              <w:bottom w:val="single" w:sz="6" w:space="0" w:color="auto"/>
              <w:right w:val="single" w:sz="6" w:space="0" w:color="auto"/>
            </w:tcBorders>
          </w:tcPr>
          <w:p w14:paraId="269FEE6C" w14:textId="54E2DFD7" w:rsidR="00117C0D" w:rsidRPr="003954D9" w:rsidRDefault="00DD3DF3" w:rsidP="00117C0D">
            <w:pPr>
              <w:autoSpaceDE w:val="0"/>
              <w:autoSpaceDN w:val="0"/>
              <w:adjustRightInd w:val="0"/>
              <w:rPr>
                <w:rFonts w:ascii="Calibri" w:hAnsi="Calibri" w:cs="Calibri"/>
                <w:color w:val="000000"/>
                <w:sz w:val="16"/>
                <w:szCs w:val="16"/>
              </w:rPr>
            </w:pPr>
            <w:r>
              <w:rPr>
                <w:rFonts w:ascii="Calibri" w:hAnsi="Calibri" w:cs="Calibri"/>
                <w:color w:val="000000"/>
                <w:sz w:val="16"/>
                <w:szCs w:val="16"/>
              </w:rPr>
              <w:t>Övr.</w:t>
            </w:r>
            <w:r w:rsidR="00117C0D" w:rsidRPr="003954D9">
              <w:rPr>
                <w:rFonts w:ascii="Calibri" w:hAnsi="Calibri" w:cs="Calibri"/>
                <w:color w:val="000000"/>
                <w:sz w:val="16"/>
                <w:szCs w:val="16"/>
              </w:rPr>
              <w:t xml:space="preserve"> hushåll m. barn</w:t>
            </w:r>
          </w:p>
        </w:tc>
        <w:tc>
          <w:tcPr>
            <w:tcW w:w="709" w:type="dxa"/>
            <w:tcBorders>
              <w:top w:val="single" w:sz="6" w:space="0" w:color="auto"/>
              <w:left w:val="single" w:sz="6" w:space="0" w:color="auto"/>
              <w:bottom w:val="single" w:sz="6" w:space="0" w:color="auto"/>
              <w:right w:val="single" w:sz="6" w:space="0" w:color="auto"/>
            </w:tcBorders>
          </w:tcPr>
          <w:p w14:paraId="608A745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c>
          <w:tcPr>
            <w:tcW w:w="838" w:type="dxa"/>
            <w:tcBorders>
              <w:top w:val="single" w:sz="6" w:space="0" w:color="auto"/>
              <w:left w:val="single" w:sz="6" w:space="0" w:color="auto"/>
              <w:bottom w:val="single" w:sz="6" w:space="0" w:color="auto"/>
              <w:right w:val="single" w:sz="6" w:space="0" w:color="auto"/>
            </w:tcBorders>
          </w:tcPr>
          <w:p w14:paraId="3A9EC01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10,7</w:t>
            </w:r>
          </w:p>
        </w:tc>
        <w:tc>
          <w:tcPr>
            <w:tcW w:w="721" w:type="dxa"/>
            <w:tcBorders>
              <w:top w:val="single" w:sz="6" w:space="0" w:color="auto"/>
              <w:left w:val="single" w:sz="6" w:space="0" w:color="auto"/>
              <w:bottom w:val="single" w:sz="6" w:space="0" w:color="auto"/>
              <w:right w:val="single" w:sz="6" w:space="0" w:color="auto"/>
            </w:tcBorders>
          </w:tcPr>
          <w:p w14:paraId="773B336D"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5,9</w:t>
            </w:r>
          </w:p>
        </w:tc>
        <w:tc>
          <w:tcPr>
            <w:tcW w:w="677" w:type="dxa"/>
            <w:tcBorders>
              <w:top w:val="single" w:sz="6" w:space="0" w:color="auto"/>
              <w:left w:val="single" w:sz="6" w:space="0" w:color="auto"/>
              <w:bottom w:val="single" w:sz="6" w:space="0" w:color="auto"/>
              <w:right w:val="single" w:sz="6" w:space="0" w:color="auto"/>
            </w:tcBorders>
          </w:tcPr>
          <w:p w14:paraId="3530C1F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13,1</w:t>
            </w:r>
          </w:p>
        </w:tc>
        <w:tc>
          <w:tcPr>
            <w:tcW w:w="806" w:type="dxa"/>
            <w:tcBorders>
              <w:top w:val="single" w:sz="6" w:space="0" w:color="auto"/>
              <w:left w:val="single" w:sz="6" w:space="0" w:color="auto"/>
              <w:bottom w:val="single" w:sz="6" w:space="0" w:color="auto"/>
              <w:right w:val="single" w:sz="6" w:space="0" w:color="auto"/>
            </w:tcBorders>
          </w:tcPr>
          <w:p w14:paraId="2A8E648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9,1</w:t>
            </w:r>
          </w:p>
        </w:tc>
        <w:tc>
          <w:tcPr>
            <w:tcW w:w="821" w:type="dxa"/>
            <w:tcBorders>
              <w:top w:val="single" w:sz="6" w:space="0" w:color="auto"/>
              <w:left w:val="single" w:sz="6" w:space="0" w:color="auto"/>
              <w:bottom w:val="single" w:sz="6" w:space="0" w:color="auto"/>
              <w:right w:val="single" w:sz="6" w:space="0" w:color="auto"/>
            </w:tcBorders>
          </w:tcPr>
          <w:p w14:paraId="33B30DD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11,6</w:t>
            </w:r>
          </w:p>
        </w:tc>
        <w:tc>
          <w:tcPr>
            <w:tcW w:w="759" w:type="dxa"/>
            <w:tcBorders>
              <w:top w:val="single" w:sz="6" w:space="0" w:color="auto"/>
              <w:left w:val="single" w:sz="6" w:space="0" w:color="auto"/>
              <w:bottom w:val="single" w:sz="6" w:space="0" w:color="auto"/>
              <w:right w:val="single" w:sz="6" w:space="0" w:color="auto"/>
            </w:tcBorders>
          </w:tcPr>
          <w:p w14:paraId="7726F4E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13,0</w:t>
            </w:r>
          </w:p>
        </w:tc>
        <w:tc>
          <w:tcPr>
            <w:tcW w:w="764" w:type="dxa"/>
            <w:tcBorders>
              <w:top w:val="single" w:sz="6" w:space="0" w:color="auto"/>
              <w:left w:val="single" w:sz="6" w:space="0" w:color="auto"/>
              <w:bottom w:val="single" w:sz="6" w:space="0" w:color="auto"/>
              <w:right w:val="single" w:sz="6" w:space="0" w:color="auto"/>
            </w:tcBorders>
          </w:tcPr>
          <w:p w14:paraId="2C8E2F2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7,5</w:t>
            </w:r>
          </w:p>
        </w:tc>
        <w:tc>
          <w:tcPr>
            <w:tcW w:w="851" w:type="dxa"/>
            <w:tcBorders>
              <w:top w:val="single" w:sz="6" w:space="0" w:color="auto"/>
              <w:left w:val="single" w:sz="6" w:space="0" w:color="auto"/>
              <w:bottom w:val="single" w:sz="6" w:space="0" w:color="auto"/>
              <w:right w:val="single" w:sz="6" w:space="0" w:color="auto"/>
            </w:tcBorders>
          </w:tcPr>
          <w:p w14:paraId="65B431C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903" w:type="dxa"/>
            <w:tcBorders>
              <w:top w:val="single" w:sz="6" w:space="0" w:color="auto"/>
              <w:left w:val="single" w:sz="6" w:space="0" w:color="auto"/>
              <w:bottom w:val="single" w:sz="6" w:space="0" w:color="auto"/>
              <w:right w:val="single" w:sz="6" w:space="0" w:color="auto"/>
            </w:tcBorders>
          </w:tcPr>
          <w:p w14:paraId="4CE7739E"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17,6</w:t>
            </w:r>
          </w:p>
        </w:tc>
      </w:tr>
      <w:tr w:rsidR="00117C0D" w:rsidRPr="003954D9" w14:paraId="455C2088" w14:textId="77777777" w:rsidTr="00117C0D">
        <w:trPr>
          <w:trHeight w:val="290"/>
        </w:trPr>
        <w:tc>
          <w:tcPr>
            <w:tcW w:w="1873" w:type="dxa"/>
            <w:tcBorders>
              <w:top w:val="single" w:sz="6" w:space="0" w:color="auto"/>
              <w:left w:val="single" w:sz="6" w:space="0" w:color="auto"/>
              <w:bottom w:val="single" w:sz="6" w:space="0" w:color="auto"/>
              <w:right w:val="single" w:sz="6" w:space="0" w:color="auto"/>
            </w:tcBorders>
          </w:tcPr>
          <w:p w14:paraId="72168B0E"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Antal</w:t>
            </w:r>
          </w:p>
        </w:tc>
        <w:tc>
          <w:tcPr>
            <w:tcW w:w="709" w:type="dxa"/>
            <w:tcBorders>
              <w:top w:val="single" w:sz="6" w:space="0" w:color="auto"/>
              <w:left w:val="single" w:sz="6" w:space="0" w:color="auto"/>
              <w:bottom w:val="single" w:sz="6" w:space="0" w:color="auto"/>
              <w:right w:val="single" w:sz="6" w:space="0" w:color="auto"/>
            </w:tcBorders>
          </w:tcPr>
          <w:p w14:paraId="65E17F1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962</w:t>
            </w:r>
          </w:p>
        </w:tc>
        <w:tc>
          <w:tcPr>
            <w:tcW w:w="838" w:type="dxa"/>
            <w:tcBorders>
              <w:top w:val="single" w:sz="6" w:space="0" w:color="auto"/>
              <w:left w:val="single" w:sz="6" w:space="0" w:color="auto"/>
              <w:bottom w:val="single" w:sz="6" w:space="0" w:color="auto"/>
              <w:right w:val="single" w:sz="6" w:space="0" w:color="auto"/>
            </w:tcBorders>
          </w:tcPr>
          <w:p w14:paraId="16D64C1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362</w:t>
            </w:r>
          </w:p>
        </w:tc>
        <w:tc>
          <w:tcPr>
            <w:tcW w:w="721" w:type="dxa"/>
            <w:tcBorders>
              <w:top w:val="single" w:sz="6" w:space="0" w:color="auto"/>
              <w:left w:val="single" w:sz="6" w:space="0" w:color="auto"/>
              <w:bottom w:val="single" w:sz="6" w:space="0" w:color="auto"/>
              <w:right w:val="single" w:sz="6" w:space="0" w:color="auto"/>
            </w:tcBorders>
          </w:tcPr>
          <w:p w14:paraId="3631A59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259</w:t>
            </w:r>
          </w:p>
        </w:tc>
        <w:tc>
          <w:tcPr>
            <w:tcW w:w="677" w:type="dxa"/>
            <w:tcBorders>
              <w:top w:val="single" w:sz="6" w:space="0" w:color="auto"/>
              <w:left w:val="single" w:sz="6" w:space="0" w:color="auto"/>
              <w:bottom w:val="single" w:sz="6" w:space="0" w:color="auto"/>
              <w:right w:val="single" w:sz="6" w:space="0" w:color="auto"/>
            </w:tcBorders>
          </w:tcPr>
          <w:p w14:paraId="29AA2AC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w:t>
            </w:r>
          </w:p>
        </w:tc>
        <w:tc>
          <w:tcPr>
            <w:tcW w:w="806" w:type="dxa"/>
            <w:tcBorders>
              <w:top w:val="single" w:sz="6" w:space="0" w:color="auto"/>
              <w:left w:val="single" w:sz="6" w:space="0" w:color="auto"/>
              <w:bottom w:val="single" w:sz="6" w:space="0" w:color="auto"/>
              <w:right w:val="single" w:sz="6" w:space="0" w:color="auto"/>
            </w:tcBorders>
          </w:tcPr>
          <w:p w14:paraId="00390D5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325</w:t>
            </w:r>
          </w:p>
        </w:tc>
        <w:tc>
          <w:tcPr>
            <w:tcW w:w="821" w:type="dxa"/>
            <w:tcBorders>
              <w:top w:val="single" w:sz="6" w:space="0" w:color="auto"/>
              <w:left w:val="single" w:sz="6" w:space="0" w:color="auto"/>
              <w:bottom w:val="single" w:sz="6" w:space="0" w:color="auto"/>
              <w:right w:val="single" w:sz="6" w:space="0" w:color="auto"/>
            </w:tcBorders>
          </w:tcPr>
          <w:p w14:paraId="27C1505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219</w:t>
            </w:r>
          </w:p>
        </w:tc>
        <w:tc>
          <w:tcPr>
            <w:tcW w:w="759" w:type="dxa"/>
            <w:tcBorders>
              <w:top w:val="single" w:sz="6" w:space="0" w:color="auto"/>
              <w:left w:val="single" w:sz="6" w:space="0" w:color="auto"/>
              <w:bottom w:val="single" w:sz="6" w:space="0" w:color="auto"/>
              <w:right w:val="single" w:sz="6" w:space="0" w:color="auto"/>
            </w:tcBorders>
          </w:tcPr>
          <w:p w14:paraId="3E33167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494</w:t>
            </w:r>
          </w:p>
        </w:tc>
        <w:tc>
          <w:tcPr>
            <w:tcW w:w="764" w:type="dxa"/>
            <w:tcBorders>
              <w:top w:val="single" w:sz="6" w:space="0" w:color="auto"/>
              <w:left w:val="single" w:sz="6" w:space="0" w:color="auto"/>
              <w:bottom w:val="single" w:sz="6" w:space="0" w:color="auto"/>
              <w:right w:val="single" w:sz="6" w:space="0" w:color="auto"/>
            </w:tcBorders>
          </w:tcPr>
          <w:p w14:paraId="48F259D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279</w:t>
            </w:r>
          </w:p>
        </w:tc>
        <w:tc>
          <w:tcPr>
            <w:tcW w:w="851" w:type="dxa"/>
            <w:tcBorders>
              <w:top w:val="single" w:sz="6" w:space="0" w:color="auto"/>
              <w:left w:val="single" w:sz="6" w:space="0" w:color="auto"/>
              <w:bottom w:val="single" w:sz="6" w:space="0" w:color="auto"/>
              <w:right w:val="single" w:sz="6" w:space="0" w:color="auto"/>
            </w:tcBorders>
          </w:tcPr>
          <w:p w14:paraId="146DF2F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w:t>
            </w:r>
          </w:p>
        </w:tc>
        <w:tc>
          <w:tcPr>
            <w:tcW w:w="903" w:type="dxa"/>
            <w:tcBorders>
              <w:top w:val="single" w:sz="6" w:space="0" w:color="auto"/>
              <w:left w:val="single" w:sz="6" w:space="0" w:color="auto"/>
              <w:bottom w:val="single" w:sz="6" w:space="0" w:color="auto"/>
              <w:right w:val="single" w:sz="6" w:space="0" w:color="auto"/>
            </w:tcBorders>
          </w:tcPr>
          <w:p w14:paraId="590F91E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727</w:t>
            </w:r>
          </w:p>
        </w:tc>
      </w:tr>
    </w:tbl>
    <w:p w14:paraId="0002E917" w14:textId="77777777" w:rsidR="00B95043" w:rsidRPr="003954D9" w:rsidRDefault="00B95043" w:rsidP="00B95043">
      <w:pPr>
        <w:rPr>
          <w:sz w:val="16"/>
          <w:szCs w:val="16"/>
        </w:rPr>
      </w:pPr>
      <w:r w:rsidRPr="003954D9">
        <w:rPr>
          <w:color w:val="FF6600"/>
          <w:sz w:val="16"/>
          <w:szCs w:val="16"/>
        </w:rPr>
        <w:t xml:space="preserve">Röd färg högsta </w:t>
      </w:r>
      <w:r w:rsidRPr="003954D9">
        <w:rPr>
          <w:sz w:val="16"/>
          <w:szCs w:val="16"/>
        </w:rPr>
        <w:t xml:space="preserve">och </w:t>
      </w:r>
      <w:r w:rsidRPr="003954D9">
        <w:rPr>
          <w:color w:val="548DD4" w:themeColor="text2" w:themeTint="99"/>
          <w:sz w:val="16"/>
          <w:szCs w:val="16"/>
        </w:rPr>
        <w:t>blå färg lägsta</w:t>
      </w:r>
      <w:r w:rsidRPr="003954D9">
        <w:rPr>
          <w:sz w:val="16"/>
          <w:szCs w:val="16"/>
        </w:rPr>
        <w:t xml:space="preserve"> värde i grupp.</w:t>
      </w:r>
    </w:p>
    <w:p w14:paraId="3D9514EC" w14:textId="3F0FC33D"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lang w:eastAsia="en-US"/>
        </w:rPr>
      </w:pPr>
      <w:r w:rsidRPr="003954D9">
        <w:rPr>
          <w:rFonts w:asciiTheme="majorHAnsi" w:eastAsiaTheme="majorEastAsia" w:hAnsiTheme="majorHAnsi" w:cstheme="majorBidi"/>
          <w:color w:val="243F60" w:themeColor="accent1" w:themeShade="7F"/>
          <w:lang w:eastAsia="en-US"/>
        </w:rPr>
        <w:t>Tabell 5:7: Kvar utöver skälig levnadsnivå efter en hyreshöjning på 5 procent - medelvärden i kronor per månad per person i olika hushållstyper och stadsdel</w:t>
      </w:r>
    </w:p>
    <w:tbl>
      <w:tblPr>
        <w:tblW w:w="9812" w:type="dxa"/>
        <w:tblInd w:w="-38" w:type="dxa"/>
        <w:tblLayout w:type="fixed"/>
        <w:tblLook w:val="0000" w:firstRow="0" w:lastRow="0" w:firstColumn="0" w:lastColumn="0" w:noHBand="0" w:noVBand="0"/>
      </w:tblPr>
      <w:tblGrid>
        <w:gridCol w:w="1590"/>
        <w:gridCol w:w="807"/>
        <w:gridCol w:w="885"/>
        <w:gridCol w:w="821"/>
        <w:gridCol w:w="747"/>
        <w:gridCol w:w="821"/>
        <w:gridCol w:w="821"/>
        <w:gridCol w:w="789"/>
        <w:gridCol w:w="830"/>
        <w:gridCol w:w="850"/>
        <w:gridCol w:w="851"/>
      </w:tblGrid>
      <w:tr w:rsidR="00117C0D" w:rsidRPr="003954D9" w14:paraId="0FDF67A9" w14:textId="77777777" w:rsidTr="00117C0D">
        <w:trPr>
          <w:trHeight w:val="653"/>
        </w:trPr>
        <w:tc>
          <w:tcPr>
            <w:tcW w:w="1590" w:type="dxa"/>
            <w:tcBorders>
              <w:top w:val="single" w:sz="6" w:space="0" w:color="auto"/>
              <w:left w:val="single" w:sz="6" w:space="0" w:color="auto"/>
              <w:bottom w:val="single" w:sz="6" w:space="0" w:color="auto"/>
              <w:right w:val="single" w:sz="6" w:space="0" w:color="auto"/>
            </w:tcBorders>
          </w:tcPr>
          <w:p w14:paraId="1B50732F"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Hushållstyp</w:t>
            </w:r>
          </w:p>
        </w:tc>
        <w:tc>
          <w:tcPr>
            <w:tcW w:w="807" w:type="dxa"/>
            <w:tcBorders>
              <w:top w:val="single" w:sz="6" w:space="0" w:color="auto"/>
              <w:left w:val="single" w:sz="6" w:space="0" w:color="auto"/>
              <w:bottom w:val="single" w:sz="6" w:space="0" w:color="auto"/>
              <w:right w:val="single" w:sz="6" w:space="0" w:color="auto"/>
            </w:tcBorders>
          </w:tcPr>
          <w:p w14:paraId="785F968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85" w:type="dxa"/>
            <w:tcBorders>
              <w:top w:val="single" w:sz="6" w:space="0" w:color="auto"/>
              <w:left w:val="single" w:sz="6" w:space="0" w:color="auto"/>
              <w:bottom w:val="single" w:sz="6" w:space="0" w:color="auto"/>
              <w:right w:val="single" w:sz="6" w:space="0" w:color="auto"/>
            </w:tcBorders>
          </w:tcPr>
          <w:p w14:paraId="061FC68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21" w:type="dxa"/>
            <w:tcBorders>
              <w:top w:val="single" w:sz="6" w:space="0" w:color="auto"/>
              <w:left w:val="single" w:sz="6" w:space="0" w:color="auto"/>
              <w:bottom w:val="single" w:sz="6" w:space="0" w:color="auto"/>
              <w:right w:val="single" w:sz="6" w:space="0" w:color="auto"/>
            </w:tcBorders>
          </w:tcPr>
          <w:p w14:paraId="0C1066D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47" w:type="dxa"/>
            <w:tcBorders>
              <w:top w:val="single" w:sz="6" w:space="0" w:color="auto"/>
              <w:left w:val="single" w:sz="6" w:space="0" w:color="auto"/>
              <w:bottom w:val="single" w:sz="6" w:space="0" w:color="auto"/>
              <w:right w:val="single" w:sz="6" w:space="0" w:color="auto"/>
            </w:tcBorders>
          </w:tcPr>
          <w:p w14:paraId="6C45FD4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21" w:type="dxa"/>
            <w:tcBorders>
              <w:top w:val="single" w:sz="6" w:space="0" w:color="auto"/>
              <w:left w:val="single" w:sz="6" w:space="0" w:color="auto"/>
              <w:bottom w:val="single" w:sz="6" w:space="0" w:color="auto"/>
              <w:right w:val="single" w:sz="6" w:space="0" w:color="auto"/>
            </w:tcBorders>
          </w:tcPr>
          <w:p w14:paraId="5411747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 Linne</w:t>
            </w:r>
          </w:p>
        </w:tc>
        <w:tc>
          <w:tcPr>
            <w:tcW w:w="821" w:type="dxa"/>
            <w:tcBorders>
              <w:top w:val="single" w:sz="6" w:space="0" w:color="auto"/>
              <w:left w:val="single" w:sz="6" w:space="0" w:color="auto"/>
              <w:bottom w:val="single" w:sz="6" w:space="0" w:color="auto"/>
              <w:right w:val="single" w:sz="6" w:space="0" w:color="auto"/>
            </w:tcBorders>
          </w:tcPr>
          <w:p w14:paraId="3CADC894"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89" w:type="dxa"/>
            <w:tcBorders>
              <w:top w:val="single" w:sz="6" w:space="0" w:color="auto"/>
              <w:left w:val="single" w:sz="6" w:space="0" w:color="auto"/>
              <w:bottom w:val="single" w:sz="6" w:space="0" w:color="auto"/>
              <w:right w:val="single" w:sz="6" w:space="0" w:color="auto"/>
            </w:tcBorders>
          </w:tcPr>
          <w:p w14:paraId="71F4BD5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30" w:type="dxa"/>
            <w:tcBorders>
              <w:top w:val="single" w:sz="6" w:space="0" w:color="auto"/>
              <w:left w:val="single" w:sz="6" w:space="0" w:color="auto"/>
              <w:bottom w:val="single" w:sz="6" w:space="0" w:color="auto"/>
              <w:right w:val="single" w:sz="6" w:space="0" w:color="auto"/>
            </w:tcBorders>
          </w:tcPr>
          <w:p w14:paraId="550FA75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0" w:type="dxa"/>
            <w:tcBorders>
              <w:top w:val="single" w:sz="6" w:space="0" w:color="auto"/>
              <w:left w:val="single" w:sz="6" w:space="0" w:color="auto"/>
              <w:bottom w:val="single" w:sz="6" w:space="0" w:color="auto"/>
              <w:right w:val="single" w:sz="6" w:space="0" w:color="auto"/>
            </w:tcBorders>
          </w:tcPr>
          <w:p w14:paraId="54928EA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51" w:type="dxa"/>
            <w:tcBorders>
              <w:top w:val="single" w:sz="6" w:space="0" w:color="auto"/>
              <w:left w:val="single" w:sz="6" w:space="0" w:color="auto"/>
              <w:bottom w:val="single" w:sz="6" w:space="0" w:color="auto"/>
              <w:right w:val="single" w:sz="6" w:space="0" w:color="auto"/>
            </w:tcBorders>
          </w:tcPr>
          <w:p w14:paraId="1576F69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117C0D" w:rsidRPr="003954D9" w14:paraId="704CA696" w14:textId="77777777" w:rsidTr="00117C0D">
        <w:trPr>
          <w:trHeight w:val="290"/>
        </w:trPr>
        <w:tc>
          <w:tcPr>
            <w:tcW w:w="1590" w:type="dxa"/>
            <w:tcBorders>
              <w:top w:val="single" w:sz="6" w:space="0" w:color="auto"/>
              <w:left w:val="single" w:sz="6" w:space="0" w:color="auto"/>
              <w:bottom w:val="single" w:sz="6" w:space="0" w:color="auto"/>
              <w:right w:val="single" w:sz="6" w:space="0" w:color="auto"/>
            </w:tcBorders>
          </w:tcPr>
          <w:p w14:paraId="08987F96" w14:textId="153C1722"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Ensambo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5D635204"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3 487</w:t>
            </w:r>
          </w:p>
        </w:tc>
        <w:tc>
          <w:tcPr>
            <w:tcW w:w="885" w:type="dxa"/>
            <w:tcBorders>
              <w:top w:val="single" w:sz="6" w:space="0" w:color="auto"/>
              <w:left w:val="single" w:sz="6" w:space="0" w:color="auto"/>
              <w:bottom w:val="single" w:sz="6" w:space="0" w:color="auto"/>
              <w:right w:val="single" w:sz="6" w:space="0" w:color="auto"/>
            </w:tcBorders>
          </w:tcPr>
          <w:p w14:paraId="464E49F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5 894</w:t>
            </w:r>
          </w:p>
        </w:tc>
        <w:tc>
          <w:tcPr>
            <w:tcW w:w="821" w:type="dxa"/>
            <w:tcBorders>
              <w:top w:val="single" w:sz="6" w:space="0" w:color="auto"/>
              <w:left w:val="single" w:sz="6" w:space="0" w:color="auto"/>
              <w:bottom w:val="single" w:sz="6" w:space="0" w:color="auto"/>
              <w:right w:val="single" w:sz="6" w:space="0" w:color="auto"/>
            </w:tcBorders>
          </w:tcPr>
          <w:p w14:paraId="4478021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6 921</w:t>
            </w:r>
          </w:p>
        </w:tc>
        <w:tc>
          <w:tcPr>
            <w:tcW w:w="747" w:type="dxa"/>
            <w:tcBorders>
              <w:top w:val="single" w:sz="6" w:space="0" w:color="auto"/>
              <w:left w:val="single" w:sz="6" w:space="0" w:color="auto"/>
              <w:bottom w:val="single" w:sz="6" w:space="0" w:color="auto"/>
              <w:right w:val="single" w:sz="6" w:space="0" w:color="auto"/>
            </w:tcBorders>
          </w:tcPr>
          <w:p w14:paraId="4AF3F34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6 353</w:t>
            </w:r>
          </w:p>
        </w:tc>
        <w:tc>
          <w:tcPr>
            <w:tcW w:w="821" w:type="dxa"/>
            <w:tcBorders>
              <w:top w:val="single" w:sz="6" w:space="0" w:color="auto"/>
              <w:left w:val="single" w:sz="6" w:space="0" w:color="auto"/>
              <w:bottom w:val="single" w:sz="6" w:space="0" w:color="auto"/>
              <w:right w:val="single" w:sz="6" w:space="0" w:color="auto"/>
            </w:tcBorders>
          </w:tcPr>
          <w:p w14:paraId="0BC8F85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7 428</w:t>
            </w:r>
          </w:p>
        </w:tc>
        <w:tc>
          <w:tcPr>
            <w:tcW w:w="821" w:type="dxa"/>
            <w:tcBorders>
              <w:top w:val="single" w:sz="6" w:space="0" w:color="auto"/>
              <w:left w:val="single" w:sz="6" w:space="0" w:color="auto"/>
              <w:bottom w:val="single" w:sz="6" w:space="0" w:color="auto"/>
              <w:right w:val="single" w:sz="6" w:space="0" w:color="auto"/>
            </w:tcBorders>
          </w:tcPr>
          <w:p w14:paraId="37EBB34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6 127</w:t>
            </w:r>
          </w:p>
        </w:tc>
        <w:tc>
          <w:tcPr>
            <w:tcW w:w="789" w:type="dxa"/>
            <w:tcBorders>
              <w:top w:val="single" w:sz="6" w:space="0" w:color="auto"/>
              <w:left w:val="single" w:sz="6" w:space="0" w:color="auto"/>
              <w:bottom w:val="single" w:sz="6" w:space="0" w:color="auto"/>
              <w:right w:val="single" w:sz="6" w:space="0" w:color="auto"/>
            </w:tcBorders>
          </w:tcPr>
          <w:p w14:paraId="6849F2A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4 282</w:t>
            </w:r>
          </w:p>
        </w:tc>
        <w:tc>
          <w:tcPr>
            <w:tcW w:w="830" w:type="dxa"/>
            <w:tcBorders>
              <w:top w:val="single" w:sz="6" w:space="0" w:color="auto"/>
              <w:left w:val="single" w:sz="6" w:space="0" w:color="auto"/>
              <w:bottom w:val="single" w:sz="6" w:space="0" w:color="auto"/>
              <w:right w:val="single" w:sz="6" w:space="0" w:color="auto"/>
            </w:tcBorders>
          </w:tcPr>
          <w:p w14:paraId="77EDCE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7 279</w:t>
            </w:r>
          </w:p>
        </w:tc>
        <w:tc>
          <w:tcPr>
            <w:tcW w:w="850" w:type="dxa"/>
            <w:tcBorders>
              <w:top w:val="single" w:sz="6" w:space="0" w:color="auto"/>
              <w:left w:val="single" w:sz="6" w:space="0" w:color="auto"/>
              <w:bottom w:val="single" w:sz="6" w:space="0" w:color="auto"/>
              <w:right w:val="single" w:sz="6" w:space="0" w:color="auto"/>
            </w:tcBorders>
          </w:tcPr>
          <w:p w14:paraId="791E818F"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7 472</w:t>
            </w:r>
          </w:p>
        </w:tc>
        <w:tc>
          <w:tcPr>
            <w:tcW w:w="851" w:type="dxa"/>
            <w:tcBorders>
              <w:top w:val="single" w:sz="6" w:space="0" w:color="auto"/>
              <w:left w:val="single" w:sz="6" w:space="0" w:color="auto"/>
              <w:bottom w:val="single" w:sz="6" w:space="0" w:color="auto"/>
              <w:right w:val="single" w:sz="6" w:space="0" w:color="auto"/>
            </w:tcBorders>
          </w:tcPr>
          <w:p w14:paraId="225D4C8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4 266</w:t>
            </w:r>
          </w:p>
        </w:tc>
      </w:tr>
      <w:tr w:rsidR="00117C0D" w:rsidRPr="003954D9" w14:paraId="5A47F806" w14:textId="77777777" w:rsidTr="00117C0D">
        <w:trPr>
          <w:trHeight w:val="290"/>
        </w:trPr>
        <w:tc>
          <w:tcPr>
            <w:tcW w:w="1590" w:type="dxa"/>
            <w:tcBorders>
              <w:top w:val="single" w:sz="6" w:space="0" w:color="auto"/>
              <w:left w:val="single" w:sz="6" w:space="0" w:color="auto"/>
              <w:bottom w:val="single" w:sz="6" w:space="0" w:color="auto"/>
              <w:right w:val="single" w:sz="6" w:space="0" w:color="auto"/>
            </w:tcBorders>
          </w:tcPr>
          <w:p w14:paraId="479FAB66" w14:textId="23F51905"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Ensambo u. barn </w:t>
            </w:r>
            <w:r w:rsidR="00365C66" w:rsidRPr="003954D9">
              <w:rPr>
                <w:rFonts w:ascii="Calibri" w:hAnsi="Calibri" w:cs="Calibri"/>
                <w:color w:val="000000"/>
                <w:sz w:val="16"/>
                <w:szCs w:val="16"/>
              </w:rPr>
              <w:t>65-år</w:t>
            </w:r>
          </w:p>
        </w:tc>
        <w:tc>
          <w:tcPr>
            <w:tcW w:w="807" w:type="dxa"/>
            <w:tcBorders>
              <w:top w:val="single" w:sz="6" w:space="0" w:color="auto"/>
              <w:left w:val="single" w:sz="6" w:space="0" w:color="auto"/>
              <w:bottom w:val="single" w:sz="6" w:space="0" w:color="auto"/>
              <w:right w:val="single" w:sz="6" w:space="0" w:color="auto"/>
            </w:tcBorders>
          </w:tcPr>
          <w:p w14:paraId="537F38E7"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1 783</w:t>
            </w:r>
          </w:p>
        </w:tc>
        <w:tc>
          <w:tcPr>
            <w:tcW w:w="885" w:type="dxa"/>
            <w:tcBorders>
              <w:top w:val="single" w:sz="6" w:space="0" w:color="auto"/>
              <w:left w:val="single" w:sz="6" w:space="0" w:color="auto"/>
              <w:bottom w:val="single" w:sz="6" w:space="0" w:color="auto"/>
              <w:right w:val="single" w:sz="6" w:space="0" w:color="auto"/>
            </w:tcBorders>
          </w:tcPr>
          <w:p w14:paraId="52B6CF6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2 692</w:t>
            </w:r>
          </w:p>
        </w:tc>
        <w:tc>
          <w:tcPr>
            <w:tcW w:w="821" w:type="dxa"/>
            <w:tcBorders>
              <w:top w:val="single" w:sz="6" w:space="0" w:color="auto"/>
              <w:left w:val="single" w:sz="6" w:space="0" w:color="auto"/>
              <w:bottom w:val="single" w:sz="6" w:space="0" w:color="auto"/>
              <w:right w:val="single" w:sz="6" w:space="0" w:color="auto"/>
            </w:tcBorders>
          </w:tcPr>
          <w:p w14:paraId="4A3EB7C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4 524</w:t>
            </w:r>
          </w:p>
        </w:tc>
        <w:tc>
          <w:tcPr>
            <w:tcW w:w="747" w:type="dxa"/>
            <w:tcBorders>
              <w:top w:val="single" w:sz="6" w:space="0" w:color="auto"/>
              <w:left w:val="single" w:sz="6" w:space="0" w:color="auto"/>
              <w:bottom w:val="single" w:sz="6" w:space="0" w:color="auto"/>
              <w:right w:val="single" w:sz="6" w:space="0" w:color="auto"/>
            </w:tcBorders>
          </w:tcPr>
          <w:p w14:paraId="631DD4B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3 986</w:t>
            </w:r>
          </w:p>
        </w:tc>
        <w:tc>
          <w:tcPr>
            <w:tcW w:w="821" w:type="dxa"/>
            <w:tcBorders>
              <w:top w:val="single" w:sz="6" w:space="0" w:color="auto"/>
              <w:left w:val="single" w:sz="6" w:space="0" w:color="auto"/>
              <w:bottom w:val="single" w:sz="6" w:space="0" w:color="auto"/>
              <w:right w:val="single" w:sz="6" w:space="0" w:color="auto"/>
            </w:tcBorders>
          </w:tcPr>
          <w:p w14:paraId="0A77496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4 892</w:t>
            </w:r>
          </w:p>
        </w:tc>
        <w:tc>
          <w:tcPr>
            <w:tcW w:w="821" w:type="dxa"/>
            <w:tcBorders>
              <w:top w:val="single" w:sz="6" w:space="0" w:color="auto"/>
              <w:left w:val="single" w:sz="6" w:space="0" w:color="auto"/>
              <w:bottom w:val="single" w:sz="6" w:space="0" w:color="auto"/>
              <w:right w:val="single" w:sz="6" w:space="0" w:color="auto"/>
            </w:tcBorders>
          </w:tcPr>
          <w:p w14:paraId="1D46C53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2 658</w:t>
            </w:r>
          </w:p>
        </w:tc>
        <w:tc>
          <w:tcPr>
            <w:tcW w:w="789" w:type="dxa"/>
            <w:tcBorders>
              <w:top w:val="single" w:sz="6" w:space="0" w:color="auto"/>
              <w:left w:val="single" w:sz="6" w:space="0" w:color="auto"/>
              <w:bottom w:val="single" w:sz="6" w:space="0" w:color="auto"/>
              <w:right w:val="single" w:sz="6" w:space="0" w:color="auto"/>
            </w:tcBorders>
          </w:tcPr>
          <w:p w14:paraId="3F09751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2 627</w:t>
            </w:r>
          </w:p>
        </w:tc>
        <w:tc>
          <w:tcPr>
            <w:tcW w:w="830" w:type="dxa"/>
            <w:tcBorders>
              <w:top w:val="single" w:sz="6" w:space="0" w:color="auto"/>
              <w:left w:val="single" w:sz="6" w:space="0" w:color="auto"/>
              <w:bottom w:val="single" w:sz="6" w:space="0" w:color="auto"/>
              <w:right w:val="single" w:sz="6" w:space="0" w:color="auto"/>
            </w:tcBorders>
          </w:tcPr>
          <w:p w14:paraId="68DD316B"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5 429</w:t>
            </w:r>
          </w:p>
        </w:tc>
        <w:tc>
          <w:tcPr>
            <w:tcW w:w="850" w:type="dxa"/>
            <w:tcBorders>
              <w:top w:val="single" w:sz="6" w:space="0" w:color="auto"/>
              <w:left w:val="single" w:sz="6" w:space="0" w:color="auto"/>
              <w:bottom w:val="single" w:sz="6" w:space="0" w:color="auto"/>
              <w:right w:val="single" w:sz="6" w:space="0" w:color="auto"/>
            </w:tcBorders>
          </w:tcPr>
          <w:p w14:paraId="08BDB5B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3 619</w:t>
            </w:r>
          </w:p>
        </w:tc>
        <w:tc>
          <w:tcPr>
            <w:tcW w:w="851" w:type="dxa"/>
            <w:tcBorders>
              <w:top w:val="single" w:sz="6" w:space="0" w:color="auto"/>
              <w:left w:val="single" w:sz="6" w:space="0" w:color="auto"/>
              <w:bottom w:val="single" w:sz="6" w:space="0" w:color="auto"/>
              <w:right w:val="single" w:sz="6" w:space="0" w:color="auto"/>
            </w:tcBorders>
          </w:tcPr>
          <w:p w14:paraId="70F0A07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2 247</w:t>
            </w:r>
          </w:p>
        </w:tc>
      </w:tr>
      <w:tr w:rsidR="00117C0D" w:rsidRPr="003954D9" w14:paraId="34D8421B" w14:textId="77777777" w:rsidTr="00117C0D">
        <w:trPr>
          <w:trHeight w:val="290"/>
        </w:trPr>
        <w:tc>
          <w:tcPr>
            <w:tcW w:w="1590" w:type="dxa"/>
            <w:tcBorders>
              <w:top w:val="single" w:sz="6" w:space="0" w:color="auto"/>
              <w:left w:val="single" w:sz="6" w:space="0" w:color="auto"/>
              <w:bottom w:val="single" w:sz="6" w:space="0" w:color="auto"/>
              <w:right w:val="single" w:sz="6" w:space="0" w:color="auto"/>
            </w:tcBorders>
          </w:tcPr>
          <w:p w14:paraId="1602EA74" w14:textId="6EB6758A"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Ensamst. m.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08E929AE"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635</w:t>
            </w:r>
          </w:p>
        </w:tc>
        <w:tc>
          <w:tcPr>
            <w:tcW w:w="885" w:type="dxa"/>
            <w:tcBorders>
              <w:top w:val="single" w:sz="6" w:space="0" w:color="auto"/>
              <w:left w:val="single" w:sz="6" w:space="0" w:color="auto"/>
              <w:bottom w:val="single" w:sz="6" w:space="0" w:color="auto"/>
              <w:right w:val="single" w:sz="6" w:space="0" w:color="auto"/>
            </w:tcBorders>
          </w:tcPr>
          <w:p w14:paraId="73F09AE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1 548</w:t>
            </w:r>
          </w:p>
        </w:tc>
        <w:tc>
          <w:tcPr>
            <w:tcW w:w="821" w:type="dxa"/>
            <w:tcBorders>
              <w:top w:val="single" w:sz="6" w:space="0" w:color="auto"/>
              <w:left w:val="single" w:sz="6" w:space="0" w:color="auto"/>
              <w:bottom w:val="single" w:sz="6" w:space="0" w:color="auto"/>
              <w:right w:val="single" w:sz="6" w:space="0" w:color="auto"/>
            </w:tcBorders>
          </w:tcPr>
          <w:p w14:paraId="70736D93"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2 925</w:t>
            </w:r>
          </w:p>
        </w:tc>
        <w:tc>
          <w:tcPr>
            <w:tcW w:w="747" w:type="dxa"/>
            <w:tcBorders>
              <w:top w:val="single" w:sz="6" w:space="0" w:color="auto"/>
              <w:left w:val="single" w:sz="6" w:space="0" w:color="auto"/>
              <w:bottom w:val="single" w:sz="6" w:space="0" w:color="auto"/>
              <w:right w:val="single" w:sz="6" w:space="0" w:color="auto"/>
            </w:tcBorders>
          </w:tcPr>
          <w:p w14:paraId="173FA2B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1 298</w:t>
            </w:r>
          </w:p>
        </w:tc>
        <w:tc>
          <w:tcPr>
            <w:tcW w:w="821" w:type="dxa"/>
            <w:tcBorders>
              <w:top w:val="single" w:sz="6" w:space="0" w:color="auto"/>
              <w:left w:val="single" w:sz="6" w:space="0" w:color="auto"/>
              <w:bottom w:val="single" w:sz="6" w:space="0" w:color="auto"/>
              <w:right w:val="single" w:sz="6" w:space="0" w:color="auto"/>
            </w:tcBorders>
          </w:tcPr>
          <w:p w14:paraId="7F51A86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2 705</w:t>
            </w:r>
          </w:p>
        </w:tc>
        <w:tc>
          <w:tcPr>
            <w:tcW w:w="821" w:type="dxa"/>
            <w:tcBorders>
              <w:top w:val="single" w:sz="6" w:space="0" w:color="auto"/>
              <w:left w:val="single" w:sz="6" w:space="0" w:color="auto"/>
              <w:bottom w:val="single" w:sz="6" w:space="0" w:color="auto"/>
              <w:right w:val="single" w:sz="6" w:space="0" w:color="auto"/>
            </w:tcBorders>
          </w:tcPr>
          <w:p w14:paraId="7AB78A6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1 571</w:t>
            </w:r>
          </w:p>
        </w:tc>
        <w:tc>
          <w:tcPr>
            <w:tcW w:w="789" w:type="dxa"/>
            <w:tcBorders>
              <w:top w:val="single" w:sz="6" w:space="0" w:color="auto"/>
              <w:left w:val="single" w:sz="6" w:space="0" w:color="auto"/>
              <w:bottom w:val="single" w:sz="6" w:space="0" w:color="auto"/>
              <w:right w:val="single" w:sz="6" w:space="0" w:color="auto"/>
            </w:tcBorders>
          </w:tcPr>
          <w:p w14:paraId="6E44A65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712</w:t>
            </w:r>
          </w:p>
        </w:tc>
        <w:tc>
          <w:tcPr>
            <w:tcW w:w="830" w:type="dxa"/>
            <w:tcBorders>
              <w:top w:val="single" w:sz="6" w:space="0" w:color="auto"/>
              <w:left w:val="single" w:sz="6" w:space="0" w:color="auto"/>
              <w:bottom w:val="single" w:sz="6" w:space="0" w:color="auto"/>
              <w:right w:val="single" w:sz="6" w:space="0" w:color="auto"/>
            </w:tcBorders>
          </w:tcPr>
          <w:p w14:paraId="5AAE689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2 373</w:t>
            </w:r>
          </w:p>
        </w:tc>
        <w:tc>
          <w:tcPr>
            <w:tcW w:w="850" w:type="dxa"/>
            <w:tcBorders>
              <w:top w:val="single" w:sz="6" w:space="0" w:color="auto"/>
              <w:left w:val="single" w:sz="6" w:space="0" w:color="auto"/>
              <w:bottom w:val="single" w:sz="6" w:space="0" w:color="auto"/>
              <w:right w:val="single" w:sz="6" w:space="0" w:color="auto"/>
            </w:tcBorders>
          </w:tcPr>
          <w:p w14:paraId="6FEF54F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2 108</w:t>
            </w:r>
          </w:p>
        </w:tc>
        <w:tc>
          <w:tcPr>
            <w:tcW w:w="851" w:type="dxa"/>
            <w:tcBorders>
              <w:top w:val="single" w:sz="6" w:space="0" w:color="auto"/>
              <w:left w:val="single" w:sz="6" w:space="0" w:color="auto"/>
              <w:bottom w:val="single" w:sz="6" w:space="0" w:color="auto"/>
              <w:right w:val="single" w:sz="6" w:space="0" w:color="auto"/>
            </w:tcBorders>
          </w:tcPr>
          <w:p w14:paraId="4B9BD8C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844</w:t>
            </w:r>
          </w:p>
        </w:tc>
      </w:tr>
      <w:tr w:rsidR="00117C0D" w:rsidRPr="003954D9" w14:paraId="7B9750EB" w14:textId="77777777" w:rsidTr="00117C0D">
        <w:trPr>
          <w:trHeight w:val="290"/>
        </w:trPr>
        <w:tc>
          <w:tcPr>
            <w:tcW w:w="1590" w:type="dxa"/>
            <w:tcBorders>
              <w:top w:val="single" w:sz="6" w:space="0" w:color="auto"/>
              <w:left w:val="single" w:sz="6" w:space="0" w:color="auto"/>
              <w:bottom w:val="single" w:sz="6" w:space="0" w:color="auto"/>
              <w:right w:val="single" w:sz="6" w:space="0" w:color="auto"/>
            </w:tcBorders>
          </w:tcPr>
          <w:p w14:paraId="676CCA4A" w14:textId="4F84A20F"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539979D5"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4 872</w:t>
            </w:r>
          </w:p>
        </w:tc>
        <w:tc>
          <w:tcPr>
            <w:tcW w:w="885" w:type="dxa"/>
            <w:tcBorders>
              <w:top w:val="single" w:sz="6" w:space="0" w:color="auto"/>
              <w:left w:val="single" w:sz="6" w:space="0" w:color="auto"/>
              <w:bottom w:val="single" w:sz="6" w:space="0" w:color="auto"/>
              <w:right w:val="single" w:sz="6" w:space="0" w:color="auto"/>
            </w:tcBorders>
          </w:tcPr>
          <w:p w14:paraId="41E3D15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8 342</w:t>
            </w:r>
          </w:p>
        </w:tc>
        <w:tc>
          <w:tcPr>
            <w:tcW w:w="821" w:type="dxa"/>
            <w:tcBorders>
              <w:top w:val="single" w:sz="6" w:space="0" w:color="auto"/>
              <w:left w:val="single" w:sz="6" w:space="0" w:color="auto"/>
              <w:bottom w:val="single" w:sz="6" w:space="0" w:color="auto"/>
              <w:right w:val="single" w:sz="6" w:space="0" w:color="auto"/>
            </w:tcBorders>
          </w:tcPr>
          <w:p w14:paraId="5BE4000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10 661</w:t>
            </w:r>
          </w:p>
        </w:tc>
        <w:tc>
          <w:tcPr>
            <w:tcW w:w="747" w:type="dxa"/>
            <w:tcBorders>
              <w:top w:val="single" w:sz="6" w:space="0" w:color="auto"/>
              <w:left w:val="single" w:sz="6" w:space="0" w:color="auto"/>
              <w:bottom w:val="single" w:sz="6" w:space="0" w:color="auto"/>
              <w:right w:val="single" w:sz="6" w:space="0" w:color="auto"/>
            </w:tcBorders>
          </w:tcPr>
          <w:p w14:paraId="54E2EB0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7 833</w:t>
            </w:r>
          </w:p>
        </w:tc>
        <w:tc>
          <w:tcPr>
            <w:tcW w:w="821" w:type="dxa"/>
            <w:tcBorders>
              <w:top w:val="single" w:sz="6" w:space="0" w:color="auto"/>
              <w:left w:val="single" w:sz="6" w:space="0" w:color="auto"/>
              <w:bottom w:val="single" w:sz="6" w:space="0" w:color="auto"/>
              <w:right w:val="single" w:sz="6" w:space="0" w:color="auto"/>
            </w:tcBorders>
          </w:tcPr>
          <w:p w14:paraId="20606D5A"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10 861</w:t>
            </w:r>
          </w:p>
        </w:tc>
        <w:tc>
          <w:tcPr>
            <w:tcW w:w="821" w:type="dxa"/>
            <w:tcBorders>
              <w:top w:val="single" w:sz="6" w:space="0" w:color="auto"/>
              <w:left w:val="single" w:sz="6" w:space="0" w:color="auto"/>
              <w:bottom w:val="single" w:sz="6" w:space="0" w:color="auto"/>
              <w:right w:val="single" w:sz="6" w:space="0" w:color="auto"/>
            </w:tcBorders>
          </w:tcPr>
          <w:p w14:paraId="2E4FD37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6 616</w:t>
            </w:r>
          </w:p>
        </w:tc>
        <w:tc>
          <w:tcPr>
            <w:tcW w:w="789" w:type="dxa"/>
            <w:tcBorders>
              <w:top w:val="single" w:sz="6" w:space="0" w:color="auto"/>
              <w:left w:val="single" w:sz="6" w:space="0" w:color="auto"/>
              <w:bottom w:val="single" w:sz="6" w:space="0" w:color="auto"/>
              <w:right w:val="single" w:sz="6" w:space="0" w:color="auto"/>
            </w:tcBorders>
          </w:tcPr>
          <w:p w14:paraId="476F3C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5 702</w:t>
            </w:r>
          </w:p>
        </w:tc>
        <w:tc>
          <w:tcPr>
            <w:tcW w:w="830" w:type="dxa"/>
            <w:tcBorders>
              <w:top w:val="single" w:sz="6" w:space="0" w:color="auto"/>
              <w:left w:val="single" w:sz="6" w:space="0" w:color="auto"/>
              <w:bottom w:val="single" w:sz="6" w:space="0" w:color="auto"/>
              <w:right w:val="single" w:sz="6" w:space="0" w:color="auto"/>
            </w:tcBorders>
          </w:tcPr>
          <w:p w14:paraId="1181A77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9 907</w:t>
            </w:r>
          </w:p>
        </w:tc>
        <w:tc>
          <w:tcPr>
            <w:tcW w:w="850" w:type="dxa"/>
            <w:tcBorders>
              <w:top w:val="single" w:sz="6" w:space="0" w:color="auto"/>
              <w:left w:val="single" w:sz="6" w:space="0" w:color="auto"/>
              <w:bottom w:val="single" w:sz="6" w:space="0" w:color="auto"/>
              <w:right w:val="single" w:sz="6" w:space="0" w:color="auto"/>
            </w:tcBorders>
          </w:tcPr>
          <w:p w14:paraId="3601753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9 739</w:t>
            </w:r>
          </w:p>
        </w:tc>
        <w:tc>
          <w:tcPr>
            <w:tcW w:w="851" w:type="dxa"/>
            <w:tcBorders>
              <w:top w:val="single" w:sz="6" w:space="0" w:color="auto"/>
              <w:left w:val="single" w:sz="6" w:space="0" w:color="auto"/>
              <w:bottom w:val="single" w:sz="6" w:space="0" w:color="auto"/>
              <w:right w:val="single" w:sz="6" w:space="0" w:color="auto"/>
            </w:tcBorders>
          </w:tcPr>
          <w:p w14:paraId="70FB812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5 560</w:t>
            </w:r>
          </w:p>
        </w:tc>
      </w:tr>
      <w:tr w:rsidR="00117C0D" w:rsidRPr="003954D9" w14:paraId="24AB1FAA" w14:textId="77777777" w:rsidTr="00117C0D">
        <w:trPr>
          <w:trHeight w:val="290"/>
        </w:trPr>
        <w:tc>
          <w:tcPr>
            <w:tcW w:w="1590" w:type="dxa"/>
            <w:tcBorders>
              <w:top w:val="single" w:sz="6" w:space="0" w:color="auto"/>
              <w:left w:val="single" w:sz="6" w:space="0" w:color="auto"/>
              <w:bottom w:val="single" w:sz="6" w:space="0" w:color="auto"/>
              <w:right w:val="single" w:sz="6" w:space="0" w:color="auto"/>
            </w:tcBorders>
          </w:tcPr>
          <w:p w14:paraId="770842C6" w14:textId="525E6A6E"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65-år</w:t>
            </w:r>
          </w:p>
        </w:tc>
        <w:tc>
          <w:tcPr>
            <w:tcW w:w="807" w:type="dxa"/>
            <w:tcBorders>
              <w:top w:val="single" w:sz="6" w:space="0" w:color="auto"/>
              <w:left w:val="single" w:sz="6" w:space="0" w:color="auto"/>
              <w:bottom w:val="single" w:sz="6" w:space="0" w:color="auto"/>
              <w:right w:val="single" w:sz="6" w:space="0" w:color="auto"/>
            </w:tcBorders>
          </w:tcPr>
          <w:p w14:paraId="12F6AC6E"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2 638</w:t>
            </w:r>
          </w:p>
        </w:tc>
        <w:tc>
          <w:tcPr>
            <w:tcW w:w="885" w:type="dxa"/>
            <w:tcBorders>
              <w:top w:val="single" w:sz="6" w:space="0" w:color="auto"/>
              <w:left w:val="single" w:sz="6" w:space="0" w:color="auto"/>
              <w:bottom w:val="single" w:sz="6" w:space="0" w:color="auto"/>
              <w:right w:val="single" w:sz="6" w:space="0" w:color="auto"/>
            </w:tcBorders>
          </w:tcPr>
          <w:p w14:paraId="1C41AD3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5 205</w:t>
            </w:r>
          </w:p>
        </w:tc>
        <w:tc>
          <w:tcPr>
            <w:tcW w:w="821" w:type="dxa"/>
            <w:tcBorders>
              <w:top w:val="single" w:sz="6" w:space="0" w:color="auto"/>
              <w:left w:val="single" w:sz="6" w:space="0" w:color="auto"/>
              <w:bottom w:val="single" w:sz="6" w:space="0" w:color="auto"/>
              <w:right w:val="single" w:sz="6" w:space="0" w:color="auto"/>
            </w:tcBorders>
          </w:tcPr>
          <w:p w14:paraId="1E9FB64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7 860</w:t>
            </w:r>
          </w:p>
        </w:tc>
        <w:tc>
          <w:tcPr>
            <w:tcW w:w="747" w:type="dxa"/>
            <w:tcBorders>
              <w:top w:val="single" w:sz="6" w:space="0" w:color="auto"/>
              <w:left w:val="single" w:sz="6" w:space="0" w:color="auto"/>
              <w:bottom w:val="single" w:sz="6" w:space="0" w:color="auto"/>
              <w:right w:val="single" w:sz="6" w:space="0" w:color="auto"/>
            </w:tcBorders>
          </w:tcPr>
          <w:p w14:paraId="701FC52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4 279</w:t>
            </w:r>
          </w:p>
        </w:tc>
        <w:tc>
          <w:tcPr>
            <w:tcW w:w="821" w:type="dxa"/>
            <w:tcBorders>
              <w:top w:val="single" w:sz="6" w:space="0" w:color="auto"/>
              <w:left w:val="single" w:sz="6" w:space="0" w:color="auto"/>
              <w:bottom w:val="single" w:sz="6" w:space="0" w:color="auto"/>
              <w:right w:val="single" w:sz="6" w:space="0" w:color="auto"/>
            </w:tcBorders>
          </w:tcPr>
          <w:p w14:paraId="0DDC99A8"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9 508</w:t>
            </w:r>
          </w:p>
        </w:tc>
        <w:tc>
          <w:tcPr>
            <w:tcW w:w="821" w:type="dxa"/>
            <w:tcBorders>
              <w:top w:val="single" w:sz="6" w:space="0" w:color="auto"/>
              <w:left w:val="single" w:sz="6" w:space="0" w:color="auto"/>
              <w:bottom w:val="single" w:sz="6" w:space="0" w:color="auto"/>
              <w:right w:val="single" w:sz="6" w:space="0" w:color="auto"/>
            </w:tcBorders>
          </w:tcPr>
          <w:p w14:paraId="62FF85F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5 060</w:t>
            </w:r>
          </w:p>
        </w:tc>
        <w:tc>
          <w:tcPr>
            <w:tcW w:w="789" w:type="dxa"/>
            <w:tcBorders>
              <w:top w:val="single" w:sz="6" w:space="0" w:color="auto"/>
              <w:left w:val="single" w:sz="6" w:space="0" w:color="auto"/>
              <w:bottom w:val="single" w:sz="6" w:space="0" w:color="auto"/>
              <w:right w:val="single" w:sz="6" w:space="0" w:color="auto"/>
            </w:tcBorders>
          </w:tcPr>
          <w:p w14:paraId="7FC4317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3 761</w:t>
            </w:r>
          </w:p>
        </w:tc>
        <w:tc>
          <w:tcPr>
            <w:tcW w:w="830" w:type="dxa"/>
            <w:tcBorders>
              <w:top w:val="single" w:sz="6" w:space="0" w:color="auto"/>
              <w:left w:val="single" w:sz="6" w:space="0" w:color="auto"/>
              <w:bottom w:val="single" w:sz="6" w:space="0" w:color="auto"/>
              <w:right w:val="single" w:sz="6" w:space="0" w:color="auto"/>
            </w:tcBorders>
          </w:tcPr>
          <w:p w14:paraId="24A9C9E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8 079</w:t>
            </w:r>
          </w:p>
        </w:tc>
        <w:tc>
          <w:tcPr>
            <w:tcW w:w="850" w:type="dxa"/>
            <w:tcBorders>
              <w:top w:val="single" w:sz="6" w:space="0" w:color="auto"/>
              <w:left w:val="single" w:sz="6" w:space="0" w:color="auto"/>
              <w:bottom w:val="single" w:sz="6" w:space="0" w:color="auto"/>
              <w:right w:val="single" w:sz="6" w:space="0" w:color="auto"/>
            </w:tcBorders>
          </w:tcPr>
          <w:p w14:paraId="20B303D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6 777</w:t>
            </w:r>
          </w:p>
        </w:tc>
        <w:tc>
          <w:tcPr>
            <w:tcW w:w="851" w:type="dxa"/>
            <w:tcBorders>
              <w:top w:val="single" w:sz="6" w:space="0" w:color="auto"/>
              <w:left w:val="single" w:sz="6" w:space="0" w:color="auto"/>
              <w:bottom w:val="single" w:sz="6" w:space="0" w:color="auto"/>
              <w:right w:val="single" w:sz="6" w:space="0" w:color="auto"/>
            </w:tcBorders>
          </w:tcPr>
          <w:p w14:paraId="0EA680E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3 476</w:t>
            </w:r>
          </w:p>
        </w:tc>
      </w:tr>
      <w:tr w:rsidR="00117C0D" w:rsidRPr="003954D9" w14:paraId="13F8A6FF" w14:textId="77777777" w:rsidTr="00117C0D">
        <w:trPr>
          <w:trHeight w:val="290"/>
        </w:trPr>
        <w:tc>
          <w:tcPr>
            <w:tcW w:w="1590" w:type="dxa"/>
            <w:tcBorders>
              <w:top w:val="single" w:sz="6" w:space="0" w:color="auto"/>
              <w:left w:val="single" w:sz="6" w:space="0" w:color="auto"/>
              <w:bottom w:val="single" w:sz="6" w:space="0" w:color="auto"/>
              <w:right w:val="single" w:sz="6" w:space="0" w:color="auto"/>
            </w:tcBorders>
          </w:tcPr>
          <w:p w14:paraId="53EA9420" w14:textId="2AB8FBA4"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1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6941618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3 149</w:t>
            </w:r>
          </w:p>
        </w:tc>
        <w:tc>
          <w:tcPr>
            <w:tcW w:w="885" w:type="dxa"/>
            <w:tcBorders>
              <w:top w:val="single" w:sz="6" w:space="0" w:color="auto"/>
              <w:left w:val="single" w:sz="6" w:space="0" w:color="auto"/>
              <w:bottom w:val="single" w:sz="6" w:space="0" w:color="auto"/>
              <w:right w:val="single" w:sz="6" w:space="0" w:color="auto"/>
            </w:tcBorders>
          </w:tcPr>
          <w:p w14:paraId="0C47199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5 269</w:t>
            </w:r>
          </w:p>
        </w:tc>
        <w:tc>
          <w:tcPr>
            <w:tcW w:w="821" w:type="dxa"/>
            <w:tcBorders>
              <w:top w:val="single" w:sz="6" w:space="0" w:color="auto"/>
              <w:left w:val="single" w:sz="6" w:space="0" w:color="auto"/>
              <w:bottom w:val="single" w:sz="6" w:space="0" w:color="auto"/>
              <w:right w:val="single" w:sz="6" w:space="0" w:color="auto"/>
            </w:tcBorders>
          </w:tcPr>
          <w:p w14:paraId="1EAE5DE6"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6 917</w:t>
            </w:r>
          </w:p>
        </w:tc>
        <w:tc>
          <w:tcPr>
            <w:tcW w:w="747" w:type="dxa"/>
            <w:tcBorders>
              <w:top w:val="single" w:sz="6" w:space="0" w:color="auto"/>
              <w:left w:val="single" w:sz="6" w:space="0" w:color="auto"/>
              <w:bottom w:val="single" w:sz="6" w:space="0" w:color="auto"/>
              <w:right w:val="single" w:sz="6" w:space="0" w:color="auto"/>
            </w:tcBorders>
          </w:tcPr>
          <w:p w14:paraId="22550D6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3 378</w:t>
            </w:r>
          </w:p>
        </w:tc>
        <w:tc>
          <w:tcPr>
            <w:tcW w:w="821" w:type="dxa"/>
            <w:tcBorders>
              <w:top w:val="single" w:sz="6" w:space="0" w:color="auto"/>
              <w:left w:val="single" w:sz="6" w:space="0" w:color="auto"/>
              <w:bottom w:val="single" w:sz="6" w:space="0" w:color="auto"/>
              <w:right w:val="single" w:sz="6" w:space="0" w:color="auto"/>
            </w:tcBorders>
          </w:tcPr>
          <w:p w14:paraId="33F11CB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6 453</w:t>
            </w:r>
          </w:p>
        </w:tc>
        <w:tc>
          <w:tcPr>
            <w:tcW w:w="821" w:type="dxa"/>
            <w:tcBorders>
              <w:top w:val="single" w:sz="6" w:space="0" w:color="auto"/>
              <w:left w:val="single" w:sz="6" w:space="0" w:color="auto"/>
              <w:bottom w:val="single" w:sz="6" w:space="0" w:color="auto"/>
              <w:right w:val="single" w:sz="6" w:space="0" w:color="auto"/>
            </w:tcBorders>
          </w:tcPr>
          <w:p w14:paraId="43E8481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3 761</w:t>
            </w:r>
          </w:p>
        </w:tc>
        <w:tc>
          <w:tcPr>
            <w:tcW w:w="789" w:type="dxa"/>
            <w:tcBorders>
              <w:top w:val="single" w:sz="6" w:space="0" w:color="auto"/>
              <w:left w:val="single" w:sz="6" w:space="0" w:color="auto"/>
              <w:bottom w:val="single" w:sz="6" w:space="0" w:color="auto"/>
              <w:right w:val="single" w:sz="6" w:space="0" w:color="auto"/>
            </w:tcBorders>
          </w:tcPr>
          <w:p w14:paraId="4122747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2 907</w:t>
            </w:r>
          </w:p>
        </w:tc>
        <w:tc>
          <w:tcPr>
            <w:tcW w:w="830" w:type="dxa"/>
            <w:tcBorders>
              <w:top w:val="single" w:sz="6" w:space="0" w:color="auto"/>
              <w:left w:val="single" w:sz="6" w:space="0" w:color="auto"/>
              <w:bottom w:val="single" w:sz="6" w:space="0" w:color="auto"/>
              <w:right w:val="single" w:sz="6" w:space="0" w:color="auto"/>
            </w:tcBorders>
          </w:tcPr>
          <w:p w14:paraId="61DBF35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6 263</w:t>
            </w:r>
          </w:p>
        </w:tc>
        <w:tc>
          <w:tcPr>
            <w:tcW w:w="850" w:type="dxa"/>
            <w:tcBorders>
              <w:top w:val="single" w:sz="6" w:space="0" w:color="auto"/>
              <w:left w:val="single" w:sz="6" w:space="0" w:color="auto"/>
              <w:bottom w:val="single" w:sz="6" w:space="0" w:color="auto"/>
              <w:right w:val="single" w:sz="6" w:space="0" w:color="auto"/>
            </w:tcBorders>
          </w:tcPr>
          <w:p w14:paraId="4E1259B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5 301</w:t>
            </w:r>
          </w:p>
        </w:tc>
        <w:tc>
          <w:tcPr>
            <w:tcW w:w="851" w:type="dxa"/>
            <w:tcBorders>
              <w:top w:val="single" w:sz="6" w:space="0" w:color="auto"/>
              <w:left w:val="single" w:sz="6" w:space="0" w:color="auto"/>
              <w:bottom w:val="single" w:sz="6" w:space="0" w:color="auto"/>
              <w:right w:val="single" w:sz="6" w:space="0" w:color="auto"/>
            </w:tcBorders>
          </w:tcPr>
          <w:p w14:paraId="3107D164"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2 640</w:t>
            </w:r>
          </w:p>
        </w:tc>
      </w:tr>
      <w:tr w:rsidR="00117C0D" w:rsidRPr="003954D9" w14:paraId="23161162" w14:textId="77777777" w:rsidTr="00117C0D">
        <w:trPr>
          <w:trHeight w:val="290"/>
        </w:trPr>
        <w:tc>
          <w:tcPr>
            <w:tcW w:w="1590" w:type="dxa"/>
            <w:tcBorders>
              <w:top w:val="single" w:sz="6" w:space="0" w:color="auto"/>
              <w:left w:val="single" w:sz="6" w:space="0" w:color="auto"/>
              <w:bottom w:val="single" w:sz="6" w:space="0" w:color="auto"/>
              <w:right w:val="single" w:sz="6" w:space="0" w:color="auto"/>
            </w:tcBorders>
          </w:tcPr>
          <w:p w14:paraId="452B4AEB" w14:textId="52C7BE7B"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2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28E601BF"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1 886</w:t>
            </w:r>
          </w:p>
        </w:tc>
        <w:tc>
          <w:tcPr>
            <w:tcW w:w="885" w:type="dxa"/>
            <w:tcBorders>
              <w:top w:val="single" w:sz="6" w:space="0" w:color="auto"/>
              <w:left w:val="single" w:sz="6" w:space="0" w:color="auto"/>
              <w:bottom w:val="single" w:sz="6" w:space="0" w:color="auto"/>
              <w:right w:val="single" w:sz="6" w:space="0" w:color="auto"/>
            </w:tcBorders>
          </w:tcPr>
          <w:p w14:paraId="1ADDD73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3 058</w:t>
            </w:r>
          </w:p>
        </w:tc>
        <w:tc>
          <w:tcPr>
            <w:tcW w:w="821" w:type="dxa"/>
            <w:tcBorders>
              <w:top w:val="single" w:sz="6" w:space="0" w:color="auto"/>
              <w:left w:val="single" w:sz="6" w:space="0" w:color="auto"/>
              <w:bottom w:val="single" w:sz="6" w:space="0" w:color="auto"/>
              <w:right w:val="single" w:sz="6" w:space="0" w:color="auto"/>
            </w:tcBorders>
          </w:tcPr>
          <w:p w14:paraId="4B959F0F"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5 501</w:t>
            </w:r>
          </w:p>
        </w:tc>
        <w:tc>
          <w:tcPr>
            <w:tcW w:w="747" w:type="dxa"/>
            <w:tcBorders>
              <w:top w:val="single" w:sz="6" w:space="0" w:color="auto"/>
              <w:left w:val="single" w:sz="6" w:space="0" w:color="auto"/>
              <w:bottom w:val="single" w:sz="6" w:space="0" w:color="auto"/>
              <w:right w:val="single" w:sz="6" w:space="0" w:color="auto"/>
            </w:tcBorders>
          </w:tcPr>
          <w:p w14:paraId="4603F2F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2 675</w:t>
            </w:r>
          </w:p>
        </w:tc>
        <w:tc>
          <w:tcPr>
            <w:tcW w:w="821" w:type="dxa"/>
            <w:tcBorders>
              <w:top w:val="single" w:sz="6" w:space="0" w:color="auto"/>
              <w:left w:val="single" w:sz="6" w:space="0" w:color="auto"/>
              <w:bottom w:val="single" w:sz="6" w:space="0" w:color="auto"/>
              <w:right w:val="single" w:sz="6" w:space="0" w:color="auto"/>
            </w:tcBorders>
          </w:tcPr>
          <w:p w14:paraId="208DCD5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4 761</w:t>
            </w:r>
          </w:p>
        </w:tc>
        <w:tc>
          <w:tcPr>
            <w:tcW w:w="821" w:type="dxa"/>
            <w:tcBorders>
              <w:top w:val="single" w:sz="6" w:space="0" w:color="auto"/>
              <w:left w:val="single" w:sz="6" w:space="0" w:color="auto"/>
              <w:bottom w:val="single" w:sz="6" w:space="0" w:color="auto"/>
              <w:right w:val="single" w:sz="6" w:space="0" w:color="auto"/>
            </w:tcBorders>
          </w:tcPr>
          <w:p w14:paraId="7B0C79D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2 899</w:t>
            </w:r>
          </w:p>
        </w:tc>
        <w:tc>
          <w:tcPr>
            <w:tcW w:w="789" w:type="dxa"/>
            <w:tcBorders>
              <w:top w:val="single" w:sz="6" w:space="0" w:color="auto"/>
              <w:left w:val="single" w:sz="6" w:space="0" w:color="auto"/>
              <w:bottom w:val="single" w:sz="6" w:space="0" w:color="auto"/>
              <w:right w:val="single" w:sz="6" w:space="0" w:color="auto"/>
            </w:tcBorders>
          </w:tcPr>
          <w:p w14:paraId="28AB467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2 001</w:t>
            </w:r>
          </w:p>
        </w:tc>
        <w:tc>
          <w:tcPr>
            <w:tcW w:w="830" w:type="dxa"/>
            <w:tcBorders>
              <w:top w:val="single" w:sz="6" w:space="0" w:color="auto"/>
              <w:left w:val="single" w:sz="6" w:space="0" w:color="auto"/>
              <w:bottom w:val="single" w:sz="6" w:space="0" w:color="auto"/>
              <w:right w:val="single" w:sz="6" w:space="0" w:color="auto"/>
            </w:tcBorders>
          </w:tcPr>
          <w:p w14:paraId="4DBBD5F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4 788</w:t>
            </w:r>
          </w:p>
        </w:tc>
        <w:tc>
          <w:tcPr>
            <w:tcW w:w="850" w:type="dxa"/>
            <w:tcBorders>
              <w:top w:val="single" w:sz="6" w:space="0" w:color="auto"/>
              <w:left w:val="single" w:sz="6" w:space="0" w:color="auto"/>
              <w:bottom w:val="single" w:sz="6" w:space="0" w:color="auto"/>
              <w:right w:val="single" w:sz="6" w:space="0" w:color="auto"/>
            </w:tcBorders>
          </w:tcPr>
          <w:p w14:paraId="3A0D4E0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5 383</w:t>
            </w:r>
          </w:p>
        </w:tc>
        <w:tc>
          <w:tcPr>
            <w:tcW w:w="851" w:type="dxa"/>
            <w:tcBorders>
              <w:top w:val="single" w:sz="6" w:space="0" w:color="auto"/>
              <w:left w:val="single" w:sz="6" w:space="0" w:color="auto"/>
              <w:bottom w:val="single" w:sz="6" w:space="0" w:color="auto"/>
              <w:right w:val="single" w:sz="6" w:space="0" w:color="auto"/>
            </w:tcBorders>
          </w:tcPr>
          <w:p w14:paraId="2B77842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1 995</w:t>
            </w:r>
          </w:p>
        </w:tc>
      </w:tr>
      <w:tr w:rsidR="00117C0D" w:rsidRPr="003954D9" w14:paraId="57434E2C" w14:textId="77777777" w:rsidTr="00117C0D">
        <w:trPr>
          <w:trHeight w:val="290"/>
        </w:trPr>
        <w:tc>
          <w:tcPr>
            <w:tcW w:w="1590" w:type="dxa"/>
            <w:tcBorders>
              <w:top w:val="single" w:sz="6" w:space="0" w:color="auto"/>
              <w:left w:val="single" w:sz="6" w:space="0" w:color="auto"/>
              <w:bottom w:val="single" w:sz="6" w:space="0" w:color="auto"/>
              <w:right w:val="single" w:sz="6" w:space="0" w:color="auto"/>
            </w:tcBorders>
          </w:tcPr>
          <w:p w14:paraId="20A59314" w14:textId="32EB6B42"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3-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807" w:type="dxa"/>
            <w:tcBorders>
              <w:top w:val="single" w:sz="6" w:space="0" w:color="auto"/>
              <w:left w:val="single" w:sz="6" w:space="0" w:color="auto"/>
              <w:bottom w:val="single" w:sz="6" w:space="0" w:color="auto"/>
              <w:right w:val="single" w:sz="6" w:space="0" w:color="auto"/>
            </w:tcBorders>
          </w:tcPr>
          <w:p w14:paraId="0B081BC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1 004</w:t>
            </w:r>
          </w:p>
        </w:tc>
        <w:tc>
          <w:tcPr>
            <w:tcW w:w="885" w:type="dxa"/>
            <w:tcBorders>
              <w:top w:val="single" w:sz="6" w:space="0" w:color="auto"/>
              <w:left w:val="single" w:sz="6" w:space="0" w:color="auto"/>
              <w:bottom w:val="single" w:sz="6" w:space="0" w:color="auto"/>
              <w:right w:val="single" w:sz="6" w:space="0" w:color="auto"/>
            </w:tcBorders>
          </w:tcPr>
          <w:p w14:paraId="511DFC3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1 388</w:t>
            </w:r>
          </w:p>
        </w:tc>
        <w:tc>
          <w:tcPr>
            <w:tcW w:w="821" w:type="dxa"/>
            <w:tcBorders>
              <w:top w:val="single" w:sz="6" w:space="0" w:color="auto"/>
              <w:left w:val="single" w:sz="6" w:space="0" w:color="auto"/>
              <w:bottom w:val="single" w:sz="6" w:space="0" w:color="auto"/>
              <w:right w:val="single" w:sz="6" w:space="0" w:color="auto"/>
            </w:tcBorders>
          </w:tcPr>
          <w:p w14:paraId="0661341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2 891</w:t>
            </w:r>
          </w:p>
        </w:tc>
        <w:tc>
          <w:tcPr>
            <w:tcW w:w="747" w:type="dxa"/>
            <w:tcBorders>
              <w:top w:val="single" w:sz="6" w:space="0" w:color="auto"/>
              <w:left w:val="single" w:sz="6" w:space="0" w:color="auto"/>
              <w:bottom w:val="single" w:sz="6" w:space="0" w:color="auto"/>
              <w:right w:val="single" w:sz="6" w:space="0" w:color="auto"/>
            </w:tcBorders>
          </w:tcPr>
          <w:p w14:paraId="5A18A1C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1 426</w:t>
            </w:r>
          </w:p>
        </w:tc>
        <w:tc>
          <w:tcPr>
            <w:tcW w:w="821" w:type="dxa"/>
            <w:tcBorders>
              <w:top w:val="single" w:sz="6" w:space="0" w:color="auto"/>
              <w:left w:val="single" w:sz="6" w:space="0" w:color="auto"/>
              <w:bottom w:val="single" w:sz="6" w:space="0" w:color="auto"/>
              <w:right w:val="single" w:sz="6" w:space="0" w:color="auto"/>
            </w:tcBorders>
          </w:tcPr>
          <w:p w14:paraId="7E037BC6"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3 340</w:t>
            </w:r>
          </w:p>
        </w:tc>
        <w:tc>
          <w:tcPr>
            <w:tcW w:w="821" w:type="dxa"/>
            <w:tcBorders>
              <w:top w:val="single" w:sz="6" w:space="0" w:color="auto"/>
              <w:left w:val="single" w:sz="6" w:space="0" w:color="auto"/>
              <w:bottom w:val="single" w:sz="6" w:space="0" w:color="auto"/>
              <w:right w:val="single" w:sz="6" w:space="0" w:color="auto"/>
            </w:tcBorders>
          </w:tcPr>
          <w:p w14:paraId="66B0606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1 881</w:t>
            </w:r>
          </w:p>
        </w:tc>
        <w:tc>
          <w:tcPr>
            <w:tcW w:w="789" w:type="dxa"/>
            <w:tcBorders>
              <w:top w:val="single" w:sz="6" w:space="0" w:color="auto"/>
              <w:left w:val="single" w:sz="6" w:space="0" w:color="auto"/>
              <w:bottom w:val="single" w:sz="6" w:space="0" w:color="auto"/>
              <w:right w:val="single" w:sz="6" w:space="0" w:color="auto"/>
            </w:tcBorders>
          </w:tcPr>
          <w:p w14:paraId="176E300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997</w:t>
            </w:r>
          </w:p>
        </w:tc>
        <w:tc>
          <w:tcPr>
            <w:tcW w:w="830" w:type="dxa"/>
            <w:tcBorders>
              <w:top w:val="single" w:sz="6" w:space="0" w:color="auto"/>
              <w:left w:val="single" w:sz="6" w:space="0" w:color="auto"/>
              <w:bottom w:val="single" w:sz="6" w:space="0" w:color="auto"/>
              <w:right w:val="single" w:sz="6" w:space="0" w:color="auto"/>
            </w:tcBorders>
          </w:tcPr>
          <w:p w14:paraId="793608C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2 935</w:t>
            </w:r>
          </w:p>
        </w:tc>
        <w:tc>
          <w:tcPr>
            <w:tcW w:w="850" w:type="dxa"/>
            <w:tcBorders>
              <w:top w:val="single" w:sz="6" w:space="0" w:color="auto"/>
              <w:left w:val="single" w:sz="6" w:space="0" w:color="auto"/>
              <w:bottom w:val="single" w:sz="6" w:space="0" w:color="auto"/>
              <w:right w:val="single" w:sz="6" w:space="0" w:color="auto"/>
            </w:tcBorders>
          </w:tcPr>
          <w:p w14:paraId="28FBEB5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2 214</w:t>
            </w:r>
          </w:p>
        </w:tc>
        <w:tc>
          <w:tcPr>
            <w:tcW w:w="851" w:type="dxa"/>
            <w:tcBorders>
              <w:top w:val="single" w:sz="6" w:space="0" w:color="auto"/>
              <w:left w:val="single" w:sz="6" w:space="0" w:color="auto"/>
              <w:bottom w:val="single" w:sz="6" w:space="0" w:color="auto"/>
              <w:right w:val="single" w:sz="6" w:space="0" w:color="auto"/>
            </w:tcBorders>
          </w:tcPr>
          <w:p w14:paraId="63809790"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962</w:t>
            </w:r>
          </w:p>
        </w:tc>
      </w:tr>
      <w:tr w:rsidR="00117C0D" w:rsidRPr="003954D9" w14:paraId="575CB0DE" w14:textId="77777777" w:rsidTr="00117C0D">
        <w:trPr>
          <w:trHeight w:val="290"/>
        </w:trPr>
        <w:tc>
          <w:tcPr>
            <w:tcW w:w="1590" w:type="dxa"/>
            <w:tcBorders>
              <w:top w:val="single" w:sz="6" w:space="0" w:color="auto"/>
              <w:left w:val="single" w:sz="6" w:space="0" w:color="auto"/>
              <w:bottom w:val="single" w:sz="6" w:space="0" w:color="auto"/>
              <w:right w:val="single" w:sz="6" w:space="0" w:color="auto"/>
            </w:tcBorders>
          </w:tcPr>
          <w:p w14:paraId="4C1AC62D" w14:textId="54FDE8C4" w:rsidR="00117C0D" w:rsidRPr="003954D9" w:rsidRDefault="00DD3DF3" w:rsidP="00117C0D">
            <w:pPr>
              <w:autoSpaceDE w:val="0"/>
              <w:autoSpaceDN w:val="0"/>
              <w:adjustRightInd w:val="0"/>
              <w:rPr>
                <w:rFonts w:ascii="Calibri" w:hAnsi="Calibri" w:cs="Calibri"/>
                <w:color w:val="000000"/>
                <w:sz w:val="16"/>
                <w:szCs w:val="16"/>
              </w:rPr>
            </w:pPr>
            <w:r>
              <w:rPr>
                <w:rFonts w:ascii="Calibri" w:hAnsi="Calibri" w:cs="Calibri"/>
                <w:color w:val="000000"/>
                <w:sz w:val="16"/>
                <w:szCs w:val="16"/>
              </w:rPr>
              <w:t>Övr.</w:t>
            </w:r>
            <w:r w:rsidR="00117C0D" w:rsidRPr="003954D9">
              <w:rPr>
                <w:rFonts w:ascii="Calibri" w:hAnsi="Calibri" w:cs="Calibri"/>
                <w:color w:val="000000"/>
                <w:sz w:val="16"/>
                <w:szCs w:val="16"/>
              </w:rPr>
              <w:t xml:space="preserve"> hushåll u. barn </w:t>
            </w:r>
          </w:p>
        </w:tc>
        <w:tc>
          <w:tcPr>
            <w:tcW w:w="807" w:type="dxa"/>
            <w:tcBorders>
              <w:top w:val="single" w:sz="6" w:space="0" w:color="auto"/>
              <w:left w:val="single" w:sz="6" w:space="0" w:color="auto"/>
              <w:bottom w:val="single" w:sz="6" w:space="0" w:color="auto"/>
              <w:right w:val="single" w:sz="6" w:space="0" w:color="auto"/>
            </w:tcBorders>
          </w:tcPr>
          <w:p w14:paraId="3A317E2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5 021</w:t>
            </w:r>
          </w:p>
        </w:tc>
        <w:tc>
          <w:tcPr>
            <w:tcW w:w="885" w:type="dxa"/>
            <w:tcBorders>
              <w:top w:val="single" w:sz="6" w:space="0" w:color="auto"/>
              <w:left w:val="single" w:sz="6" w:space="0" w:color="auto"/>
              <w:bottom w:val="single" w:sz="6" w:space="0" w:color="auto"/>
              <w:right w:val="single" w:sz="6" w:space="0" w:color="auto"/>
            </w:tcBorders>
          </w:tcPr>
          <w:p w14:paraId="17C21EF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5 557</w:t>
            </w:r>
          </w:p>
        </w:tc>
        <w:tc>
          <w:tcPr>
            <w:tcW w:w="821" w:type="dxa"/>
            <w:tcBorders>
              <w:top w:val="single" w:sz="6" w:space="0" w:color="auto"/>
              <w:left w:val="single" w:sz="6" w:space="0" w:color="auto"/>
              <w:bottom w:val="single" w:sz="6" w:space="0" w:color="auto"/>
              <w:right w:val="single" w:sz="6" w:space="0" w:color="auto"/>
            </w:tcBorders>
          </w:tcPr>
          <w:p w14:paraId="0D2A164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7 912</w:t>
            </w:r>
          </w:p>
        </w:tc>
        <w:tc>
          <w:tcPr>
            <w:tcW w:w="747" w:type="dxa"/>
            <w:tcBorders>
              <w:top w:val="single" w:sz="6" w:space="0" w:color="auto"/>
              <w:left w:val="single" w:sz="6" w:space="0" w:color="auto"/>
              <w:bottom w:val="single" w:sz="6" w:space="0" w:color="auto"/>
              <w:right w:val="single" w:sz="6" w:space="0" w:color="auto"/>
            </w:tcBorders>
          </w:tcPr>
          <w:p w14:paraId="22A4D4D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6 036</w:t>
            </w:r>
          </w:p>
        </w:tc>
        <w:tc>
          <w:tcPr>
            <w:tcW w:w="821" w:type="dxa"/>
            <w:tcBorders>
              <w:top w:val="single" w:sz="6" w:space="0" w:color="auto"/>
              <w:left w:val="single" w:sz="6" w:space="0" w:color="auto"/>
              <w:bottom w:val="single" w:sz="6" w:space="0" w:color="auto"/>
              <w:right w:val="single" w:sz="6" w:space="0" w:color="auto"/>
            </w:tcBorders>
          </w:tcPr>
          <w:p w14:paraId="28862768"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8 404</w:t>
            </w:r>
          </w:p>
        </w:tc>
        <w:tc>
          <w:tcPr>
            <w:tcW w:w="821" w:type="dxa"/>
            <w:tcBorders>
              <w:top w:val="single" w:sz="6" w:space="0" w:color="auto"/>
              <w:left w:val="single" w:sz="6" w:space="0" w:color="auto"/>
              <w:bottom w:val="single" w:sz="6" w:space="0" w:color="auto"/>
              <w:right w:val="single" w:sz="6" w:space="0" w:color="auto"/>
            </w:tcBorders>
          </w:tcPr>
          <w:p w14:paraId="3DA2787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6 134</w:t>
            </w:r>
          </w:p>
        </w:tc>
        <w:tc>
          <w:tcPr>
            <w:tcW w:w="789" w:type="dxa"/>
            <w:tcBorders>
              <w:top w:val="single" w:sz="6" w:space="0" w:color="auto"/>
              <w:left w:val="single" w:sz="6" w:space="0" w:color="auto"/>
              <w:bottom w:val="single" w:sz="6" w:space="0" w:color="auto"/>
              <w:right w:val="single" w:sz="6" w:space="0" w:color="auto"/>
            </w:tcBorders>
          </w:tcPr>
          <w:p w14:paraId="1CF3D26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5 015</w:t>
            </w:r>
          </w:p>
        </w:tc>
        <w:tc>
          <w:tcPr>
            <w:tcW w:w="830" w:type="dxa"/>
            <w:tcBorders>
              <w:top w:val="single" w:sz="6" w:space="0" w:color="auto"/>
              <w:left w:val="single" w:sz="6" w:space="0" w:color="auto"/>
              <w:bottom w:val="single" w:sz="6" w:space="0" w:color="auto"/>
              <w:right w:val="single" w:sz="6" w:space="0" w:color="auto"/>
            </w:tcBorders>
          </w:tcPr>
          <w:p w14:paraId="50DBB89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7 177</w:t>
            </w:r>
          </w:p>
        </w:tc>
        <w:tc>
          <w:tcPr>
            <w:tcW w:w="850" w:type="dxa"/>
            <w:tcBorders>
              <w:top w:val="single" w:sz="6" w:space="0" w:color="auto"/>
              <w:left w:val="single" w:sz="6" w:space="0" w:color="auto"/>
              <w:bottom w:val="single" w:sz="6" w:space="0" w:color="auto"/>
              <w:right w:val="single" w:sz="6" w:space="0" w:color="auto"/>
            </w:tcBorders>
          </w:tcPr>
          <w:p w14:paraId="18449C3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7 117</w:t>
            </w:r>
          </w:p>
        </w:tc>
        <w:tc>
          <w:tcPr>
            <w:tcW w:w="851" w:type="dxa"/>
            <w:tcBorders>
              <w:top w:val="single" w:sz="6" w:space="0" w:color="auto"/>
              <w:left w:val="single" w:sz="6" w:space="0" w:color="auto"/>
              <w:bottom w:val="single" w:sz="6" w:space="0" w:color="auto"/>
              <w:right w:val="single" w:sz="6" w:space="0" w:color="auto"/>
            </w:tcBorders>
          </w:tcPr>
          <w:p w14:paraId="1B2AE33F"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4 329</w:t>
            </w:r>
          </w:p>
        </w:tc>
      </w:tr>
      <w:tr w:rsidR="00117C0D" w:rsidRPr="003954D9" w14:paraId="58EDC2E7" w14:textId="77777777" w:rsidTr="00117C0D">
        <w:trPr>
          <w:trHeight w:val="290"/>
        </w:trPr>
        <w:tc>
          <w:tcPr>
            <w:tcW w:w="1590" w:type="dxa"/>
            <w:tcBorders>
              <w:top w:val="single" w:sz="6" w:space="0" w:color="auto"/>
              <w:left w:val="single" w:sz="6" w:space="0" w:color="auto"/>
              <w:bottom w:val="single" w:sz="6" w:space="0" w:color="auto"/>
              <w:right w:val="single" w:sz="6" w:space="0" w:color="auto"/>
            </w:tcBorders>
          </w:tcPr>
          <w:p w14:paraId="19FA0B58" w14:textId="06212DA9" w:rsidR="00117C0D" w:rsidRPr="003954D9" w:rsidRDefault="00DD3DF3" w:rsidP="00117C0D">
            <w:pPr>
              <w:autoSpaceDE w:val="0"/>
              <w:autoSpaceDN w:val="0"/>
              <w:adjustRightInd w:val="0"/>
              <w:rPr>
                <w:rFonts w:ascii="Calibri" w:hAnsi="Calibri" w:cs="Calibri"/>
                <w:color w:val="000000"/>
                <w:sz w:val="16"/>
                <w:szCs w:val="16"/>
              </w:rPr>
            </w:pPr>
            <w:r>
              <w:rPr>
                <w:rFonts w:ascii="Calibri" w:hAnsi="Calibri" w:cs="Calibri"/>
                <w:color w:val="000000"/>
                <w:sz w:val="16"/>
                <w:szCs w:val="16"/>
              </w:rPr>
              <w:t>Övr.</w:t>
            </w:r>
            <w:r w:rsidR="00117C0D" w:rsidRPr="003954D9">
              <w:rPr>
                <w:rFonts w:ascii="Calibri" w:hAnsi="Calibri" w:cs="Calibri"/>
                <w:color w:val="000000"/>
                <w:sz w:val="16"/>
                <w:szCs w:val="16"/>
              </w:rPr>
              <w:t xml:space="preserve"> hushåll m. barn</w:t>
            </w:r>
          </w:p>
        </w:tc>
        <w:tc>
          <w:tcPr>
            <w:tcW w:w="807" w:type="dxa"/>
            <w:tcBorders>
              <w:top w:val="single" w:sz="6" w:space="0" w:color="auto"/>
              <w:left w:val="single" w:sz="6" w:space="0" w:color="auto"/>
              <w:bottom w:val="single" w:sz="6" w:space="0" w:color="auto"/>
              <w:right w:val="single" w:sz="6" w:space="0" w:color="auto"/>
            </w:tcBorders>
          </w:tcPr>
          <w:p w14:paraId="2891E884"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2 756</w:t>
            </w:r>
          </w:p>
        </w:tc>
        <w:tc>
          <w:tcPr>
            <w:tcW w:w="885" w:type="dxa"/>
            <w:tcBorders>
              <w:top w:val="single" w:sz="6" w:space="0" w:color="auto"/>
              <w:left w:val="single" w:sz="6" w:space="0" w:color="auto"/>
              <w:bottom w:val="single" w:sz="6" w:space="0" w:color="auto"/>
              <w:right w:val="single" w:sz="6" w:space="0" w:color="auto"/>
            </w:tcBorders>
          </w:tcPr>
          <w:p w14:paraId="0091D69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5 033</w:t>
            </w:r>
          </w:p>
        </w:tc>
        <w:tc>
          <w:tcPr>
            <w:tcW w:w="821" w:type="dxa"/>
            <w:tcBorders>
              <w:top w:val="single" w:sz="6" w:space="0" w:color="auto"/>
              <w:left w:val="single" w:sz="6" w:space="0" w:color="auto"/>
              <w:bottom w:val="single" w:sz="6" w:space="0" w:color="auto"/>
              <w:right w:val="single" w:sz="6" w:space="0" w:color="auto"/>
            </w:tcBorders>
          </w:tcPr>
          <w:p w14:paraId="75E3038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6 953</w:t>
            </w:r>
          </w:p>
        </w:tc>
        <w:tc>
          <w:tcPr>
            <w:tcW w:w="747" w:type="dxa"/>
            <w:tcBorders>
              <w:top w:val="single" w:sz="6" w:space="0" w:color="auto"/>
              <w:left w:val="single" w:sz="6" w:space="0" w:color="auto"/>
              <w:bottom w:val="single" w:sz="6" w:space="0" w:color="auto"/>
              <w:right w:val="single" w:sz="6" w:space="0" w:color="auto"/>
            </w:tcBorders>
          </w:tcPr>
          <w:p w14:paraId="210B184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4 132</w:t>
            </w:r>
          </w:p>
        </w:tc>
        <w:tc>
          <w:tcPr>
            <w:tcW w:w="821" w:type="dxa"/>
            <w:tcBorders>
              <w:top w:val="single" w:sz="6" w:space="0" w:color="auto"/>
              <w:left w:val="single" w:sz="6" w:space="0" w:color="auto"/>
              <w:bottom w:val="single" w:sz="6" w:space="0" w:color="auto"/>
              <w:right w:val="single" w:sz="6" w:space="0" w:color="auto"/>
            </w:tcBorders>
          </w:tcPr>
          <w:p w14:paraId="41AE3C4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6 661</w:t>
            </w:r>
          </w:p>
        </w:tc>
        <w:tc>
          <w:tcPr>
            <w:tcW w:w="821" w:type="dxa"/>
            <w:tcBorders>
              <w:top w:val="single" w:sz="6" w:space="0" w:color="auto"/>
              <w:left w:val="single" w:sz="6" w:space="0" w:color="auto"/>
              <w:bottom w:val="single" w:sz="6" w:space="0" w:color="auto"/>
              <w:right w:val="single" w:sz="6" w:space="0" w:color="auto"/>
            </w:tcBorders>
          </w:tcPr>
          <w:p w14:paraId="544B07E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3 912</w:t>
            </w:r>
          </w:p>
        </w:tc>
        <w:tc>
          <w:tcPr>
            <w:tcW w:w="789" w:type="dxa"/>
            <w:tcBorders>
              <w:top w:val="single" w:sz="6" w:space="0" w:color="auto"/>
              <w:left w:val="single" w:sz="6" w:space="0" w:color="auto"/>
              <w:bottom w:val="single" w:sz="6" w:space="0" w:color="auto"/>
              <w:right w:val="single" w:sz="6" w:space="0" w:color="auto"/>
            </w:tcBorders>
          </w:tcPr>
          <w:p w14:paraId="5D7BAEF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3 046</w:t>
            </w:r>
          </w:p>
        </w:tc>
        <w:tc>
          <w:tcPr>
            <w:tcW w:w="830" w:type="dxa"/>
            <w:tcBorders>
              <w:top w:val="single" w:sz="6" w:space="0" w:color="auto"/>
              <w:left w:val="single" w:sz="6" w:space="0" w:color="auto"/>
              <w:bottom w:val="single" w:sz="6" w:space="0" w:color="auto"/>
              <w:right w:val="single" w:sz="6" w:space="0" w:color="auto"/>
            </w:tcBorders>
          </w:tcPr>
          <w:p w14:paraId="6CF334F5"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6 937</w:t>
            </w:r>
          </w:p>
        </w:tc>
        <w:tc>
          <w:tcPr>
            <w:tcW w:w="850" w:type="dxa"/>
            <w:tcBorders>
              <w:top w:val="single" w:sz="6" w:space="0" w:color="auto"/>
              <w:left w:val="single" w:sz="6" w:space="0" w:color="auto"/>
              <w:bottom w:val="single" w:sz="6" w:space="0" w:color="auto"/>
              <w:right w:val="single" w:sz="6" w:space="0" w:color="auto"/>
            </w:tcBorders>
          </w:tcPr>
          <w:p w14:paraId="494379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5 791</w:t>
            </w:r>
          </w:p>
        </w:tc>
        <w:tc>
          <w:tcPr>
            <w:tcW w:w="851" w:type="dxa"/>
            <w:tcBorders>
              <w:top w:val="single" w:sz="6" w:space="0" w:color="auto"/>
              <w:left w:val="single" w:sz="6" w:space="0" w:color="auto"/>
              <w:bottom w:val="single" w:sz="6" w:space="0" w:color="auto"/>
              <w:right w:val="single" w:sz="6" w:space="0" w:color="auto"/>
            </w:tcBorders>
          </w:tcPr>
          <w:p w14:paraId="3CA9CB6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2 866</w:t>
            </w:r>
          </w:p>
        </w:tc>
      </w:tr>
      <w:tr w:rsidR="00117C0D" w:rsidRPr="003954D9" w14:paraId="29F195CA" w14:textId="77777777" w:rsidTr="00117C0D">
        <w:trPr>
          <w:trHeight w:val="290"/>
        </w:trPr>
        <w:tc>
          <w:tcPr>
            <w:tcW w:w="1590" w:type="dxa"/>
            <w:tcBorders>
              <w:top w:val="single" w:sz="6" w:space="0" w:color="auto"/>
              <w:left w:val="single" w:sz="6" w:space="0" w:color="auto"/>
              <w:bottom w:val="single" w:sz="6" w:space="0" w:color="auto"/>
              <w:right w:val="single" w:sz="6" w:space="0" w:color="auto"/>
            </w:tcBorders>
          </w:tcPr>
          <w:p w14:paraId="345AFB80"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Alla</w:t>
            </w:r>
          </w:p>
        </w:tc>
        <w:tc>
          <w:tcPr>
            <w:tcW w:w="807" w:type="dxa"/>
            <w:tcBorders>
              <w:top w:val="single" w:sz="6" w:space="0" w:color="auto"/>
              <w:left w:val="single" w:sz="6" w:space="0" w:color="auto"/>
              <w:bottom w:val="single" w:sz="6" w:space="0" w:color="auto"/>
              <w:right w:val="single" w:sz="6" w:space="0" w:color="auto"/>
            </w:tcBorders>
          </w:tcPr>
          <w:p w14:paraId="216F2057"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2 557</w:t>
            </w:r>
          </w:p>
        </w:tc>
        <w:tc>
          <w:tcPr>
            <w:tcW w:w="885" w:type="dxa"/>
            <w:tcBorders>
              <w:top w:val="single" w:sz="6" w:space="0" w:color="auto"/>
              <w:left w:val="single" w:sz="6" w:space="0" w:color="auto"/>
              <w:bottom w:val="single" w:sz="6" w:space="0" w:color="auto"/>
              <w:right w:val="single" w:sz="6" w:space="0" w:color="auto"/>
            </w:tcBorders>
          </w:tcPr>
          <w:p w14:paraId="3F385DF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4 586</w:t>
            </w:r>
          </w:p>
        </w:tc>
        <w:tc>
          <w:tcPr>
            <w:tcW w:w="821" w:type="dxa"/>
            <w:tcBorders>
              <w:top w:val="single" w:sz="6" w:space="0" w:color="auto"/>
              <w:left w:val="single" w:sz="6" w:space="0" w:color="auto"/>
              <w:bottom w:val="single" w:sz="6" w:space="0" w:color="auto"/>
              <w:right w:val="single" w:sz="6" w:space="0" w:color="auto"/>
            </w:tcBorders>
          </w:tcPr>
          <w:p w14:paraId="707A3EB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6 718</w:t>
            </w:r>
          </w:p>
        </w:tc>
        <w:tc>
          <w:tcPr>
            <w:tcW w:w="747" w:type="dxa"/>
            <w:tcBorders>
              <w:top w:val="single" w:sz="6" w:space="0" w:color="auto"/>
              <w:left w:val="single" w:sz="6" w:space="0" w:color="auto"/>
              <w:bottom w:val="single" w:sz="6" w:space="0" w:color="auto"/>
              <w:right w:val="single" w:sz="6" w:space="0" w:color="auto"/>
            </w:tcBorders>
          </w:tcPr>
          <w:p w14:paraId="1CC61A0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5 013</w:t>
            </w:r>
          </w:p>
        </w:tc>
        <w:tc>
          <w:tcPr>
            <w:tcW w:w="821" w:type="dxa"/>
            <w:tcBorders>
              <w:top w:val="single" w:sz="6" w:space="0" w:color="auto"/>
              <w:left w:val="single" w:sz="6" w:space="0" w:color="auto"/>
              <w:bottom w:val="single" w:sz="6" w:space="0" w:color="auto"/>
              <w:right w:val="single" w:sz="6" w:space="0" w:color="auto"/>
            </w:tcBorders>
          </w:tcPr>
          <w:p w14:paraId="76E23784"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7 002</w:t>
            </w:r>
          </w:p>
        </w:tc>
        <w:tc>
          <w:tcPr>
            <w:tcW w:w="821" w:type="dxa"/>
            <w:tcBorders>
              <w:top w:val="single" w:sz="6" w:space="0" w:color="auto"/>
              <w:left w:val="single" w:sz="6" w:space="0" w:color="auto"/>
              <w:bottom w:val="single" w:sz="6" w:space="0" w:color="auto"/>
              <w:right w:val="single" w:sz="6" w:space="0" w:color="auto"/>
            </w:tcBorders>
          </w:tcPr>
          <w:p w14:paraId="5F78B82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4 132</w:t>
            </w:r>
          </w:p>
        </w:tc>
        <w:tc>
          <w:tcPr>
            <w:tcW w:w="789" w:type="dxa"/>
            <w:tcBorders>
              <w:top w:val="single" w:sz="6" w:space="0" w:color="auto"/>
              <w:left w:val="single" w:sz="6" w:space="0" w:color="auto"/>
              <w:bottom w:val="single" w:sz="6" w:space="0" w:color="auto"/>
              <w:right w:val="single" w:sz="6" w:space="0" w:color="auto"/>
            </w:tcBorders>
          </w:tcPr>
          <w:p w14:paraId="353D1A3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3 019</w:t>
            </w:r>
          </w:p>
        </w:tc>
        <w:tc>
          <w:tcPr>
            <w:tcW w:w="830" w:type="dxa"/>
            <w:tcBorders>
              <w:top w:val="single" w:sz="6" w:space="0" w:color="auto"/>
              <w:left w:val="single" w:sz="6" w:space="0" w:color="auto"/>
              <w:bottom w:val="single" w:sz="6" w:space="0" w:color="auto"/>
              <w:right w:val="single" w:sz="6" w:space="0" w:color="auto"/>
            </w:tcBorders>
          </w:tcPr>
          <w:p w14:paraId="0423815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6 439</w:t>
            </w:r>
          </w:p>
        </w:tc>
        <w:tc>
          <w:tcPr>
            <w:tcW w:w="850" w:type="dxa"/>
            <w:tcBorders>
              <w:top w:val="single" w:sz="6" w:space="0" w:color="auto"/>
              <w:left w:val="single" w:sz="6" w:space="0" w:color="auto"/>
              <w:bottom w:val="single" w:sz="6" w:space="0" w:color="auto"/>
              <w:right w:val="single" w:sz="6" w:space="0" w:color="auto"/>
            </w:tcBorders>
          </w:tcPr>
          <w:p w14:paraId="61263D9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5 734</w:t>
            </w:r>
          </w:p>
        </w:tc>
        <w:tc>
          <w:tcPr>
            <w:tcW w:w="851" w:type="dxa"/>
            <w:tcBorders>
              <w:top w:val="single" w:sz="6" w:space="0" w:color="auto"/>
              <w:left w:val="single" w:sz="6" w:space="0" w:color="auto"/>
              <w:bottom w:val="single" w:sz="6" w:space="0" w:color="auto"/>
              <w:right w:val="single" w:sz="6" w:space="0" w:color="auto"/>
            </w:tcBorders>
          </w:tcPr>
          <w:p w14:paraId="13150F1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2 898</w:t>
            </w:r>
          </w:p>
        </w:tc>
      </w:tr>
    </w:tbl>
    <w:p w14:paraId="7B52533A" w14:textId="77777777" w:rsidR="00B95043" w:rsidRPr="003954D9" w:rsidRDefault="00B95043" w:rsidP="00B95043">
      <w:pPr>
        <w:rPr>
          <w:sz w:val="16"/>
          <w:szCs w:val="16"/>
        </w:rPr>
      </w:pPr>
      <w:r w:rsidRPr="00AE13ED">
        <w:rPr>
          <w:b/>
          <w:color w:val="FF6600"/>
          <w:sz w:val="16"/>
          <w:szCs w:val="16"/>
        </w:rPr>
        <w:t>Röd färg högsta</w:t>
      </w:r>
      <w:r w:rsidRPr="003954D9">
        <w:rPr>
          <w:color w:val="FF6600"/>
          <w:sz w:val="16"/>
          <w:szCs w:val="16"/>
        </w:rPr>
        <w:t xml:space="preserve"> </w:t>
      </w:r>
      <w:r w:rsidRPr="003954D9">
        <w:rPr>
          <w:sz w:val="16"/>
          <w:szCs w:val="16"/>
        </w:rPr>
        <w:t xml:space="preserve">och </w:t>
      </w:r>
      <w:r w:rsidRPr="00AE13ED">
        <w:rPr>
          <w:b/>
          <w:color w:val="0070C0"/>
          <w:sz w:val="16"/>
          <w:szCs w:val="16"/>
        </w:rPr>
        <w:t>blå färg lägsta</w:t>
      </w:r>
      <w:r w:rsidRPr="00AE13ED">
        <w:rPr>
          <w:color w:val="0070C0"/>
          <w:sz w:val="16"/>
          <w:szCs w:val="16"/>
        </w:rPr>
        <w:t xml:space="preserve"> </w:t>
      </w:r>
      <w:r w:rsidRPr="003954D9">
        <w:rPr>
          <w:sz w:val="16"/>
          <w:szCs w:val="16"/>
        </w:rPr>
        <w:t>värde i grupp.</w:t>
      </w:r>
    </w:p>
    <w:p w14:paraId="1BAB3080" w14:textId="77777777" w:rsidR="00B95043" w:rsidRDefault="00B95043" w:rsidP="00117C0D">
      <w:pPr>
        <w:keepNext/>
        <w:keepLines/>
        <w:spacing w:before="200"/>
        <w:outlineLvl w:val="4"/>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br w:type="page"/>
      </w:r>
    </w:p>
    <w:p w14:paraId="55113BFD" w14:textId="64368C24"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lastRenderedPageBreak/>
        <w:t xml:space="preserve">Tabell 5:8: Hushållstyp, stadsdel och andel i riskzonen med dagens hyra </w:t>
      </w:r>
    </w:p>
    <w:tbl>
      <w:tblPr>
        <w:tblW w:w="9680" w:type="dxa"/>
        <w:tblInd w:w="-38" w:type="dxa"/>
        <w:tblLayout w:type="fixed"/>
        <w:tblCellMar>
          <w:left w:w="70" w:type="dxa"/>
          <w:right w:w="70" w:type="dxa"/>
        </w:tblCellMar>
        <w:tblLook w:val="0000" w:firstRow="0" w:lastRow="0" w:firstColumn="0" w:lastColumn="0" w:noHBand="0" w:noVBand="0"/>
      </w:tblPr>
      <w:tblGrid>
        <w:gridCol w:w="1873"/>
        <w:gridCol w:w="729"/>
        <w:gridCol w:w="777"/>
        <w:gridCol w:w="762"/>
        <w:gridCol w:w="700"/>
        <w:gridCol w:w="829"/>
        <w:gridCol w:w="739"/>
        <w:gridCol w:w="781"/>
        <w:gridCol w:w="778"/>
        <w:gridCol w:w="851"/>
        <w:gridCol w:w="861"/>
      </w:tblGrid>
      <w:tr w:rsidR="00117C0D" w:rsidRPr="003954D9" w14:paraId="67163D32" w14:textId="77777777" w:rsidTr="00117C0D">
        <w:trPr>
          <w:trHeight w:val="667"/>
        </w:trPr>
        <w:tc>
          <w:tcPr>
            <w:tcW w:w="1873" w:type="dxa"/>
            <w:tcBorders>
              <w:top w:val="single" w:sz="6" w:space="0" w:color="auto"/>
              <w:left w:val="single" w:sz="6" w:space="0" w:color="auto"/>
              <w:bottom w:val="single" w:sz="6" w:space="0" w:color="auto"/>
              <w:right w:val="single" w:sz="6" w:space="0" w:color="auto"/>
            </w:tcBorders>
          </w:tcPr>
          <w:p w14:paraId="11374C4E"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Hushållstyp</w:t>
            </w:r>
          </w:p>
        </w:tc>
        <w:tc>
          <w:tcPr>
            <w:tcW w:w="729" w:type="dxa"/>
            <w:tcBorders>
              <w:top w:val="single" w:sz="6" w:space="0" w:color="auto"/>
              <w:left w:val="single" w:sz="6" w:space="0" w:color="auto"/>
              <w:bottom w:val="single" w:sz="6" w:space="0" w:color="auto"/>
              <w:right w:val="single" w:sz="6" w:space="0" w:color="auto"/>
            </w:tcBorders>
          </w:tcPr>
          <w:p w14:paraId="1176F55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777" w:type="dxa"/>
            <w:tcBorders>
              <w:top w:val="single" w:sz="6" w:space="0" w:color="auto"/>
              <w:left w:val="single" w:sz="6" w:space="0" w:color="auto"/>
              <w:bottom w:val="single" w:sz="6" w:space="0" w:color="auto"/>
              <w:right w:val="single" w:sz="6" w:space="0" w:color="auto"/>
            </w:tcBorders>
          </w:tcPr>
          <w:p w14:paraId="1BAE325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762" w:type="dxa"/>
            <w:tcBorders>
              <w:top w:val="single" w:sz="6" w:space="0" w:color="auto"/>
              <w:left w:val="single" w:sz="6" w:space="0" w:color="auto"/>
              <w:bottom w:val="single" w:sz="6" w:space="0" w:color="auto"/>
              <w:right w:val="single" w:sz="6" w:space="0" w:color="auto"/>
            </w:tcBorders>
          </w:tcPr>
          <w:p w14:paraId="04CE0E7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0" w:type="dxa"/>
            <w:tcBorders>
              <w:top w:val="single" w:sz="6" w:space="0" w:color="auto"/>
              <w:left w:val="single" w:sz="6" w:space="0" w:color="auto"/>
              <w:bottom w:val="single" w:sz="6" w:space="0" w:color="auto"/>
              <w:right w:val="single" w:sz="6" w:space="0" w:color="auto"/>
            </w:tcBorders>
          </w:tcPr>
          <w:p w14:paraId="700EDE4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29" w:type="dxa"/>
            <w:tcBorders>
              <w:top w:val="single" w:sz="6" w:space="0" w:color="auto"/>
              <w:left w:val="single" w:sz="6" w:space="0" w:color="auto"/>
              <w:bottom w:val="single" w:sz="6" w:space="0" w:color="auto"/>
              <w:right w:val="single" w:sz="6" w:space="0" w:color="auto"/>
            </w:tcBorders>
          </w:tcPr>
          <w:p w14:paraId="05720FD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Majorna-Linne</w:t>
            </w:r>
          </w:p>
        </w:tc>
        <w:tc>
          <w:tcPr>
            <w:tcW w:w="739" w:type="dxa"/>
            <w:tcBorders>
              <w:top w:val="single" w:sz="6" w:space="0" w:color="auto"/>
              <w:left w:val="single" w:sz="6" w:space="0" w:color="auto"/>
              <w:bottom w:val="single" w:sz="6" w:space="0" w:color="auto"/>
              <w:right w:val="single" w:sz="6" w:space="0" w:color="auto"/>
            </w:tcBorders>
          </w:tcPr>
          <w:p w14:paraId="03D6F1B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81" w:type="dxa"/>
            <w:tcBorders>
              <w:top w:val="single" w:sz="6" w:space="0" w:color="auto"/>
              <w:left w:val="single" w:sz="6" w:space="0" w:color="auto"/>
              <w:bottom w:val="single" w:sz="6" w:space="0" w:color="auto"/>
              <w:right w:val="single" w:sz="6" w:space="0" w:color="auto"/>
            </w:tcBorders>
          </w:tcPr>
          <w:p w14:paraId="6804CDC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78" w:type="dxa"/>
            <w:tcBorders>
              <w:top w:val="single" w:sz="6" w:space="0" w:color="auto"/>
              <w:left w:val="single" w:sz="6" w:space="0" w:color="auto"/>
              <w:bottom w:val="single" w:sz="6" w:space="0" w:color="auto"/>
              <w:right w:val="single" w:sz="6" w:space="0" w:color="auto"/>
            </w:tcBorders>
          </w:tcPr>
          <w:p w14:paraId="1B58322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2187CAB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61" w:type="dxa"/>
            <w:tcBorders>
              <w:top w:val="single" w:sz="6" w:space="0" w:color="auto"/>
              <w:left w:val="single" w:sz="6" w:space="0" w:color="auto"/>
              <w:bottom w:val="single" w:sz="6" w:space="0" w:color="auto"/>
              <w:right w:val="single" w:sz="6" w:space="0" w:color="auto"/>
            </w:tcBorders>
          </w:tcPr>
          <w:p w14:paraId="7179C20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117C0D" w:rsidRPr="003954D9" w14:paraId="60AB3532"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5B36844C" w14:textId="131EBD62"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Ensambo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557E4F58"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25,9</w:t>
            </w:r>
          </w:p>
        </w:tc>
        <w:tc>
          <w:tcPr>
            <w:tcW w:w="777" w:type="dxa"/>
            <w:tcBorders>
              <w:top w:val="single" w:sz="6" w:space="0" w:color="auto"/>
              <w:left w:val="single" w:sz="6" w:space="0" w:color="auto"/>
              <w:bottom w:val="single" w:sz="6" w:space="0" w:color="auto"/>
              <w:right w:val="single" w:sz="6" w:space="0" w:color="auto"/>
            </w:tcBorders>
          </w:tcPr>
          <w:p w14:paraId="69B6C6D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19,0</w:t>
            </w:r>
          </w:p>
        </w:tc>
        <w:tc>
          <w:tcPr>
            <w:tcW w:w="762" w:type="dxa"/>
            <w:tcBorders>
              <w:top w:val="single" w:sz="6" w:space="0" w:color="auto"/>
              <w:left w:val="single" w:sz="6" w:space="0" w:color="auto"/>
              <w:bottom w:val="single" w:sz="6" w:space="0" w:color="auto"/>
              <w:right w:val="single" w:sz="6" w:space="0" w:color="auto"/>
            </w:tcBorders>
          </w:tcPr>
          <w:p w14:paraId="23F7518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17,6</w:t>
            </w:r>
          </w:p>
        </w:tc>
        <w:tc>
          <w:tcPr>
            <w:tcW w:w="700" w:type="dxa"/>
            <w:tcBorders>
              <w:top w:val="single" w:sz="6" w:space="0" w:color="auto"/>
              <w:left w:val="single" w:sz="6" w:space="0" w:color="auto"/>
              <w:bottom w:val="single" w:sz="6" w:space="0" w:color="auto"/>
              <w:right w:val="single" w:sz="6" w:space="0" w:color="auto"/>
            </w:tcBorders>
          </w:tcPr>
          <w:p w14:paraId="62000BC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16,2</w:t>
            </w:r>
          </w:p>
        </w:tc>
        <w:tc>
          <w:tcPr>
            <w:tcW w:w="829" w:type="dxa"/>
            <w:tcBorders>
              <w:top w:val="single" w:sz="6" w:space="0" w:color="auto"/>
              <w:left w:val="single" w:sz="6" w:space="0" w:color="auto"/>
              <w:bottom w:val="single" w:sz="6" w:space="0" w:color="auto"/>
              <w:right w:val="single" w:sz="6" w:space="0" w:color="auto"/>
            </w:tcBorders>
          </w:tcPr>
          <w:p w14:paraId="36CF9ED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15,5</w:t>
            </w:r>
          </w:p>
        </w:tc>
        <w:tc>
          <w:tcPr>
            <w:tcW w:w="739" w:type="dxa"/>
            <w:tcBorders>
              <w:top w:val="single" w:sz="6" w:space="0" w:color="auto"/>
              <w:left w:val="single" w:sz="6" w:space="0" w:color="auto"/>
              <w:bottom w:val="single" w:sz="6" w:space="0" w:color="auto"/>
              <w:right w:val="single" w:sz="6" w:space="0" w:color="auto"/>
            </w:tcBorders>
          </w:tcPr>
          <w:p w14:paraId="560C782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18,5</w:t>
            </w:r>
          </w:p>
        </w:tc>
        <w:tc>
          <w:tcPr>
            <w:tcW w:w="781" w:type="dxa"/>
            <w:tcBorders>
              <w:top w:val="single" w:sz="6" w:space="0" w:color="auto"/>
              <w:left w:val="single" w:sz="6" w:space="0" w:color="auto"/>
              <w:bottom w:val="single" w:sz="6" w:space="0" w:color="auto"/>
              <w:right w:val="single" w:sz="6" w:space="0" w:color="auto"/>
            </w:tcBorders>
          </w:tcPr>
          <w:p w14:paraId="3769CA1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19,3</w:t>
            </w:r>
          </w:p>
        </w:tc>
        <w:tc>
          <w:tcPr>
            <w:tcW w:w="778" w:type="dxa"/>
            <w:tcBorders>
              <w:top w:val="single" w:sz="6" w:space="0" w:color="auto"/>
              <w:left w:val="single" w:sz="6" w:space="0" w:color="auto"/>
              <w:bottom w:val="single" w:sz="6" w:space="0" w:color="auto"/>
              <w:right w:val="single" w:sz="6" w:space="0" w:color="auto"/>
            </w:tcBorders>
          </w:tcPr>
          <w:p w14:paraId="707B3D2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14,0</w:t>
            </w:r>
          </w:p>
        </w:tc>
        <w:tc>
          <w:tcPr>
            <w:tcW w:w="851" w:type="dxa"/>
            <w:tcBorders>
              <w:top w:val="single" w:sz="6" w:space="0" w:color="auto"/>
              <w:left w:val="single" w:sz="6" w:space="0" w:color="auto"/>
              <w:bottom w:val="single" w:sz="6" w:space="0" w:color="auto"/>
              <w:right w:val="single" w:sz="6" w:space="0" w:color="auto"/>
            </w:tcBorders>
          </w:tcPr>
          <w:p w14:paraId="42E60F15"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8,8</w:t>
            </w:r>
          </w:p>
        </w:tc>
        <w:tc>
          <w:tcPr>
            <w:tcW w:w="861" w:type="dxa"/>
            <w:tcBorders>
              <w:top w:val="single" w:sz="6" w:space="0" w:color="auto"/>
              <w:left w:val="single" w:sz="6" w:space="0" w:color="auto"/>
              <w:bottom w:val="single" w:sz="6" w:space="0" w:color="auto"/>
              <w:right w:val="single" w:sz="6" w:space="0" w:color="auto"/>
            </w:tcBorders>
          </w:tcPr>
          <w:p w14:paraId="0EDD73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22,1</w:t>
            </w:r>
          </w:p>
        </w:tc>
      </w:tr>
      <w:tr w:rsidR="00117C0D" w:rsidRPr="003954D9" w14:paraId="604AE9C2"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2324A358" w14:textId="5D70982A"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Ensambo u. barn </w:t>
            </w:r>
            <w:r w:rsidR="00365C66" w:rsidRPr="003954D9">
              <w:rPr>
                <w:rFonts w:ascii="Calibri" w:hAnsi="Calibri" w:cs="Calibri"/>
                <w:color w:val="000000"/>
                <w:sz w:val="16"/>
                <w:szCs w:val="16"/>
              </w:rPr>
              <w:t>65-år</w:t>
            </w:r>
          </w:p>
        </w:tc>
        <w:tc>
          <w:tcPr>
            <w:tcW w:w="729" w:type="dxa"/>
            <w:tcBorders>
              <w:top w:val="single" w:sz="6" w:space="0" w:color="auto"/>
              <w:left w:val="single" w:sz="6" w:space="0" w:color="auto"/>
              <w:bottom w:val="single" w:sz="6" w:space="0" w:color="auto"/>
              <w:right w:val="single" w:sz="6" w:space="0" w:color="auto"/>
            </w:tcBorders>
          </w:tcPr>
          <w:p w14:paraId="4F9B3B30"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11,2</w:t>
            </w:r>
          </w:p>
        </w:tc>
        <w:tc>
          <w:tcPr>
            <w:tcW w:w="777" w:type="dxa"/>
            <w:tcBorders>
              <w:top w:val="single" w:sz="6" w:space="0" w:color="auto"/>
              <w:left w:val="single" w:sz="6" w:space="0" w:color="auto"/>
              <w:bottom w:val="single" w:sz="6" w:space="0" w:color="auto"/>
              <w:right w:val="single" w:sz="6" w:space="0" w:color="auto"/>
            </w:tcBorders>
          </w:tcPr>
          <w:p w14:paraId="113A809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7,3</w:t>
            </w:r>
          </w:p>
        </w:tc>
        <w:tc>
          <w:tcPr>
            <w:tcW w:w="762" w:type="dxa"/>
            <w:tcBorders>
              <w:top w:val="single" w:sz="6" w:space="0" w:color="auto"/>
              <w:left w:val="single" w:sz="6" w:space="0" w:color="auto"/>
              <w:bottom w:val="single" w:sz="6" w:space="0" w:color="auto"/>
              <w:right w:val="single" w:sz="6" w:space="0" w:color="auto"/>
            </w:tcBorders>
          </w:tcPr>
          <w:p w14:paraId="0C633C9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w:t>
            </w:r>
          </w:p>
        </w:tc>
        <w:tc>
          <w:tcPr>
            <w:tcW w:w="700" w:type="dxa"/>
            <w:tcBorders>
              <w:top w:val="single" w:sz="6" w:space="0" w:color="auto"/>
              <w:left w:val="single" w:sz="6" w:space="0" w:color="auto"/>
              <w:bottom w:val="single" w:sz="6" w:space="0" w:color="auto"/>
              <w:right w:val="single" w:sz="6" w:space="0" w:color="auto"/>
            </w:tcBorders>
          </w:tcPr>
          <w:p w14:paraId="5618B86F"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3,8</w:t>
            </w:r>
          </w:p>
        </w:tc>
        <w:tc>
          <w:tcPr>
            <w:tcW w:w="829" w:type="dxa"/>
            <w:tcBorders>
              <w:top w:val="single" w:sz="6" w:space="0" w:color="auto"/>
              <w:left w:val="single" w:sz="6" w:space="0" w:color="auto"/>
              <w:bottom w:val="single" w:sz="6" w:space="0" w:color="auto"/>
              <w:right w:val="single" w:sz="6" w:space="0" w:color="auto"/>
            </w:tcBorders>
          </w:tcPr>
          <w:p w14:paraId="0D68680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12,6</w:t>
            </w:r>
          </w:p>
        </w:tc>
        <w:tc>
          <w:tcPr>
            <w:tcW w:w="739" w:type="dxa"/>
            <w:tcBorders>
              <w:top w:val="single" w:sz="6" w:space="0" w:color="auto"/>
              <w:left w:val="single" w:sz="6" w:space="0" w:color="auto"/>
              <w:bottom w:val="single" w:sz="6" w:space="0" w:color="auto"/>
              <w:right w:val="single" w:sz="6" w:space="0" w:color="auto"/>
            </w:tcBorders>
          </w:tcPr>
          <w:p w14:paraId="796B5EA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7,7</w:t>
            </w:r>
          </w:p>
        </w:tc>
        <w:tc>
          <w:tcPr>
            <w:tcW w:w="781" w:type="dxa"/>
            <w:tcBorders>
              <w:top w:val="single" w:sz="6" w:space="0" w:color="auto"/>
              <w:left w:val="single" w:sz="6" w:space="0" w:color="auto"/>
              <w:bottom w:val="single" w:sz="6" w:space="0" w:color="auto"/>
              <w:right w:val="single" w:sz="6" w:space="0" w:color="auto"/>
            </w:tcBorders>
          </w:tcPr>
          <w:p w14:paraId="271B40E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w:t>
            </w:r>
          </w:p>
        </w:tc>
        <w:tc>
          <w:tcPr>
            <w:tcW w:w="778" w:type="dxa"/>
            <w:tcBorders>
              <w:top w:val="single" w:sz="6" w:space="0" w:color="auto"/>
              <w:left w:val="single" w:sz="6" w:space="0" w:color="auto"/>
              <w:bottom w:val="single" w:sz="6" w:space="0" w:color="auto"/>
              <w:right w:val="single" w:sz="6" w:space="0" w:color="auto"/>
            </w:tcBorders>
          </w:tcPr>
          <w:p w14:paraId="5B94B64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9,2</w:t>
            </w:r>
          </w:p>
        </w:tc>
        <w:tc>
          <w:tcPr>
            <w:tcW w:w="851" w:type="dxa"/>
            <w:tcBorders>
              <w:top w:val="single" w:sz="6" w:space="0" w:color="auto"/>
              <w:left w:val="single" w:sz="6" w:space="0" w:color="auto"/>
              <w:bottom w:val="single" w:sz="6" w:space="0" w:color="auto"/>
              <w:right w:val="single" w:sz="6" w:space="0" w:color="auto"/>
            </w:tcBorders>
          </w:tcPr>
          <w:p w14:paraId="73229B82"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11B4CDE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8,2</w:t>
            </w:r>
          </w:p>
        </w:tc>
      </w:tr>
      <w:tr w:rsidR="00117C0D" w:rsidRPr="003954D9" w14:paraId="31F067C8"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34F69A15" w14:textId="74C2309D"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Ensamst. m.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7381F2F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28,4</w:t>
            </w:r>
          </w:p>
        </w:tc>
        <w:tc>
          <w:tcPr>
            <w:tcW w:w="777" w:type="dxa"/>
            <w:tcBorders>
              <w:top w:val="single" w:sz="6" w:space="0" w:color="auto"/>
              <w:left w:val="single" w:sz="6" w:space="0" w:color="auto"/>
              <w:bottom w:val="single" w:sz="6" w:space="0" w:color="auto"/>
              <w:right w:val="single" w:sz="6" w:space="0" w:color="auto"/>
            </w:tcBorders>
          </w:tcPr>
          <w:p w14:paraId="5B52D7A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20,1</w:t>
            </w:r>
          </w:p>
        </w:tc>
        <w:tc>
          <w:tcPr>
            <w:tcW w:w="762" w:type="dxa"/>
            <w:tcBorders>
              <w:top w:val="single" w:sz="6" w:space="0" w:color="auto"/>
              <w:left w:val="single" w:sz="6" w:space="0" w:color="auto"/>
              <w:bottom w:val="single" w:sz="6" w:space="0" w:color="auto"/>
              <w:right w:val="single" w:sz="6" w:space="0" w:color="auto"/>
            </w:tcBorders>
          </w:tcPr>
          <w:p w14:paraId="1429020F"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12,1</w:t>
            </w:r>
          </w:p>
        </w:tc>
        <w:tc>
          <w:tcPr>
            <w:tcW w:w="700" w:type="dxa"/>
            <w:tcBorders>
              <w:top w:val="single" w:sz="6" w:space="0" w:color="auto"/>
              <w:left w:val="single" w:sz="6" w:space="0" w:color="auto"/>
              <w:bottom w:val="single" w:sz="6" w:space="0" w:color="auto"/>
              <w:right w:val="single" w:sz="6" w:space="0" w:color="auto"/>
            </w:tcBorders>
          </w:tcPr>
          <w:p w14:paraId="0440B6B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22,5</w:t>
            </w:r>
          </w:p>
        </w:tc>
        <w:tc>
          <w:tcPr>
            <w:tcW w:w="829" w:type="dxa"/>
            <w:tcBorders>
              <w:top w:val="single" w:sz="6" w:space="0" w:color="auto"/>
              <w:left w:val="single" w:sz="6" w:space="0" w:color="auto"/>
              <w:bottom w:val="single" w:sz="6" w:space="0" w:color="auto"/>
              <w:right w:val="single" w:sz="6" w:space="0" w:color="auto"/>
            </w:tcBorders>
          </w:tcPr>
          <w:p w14:paraId="41AF60D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15,6</w:t>
            </w:r>
          </w:p>
        </w:tc>
        <w:tc>
          <w:tcPr>
            <w:tcW w:w="739" w:type="dxa"/>
            <w:tcBorders>
              <w:top w:val="single" w:sz="6" w:space="0" w:color="auto"/>
              <w:left w:val="single" w:sz="6" w:space="0" w:color="auto"/>
              <w:bottom w:val="single" w:sz="6" w:space="0" w:color="auto"/>
              <w:right w:val="single" w:sz="6" w:space="0" w:color="auto"/>
            </w:tcBorders>
          </w:tcPr>
          <w:p w14:paraId="00227BA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22,3</w:t>
            </w:r>
          </w:p>
        </w:tc>
        <w:tc>
          <w:tcPr>
            <w:tcW w:w="781" w:type="dxa"/>
            <w:tcBorders>
              <w:top w:val="single" w:sz="6" w:space="0" w:color="auto"/>
              <w:left w:val="single" w:sz="6" w:space="0" w:color="auto"/>
              <w:bottom w:val="single" w:sz="6" w:space="0" w:color="auto"/>
              <w:right w:val="single" w:sz="6" w:space="0" w:color="auto"/>
            </w:tcBorders>
          </w:tcPr>
          <w:p w14:paraId="45EDCEC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28,0</w:t>
            </w:r>
          </w:p>
        </w:tc>
        <w:tc>
          <w:tcPr>
            <w:tcW w:w="778" w:type="dxa"/>
            <w:tcBorders>
              <w:top w:val="single" w:sz="6" w:space="0" w:color="auto"/>
              <w:left w:val="single" w:sz="6" w:space="0" w:color="auto"/>
              <w:bottom w:val="single" w:sz="6" w:space="0" w:color="auto"/>
              <w:right w:val="single" w:sz="6" w:space="0" w:color="auto"/>
            </w:tcBorders>
          </w:tcPr>
          <w:p w14:paraId="4F230C8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14,7</w:t>
            </w:r>
          </w:p>
        </w:tc>
        <w:tc>
          <w:tcPr>
            <w:tcW w:w="851" w:type="dxa"/>
            <w:tcBorders>
              <w:top w:val="single" w:sz="6" w:space="0" w:color="auto"/>
              <w:left w:val="single" w:sz="6" w:space="0" w:color="auto"/>
              <w:bottom w:val="single" w:sz="6" w:space="0" w:color="auto"/>
              <w:right w:val="single" w:sz="6" w:space="0" w:color="auto"/>
            </w:tcBorders>
          </w:tcPr>
          <w:p w14:paraId="0EA4638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17,9</w:t>
            </w:r>
          </w:p>
        </w:tc>
        <w:tc>
          <w:tcPr>
            <w:tcW w:w="861" w:type="dxa"/>
            <w:tcBorders>
              <w:top w:val="single" w:sz="6" w:space="0" w:color="auto"/>
              <w:left w:val="single" w:sz="6" w:space="0" w:color="auto"/>
              <w:bottom w:val="single" w:sz="6" w:space="0" w:color="auto"/>
              <w:right w:val="single" w:sz="6" w:space="0" w:color="auto"/>
            </w:tcBorders>
          </w:tcPr>
          <w:p w14:paraId="538BB6CB"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30,7</w:t>
            </w:r>
          </w:p>
        </w:tc>
      </w:tr>
      <w:tr w:rsidR="00117C0D" w:rsidRPr="003954D9" w14:paraId="4370D443"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6ECA3BEB" w14:textId="2DAEDA3C"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18–64</w:t>
            </w:r>
            <w:r w:rsidRPr="003954D9">
              <w:rPr>
                <w:rFonts w:ascii="Calibri" w:hAnsi="Calibri" w:cs="Calibri"/>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5F69A586"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16,2</w:t>
            </w:r>
          </w:p>
        </w:tc>
        <w:tc>
          <w:tcPr>
            <w:tcW w:w="777" w:type="dxa"/>
            <w:tcBorders>
              <w:top w:val="single" w:sz="6" w:space="0" w:color="auto"/>
              <w:left w:val="single" w:sz="6" w:space="0" w:color="auto"/>
              <w:bottom w:val="single" w:sz="6" w:space="0" w:color="auto"/>
              <w:right w:val="single" w:sz="6" w:space="0" w:color="auto"/>
            </w:tcBorders>
          </w:tcPr>
          <w:p w14:paraId="72FFE8F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7,4</w:t>
            </w:r>
          </w:p>
        </w:tc>
        <w:tc>
          <w:tcPr>
            <w:tcW w:w="762" w:type="dxa"/>
            <w:tcBorders>
              <w:top w:val="single" w:sz="6" w:space="0" w:color="auto"/>
              <w:left w:val="single" w:sz="6" w:space="0" w:color="auto"/>
              <w:bottom w:val="single" w:sz="6" w:space="0" w:color="auto"/>
              <w:right w:val="single" w:sz="6" w:space="0" w:color="auto"/>
            </w:tcBorders>
          </w:tcPr>
          <w:p w14:paraId="5E98F2B1"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4,4</w:t>
            </w:r>
          </w:p>
        </w:tc>
        <w:tc>
          <w:tcPr>
            <w:tcW w:w="700" w:type="dxa"/>
            <w:tcBorders>
              <w:top w:val="single" w:sz="6" w:space="0" w:color="auto"/>
              <w:left w:val="single" w:sz="6" w:space="0" w:color="auto"/>
              <w:bottom w:val="single" w:sz="6" w:space="0" w:color="auto"/>
              <w:right w:val="single" w:sz="6" w:space="0" w:color="auto"/>
            </w:tcBorders>
          </w:tcPr>
          <w:p w14:paraId="2CA35B8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8,9</w:t>
            </w:r>
          </w:p>
        </w:tc>
        <w:tc>
          <w:tcPr>
            <w:tcW w:w="829" w:type="dxa"/>
            <w:tcBorders>
              <w:top w:val="single" w:sz="6" w:space="0" w:color="auto"/>
              <w:left w:val="single" w:sz="6" w:space="0" w:color="auto"/>
              <w:bottom w:val="single" w:sz="6" w:space="0" w:color="auto"/>
              <w:right w:val="single" w:sz="6" w:space="0" w:color="auto"/>
            </w:tcBorders>
          </w:tcPr>
          <w:p w14:paraId="11FAFAC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5,0</w:t>
            </w:r>
          </w:p>
        </w:tc>
        <w:tc>
          <w:tcPr>
            <w:tcW w:w="739" w:type="dxa"/>
            <w:tcBorders>
              <w:top w:val="single" w:sz="6" w:space="0" w:color="auto"/>
              <w:left w:val="single" w:sz="6" w:space="0" w:color="auto"/>
              <w:bottom w:val="single" w:sz="6" w:space="0" w:color="auto"/>
              <w:right w:val="single" w:sz="6" w:space="0" w:color="auto"/>
            </w:tcBorders>
          </w:tcPr>
          <w:p w14:paraId="64724DC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10,5</w:t>
            </w:r>
          </w:p>
        </w:tc>
        <w:tc>
          <w:tcPr>
            <w:tcW w:w="781" w:type="dxa"/>
            <w:tcBorders>
              <w:top w:val="single" w:sz="6" w:space="0" w:color="auto"/>
              <w:left w:val="single" w:sz="6" w:space="0" w:color="auto"/>
              <w:bottom w:val="single" w:sz="6" w:space="0" w:color="auto"/>
              <w:right w:val="single" w:sz="6" w:space="0" w:color="auto"/>
            </w:tcBorders>
          </w:tcPr>
          <w:p w14:paraId="101E7D5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w:t>
            </w:r>
          </w:p>
        </w:tc>
        <w:tc>
          <w:tcPr>
            <w:tcW w:w="778" w:type="dxa"/>
            <w:tcBorders>
              <w:top w:val="single" w:sz="6" w:space="0" w:color="auto"/>
              <w:left w:val="single" w:sz="6" w:space="0" w:color="auto"/>
              <w:bottom w:val="single" w:sz="6" w:space="0" w:color="auto"/>
              <w:right w:val="single" w:sz="6" w:space="0" w:color="auto"/>
            </w:tcBorders>
          </w:tcPr>
          <w:p w14:paraId="7CBB7FB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6,9</w:t>
            </w:r>
          </w:p>
        </w:tc>
        <w:tc>
          <w:tcPr>
            <w:tcW w:w="851" w:type="dxa"/>
            <w:tcBorders>
              <w:top w:val="single" w:sz="6" w:space="0" w:color="auto"/>
              <w:left w:val="single" w:sz="6" w:space="0" w:color="auto"/>
              <w:bottom w:val="single" w:sz="6" w:space="0" w:color="auto"/>
              <w:right w:val="single" w:sz="6" w:space="0" w:color="auto"/>
            </w:tcBorders>
          </w:tcPr>
          <w:p w14:paraId="401EAAA1"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7384A9B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13,6</w:t>
            </w:r>
          </w:p>
        </w:tc>
      </w:tr>
      <w:tr w:rsidR="00117C0D" w:rsidRPr="003954D9" w14:paraId="1D5370A2"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5A8BDA17" w14:textId="3EFEBFE3"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u. barn </w:t>
            </w:r>
            <w:r w:rsidR="00365C66" w:rsidRPr="003954D9">
              <w:rPr>
                <w:rFonts w:ascii="Calibri" w:hAnsi="Calibri" w:cs="Calibri"/>
                <w:color w:val="000000"/>
                <w:sz w:val="16"/>
                <w:szCs w:val="16"/>
              </w:rPr>
              <w:t>65-år</w:t>
            </w:r>
          </w:p>
        </w:tc>
        <w:tc>
          <w:tcPr>
            <w:tcW w:w="729" w:type="dxa"/>
            <w:tcBorders>
              <w:top w:val="single" w:sz="6" w:space="0" w:color="auto"/>
              <w:left w:val="single" w:sz="6" w:space="0" w:color="auto"/>
              <w:bottom w:val="single" w:sz="6" w:space="0" w:color="auto"/>
              <w:right w:val="single" w:sz="6" w:space="0" w:color="auto"/>
            </w:tcBorders>
          </w:tcPr>
          <w:p w14:paraId="423A96B2"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22,8</w:t>
            </w:r>
          </w:p>
        </w:tc>
        <w:tc>
          <w:tcPr>
            <w:tcW w:w="777" w:type="dxa"/>
            <w:tcBorders>
              <w:top w:val="single" w:sz="6" w:space="0" w:color="auto"/>
              <w:left w:val="single" w:sz="6" w:space="0" w:color="auto"/>
              <w:bottom w:val="single" w:sz="6" w:space="0" w:color="auto"/>
              <w:right w:val="single" w:sz="6" w:space="0" w:color="auto"/>
            </w:tcBorders>
          </w:tcPr>
          <w:p w14:paraId="5CB40B8B"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62" w:type="dxa"/>
            <w:tcBorders>
              <w:top w:val="single" w:sz="6" w:space="0" w:color="auto"/>
              <w:left w:val="single" w:sz="6" w:space="0" w:color="auto"/>
              <w:bottom w:val="single" w:sz="6" w:space="0" w:color="auto"/>
              <w:right w:val="single" w:sz="6" w:space="0" w:color="auto"/>
            </w:tcBorders>
          </w:tcPr>
          <w:p w14:paraId="022BCE62"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00" w:type="dxa"/>
            <w:tcBorders>
              <w:top w:val="single" w:sz="6" w:space="0" w:color="auto"/>
              <w:left w:val="single" w:sz="6" w:space="0" w:color="auto"/>
              <w:bottom w:val="single" w:sz="6" w:space="0" w:color="auto"/>
              <w:right w:val="single" w:sz="6" w:space="0" w:color="auto"/>
            </w:tcBorders>
          </w:tcPr>
          <w:p w14:paraId="659934E1"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29" w:type="dxa"/>
            <w:tcBorders>
              <w:top w:val="single" w:sz="6" w:space="0" w:color="auto"/>
              <w:left w:val="single" w:sz="6" w:space="0" w:color="auto"/>
              <w:bottom w:val="single" w:sz="6" w:space="0" w:color="auto"/>
              <w:right w:val="single" w:sz="6" w:space="0" w:color="auto"/>
            </w:tcBorders>
          </w:tcPr>
          <w:p w14:paraId="418E8D2F"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39" w:type="dxa"/>
            <w:tcBorders>
              <w:top w:val="single" w:sz="6" w:space="0" w:color="auto"/>
              <w:left w:val="single" w:sz="6" w:space="0" w:color="auto"/>
              <w:bottom w:val="single" w:sz="6" w:space="0" w:color="auto"/>
              <w:right w:val="single" w:sz="6" w:space="0" w:color="auto"/>
            </w:tcBorders>
          </w:tcPr>
          <w:p w14:paraId="14CB0EB5"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81" w:type="dxa"/>
            <w:tcBorders>
              <w:top w:val="single" w:sz="6" w:space="0" w:color="auto"/>
              <w:left w:val="single" w:sz="6" w:space="0" w:color="auto"/>
              <w:bottom w:val="single" w:sz="6" w:space="0" w:color="auto"/>
              <w:right w:val="single" w:sz="6" w:space="0" w:color="auto"/>
            </w:tcBorders>
          </w:tcPr>
          <w:p w14:paraId="4CFFE5E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9,8</w:t>
            </w:r>
          </w:p>
        </w:tc>
        <w:tc>
          <w:tcPr>
            <w:tcW w:w="778" w:type="dxa"/>
            <w:tcBorders>
              <w:top w:val="single" w:sz="6" w:space="0" w:color="auto"/>
              <w:left w:val="single" w:sz="6" w:space="0" w:color="auto"/>
              <w:bottom w:val="single" w:sz="6" w:space="0" w:color="auto"/>
              <w:right w:val="single" w:sz="6" w:space="0" w:color="auto"/>
            </w:tcBorders>
          </w:tcPr>
          <w:p w14:paraId="1024D3CD"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tcPr>
          <w:p w14:paraId="6FDE0802"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33E618D5"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8,3</w:t>
            </w:r>
          </w:p>
        </w:tc>
      </w:tr>
      <w:tr w:rsidR="00117C0D" w:rsidRPr="003954D9" w14:paraId="6C2C5497"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2514B4BF" w14:textId="526B6B9D"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1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2666B83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15,5</w:t>
            </w:r>
          </w:p>
        </w:tc>
        <w:tc>
          <w:tcPr>
            <w:tcW w:w="777" w:type="dxa"/>
            <w:tcBorders>
              <w:top w:val="single" w:sz="6" w:space="0" w:color="auto"/>
              <w:left w:val="single" w:sz="6" w:space="0" w:color="auto"/>
              <w:bottom w:val="single" w:sz="6" w:space="0" w:color="auto"/>
              <w:right w:val="single" w:sz="6" w:space="0" w:color="auto"/>
            </w:tcBorders>
          </w:tcPr>
          <w:p w14:paraId="4DB5CBA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7,1</w:t>
            </w:r>
          </w:p>
        </w:tc>
        <w:tc>
          <w:tcPr>
            <w:tcW w:w="762" w:type="dxa"/>
            <w:tcBorders>
              <w:top w:val="single" w:sz="6" w:space="0" w:color="auto"/>
              <w:left w:val="single" w:sz="6" w:space="0" w:color="auto"/>
              <w:bottom w:val="single" w:sz="6" w:space="0" w:color="auto"/>
              <w:right w:val="single" w:sz="6" w:space="0" w:color="auto"/>
            </w:tcBorders>
          </w:tcPr>
          <w:p w14:paraId="5251BB6D"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00" w:type="dxa"/>
            <w:tcBorders>
              <w:top w:val="single" w:sz="6" w:space="0" w:color="auto"/>
              <w:left w:val="single" w:sz="6" w:space="0" w:color="auto"/>
              <w:bottom w:val="single" w:sz="6" w:space="0" w:color="auto"/>
              <w:right w:val="single" w:sz="6" w:space="0" w:color="auto"/>
            </w:tcBorders>
          </w:tcPr>
          <w:p w14:paraId="2490199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14,3</w:t>
            </w:r>
          </w:p>
        </w:tc>
        <w:tc>
          <w:tcPr>
            <w:tcW w:w="829" w:type="dxa"/>
            <w:tcBorders>
              <w:top w:val="single" w:sz="6" w:space="0" w:color="auto"/>
              <w:left w:val="single" w:sz="6" w:space="0" w:color="auto"/>
              <w:bottom w:val="single" w:sz="6" w:space="0" w:color="auto"/>
              <w:right w:val="single" w:sz="6" w:space="0" w:color="auto"/>
            </w:tcBorders>
          </w:tcPr>
          <w:p w14:paraId="4731A8C4"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4,8</w:t>
            </w:r>
          </w:p>
        </w:tc>
        <w:tc>
          <w:tcPr>
            <w:tcW w:w="739" w:type="dxa"/>
            <w:tcBorders>
              <w:top w:val="single" w:sz="6" w:space="0" w:color="auto"/>
              <w:left w:val="single" w:sz="6" w:space="0" w:color="auto"/>
              <w:bottom w:val="single" w:sz="6" w:space="0" w:color="auto"/>
              <w:right w:val="single" w:sz="6" w:space="0" w:color="auto"/>
            </w:tcBorders>
          </w:tcPr>
          <w:p w14:paraId="57243FE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13,4</w:t>
            </w:r>
          </w:p>
        </w:tc>
        <w:tc>
          <w:tcPr>
            <w:tcW w:w="781" w:type="dxa"/>
            <w:tcBorders>
              <w:top w:val="single" w:sz="6" w:space="0" w:color="auto"/>
              <w:left w:val="single" w:sz="6" w:space="0" w:color="auto"/>
              <w:bottom w:val="single" w:sz="6" w:space="0" w:color="auto"/>
              <w:right w:val="single" w:sz="6" w:space="0" w:color="auto"/>
            </w:tcBorders>
          </w:tcPr>
          <w:p w14:paraId="24B4F69C"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18,5</w:t>
            </w:r>
          </w:p>
        </w:tc>
        <w:tc>
          <w:tcPr>
            <w:tcW w:w="778" w:type="dxa"/>
            <w:tcBorders>
              <w:top w:val="single" w:sz="6" w:space="0" w:color="auto"/>
              <w:left w:val="single" w:sz="6" w:space="0" w:color="auto"/>
              <w:bottom w:val="single" w:sz="6" w:space="0" w:color="auto"/>
              <w:right w:val="single" w:sz="6" w:space="0" w:color="auto"/>
            </w:tcBorders>
          </w:tcPr>
          <w:p w14:paraId="4D65892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6,7</w:t>
            </w:r>
          </w:p>
        </w:tc>
        <w:tc>
          <w:tcPr>
            <w:tcW w:w="851" w:type="dxa"/>
            <w:tcBorders>
              <w:top w:val="single" w:sz="6" w:space="0" w:color="auto"/>
              <w:left w:val="single" w:sz="6" w:space="0" w:color="auto"/>
              <w:bottom w:val="single" w:sz="6" w:space="0" w:color="auto"/>
              <w:right w:val="single" w:sz="6" w:space="0" w:color="auto"/>
            </w:tcBorders>
          </w:tcPr>
          <w:p w14:paraId="4B4B65C6"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268C372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15,4</w:t>
            </w:r>
          </w:p>
        </w:tc>
      </w:tr>
      <w:tr w:rsidR="00117C0D" w:rsidRPr="003954D9" w14:paraId="399B4206"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7BB61000" w14:textId="7C71B298"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2 barn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1290C69D"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20,5</w:t>
            </w:r>
          </w:p>
        </w:tc>
        <w:tc>
          <w:tcPr>
            <w:tcW w:w="777" w:type="dxa"/>
            <w:tcBorders>
              <w:top w:val="single" w:sz="6" w:space="0" w:color="auto"/>
              <w:left w:val="single" w:sz="6" w:space="0" w:color="auto"/>
              <w:bottom w:val="single" w:sz="6" w:space="0" w:color="auto"/>
              <w:right w:val="single" w:sz="6" w:space="0" w:color="auto"/>
            </w:tcBorders>
          </w:tcPr>
          <w:p w14:paraId="57203D3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11,5</w:t>
            </w:r>
          </w:p>
        </w:tc>
        <w:tc>
          <w:tcPr>
            <w:tcW w:w="762" w:type="dxa"/>
            <w:tcBorders>
              <w:top w:val="single" w:sz="6" w:space="0" w:color="auto"/>
              <w:left w:val="single" w:sz="6" w:space="0" w:color="auto"/>
              <w:bottom w:val="single" w:sz="6" w:space="0" w:color="auto"/>
              <w:right w:val="single" w:sz="6" w:space="0" w:color="auto"/>
            </w:tcBorders>
          </w:tcPr>
          <w:p w14:paraId="0AD85792"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00" w:type="dxa"/>
            <w:tcBorders>
              <w:top w:val="single" w:sz="6" w:space="0" w:color="auto"/>
              <w:left w:val="single" w:sz="6" w:space="0" w:color="auto"/>
              <w:bottom w:val="single" w:sz="6" w:space="0" w:color="auto"/>
              <w:right w:val="single" w:sz="6" w:space="0" w:color="auto"/>
            </w:tcBorders>
          </w:tcPr>
          <w:p w14:paraId="28A43C8E"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29" w:type="dxa"/>
            <w:tcBorders>
              <w:top w:val="single" w:sz="6" w:space="0" w:color="auto"/>
              <w:left w:val="single" w:sz="6" w:space="0" w:color="auto"/>
              <w:bottom w:val="single" w:sz="6" w:space="0" w:color="auto"/>
              <w:right w:val="single" w:sz="6" w:space="0" w:color="auto"/>
            </w:tcBorders>
          </w:tcPr>
          <w:p w14:paraId="3FB3D61F"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39" w:type="dxa"/>
            <w:tcBorders>
              <w:top w:val="single" w:sz="6" w:space="0" w:color="auto"/>
              <w:left w:val="single" w:sz="6" w:space="0" w:color="auto"/>
              <w:bottom w:val="single" w:sz="6" w:space="0" w:color="auto"/>
              <w:right w:val="single" w:sz="6" w:space="0" w:color="auto"/>
            </w:tcBorders>
          </w:tcPr>
          <w:p w14:paraId="712A487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w:t>
            </w:r>
          </w:p>
        </w:tc>
        <w:tc>
          <w:tcPr>
            <w:tcW w:w="781" w:type="dxa"/>
            <w:tcBorders>
              <w:top w:val="single" w:sz="6" w:space="0" w:color="auto"/>
              <w:left w:val="single" w:sz="6" w:space="0" w:color="auto"/>
              <w:bottom w:val="single" w:sz="6" w:space="0" w:color="auto"/>
              <w:right w:val="single" w:sz="6" w:space="0" w:color="auto"/>
            </w:tcBorders>
          </w:tcPr>
          <w:p w14:paraId="7E2BCC7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13,5</w:t>
            </w:r>
          </w:p>
        </w:tc>
        <w:tc>
          <w:tcPr>
            <w:tcW w:w="778" w:type="dxa"/>
            <w:tcBorders>
              <w:top w:val="single" w:sz="6" w:space="0" w:color="auto"/>
              <w:left w:val="single" w:sz="6" w:space="0" w:color="auto"/>
              <w:bottom w:val="single" w:sz="6" w:space="0" w:color="auto"/>
              <w:right w:val="single" w:sz="6" w:space="0" w:color="auto"/>
            </w:tcBorders>
          </w:tcPr>
          <w:p w14:paraId="714F97D1"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5,2</w:t>
            </w:r>
          </w:p>
        </w:tc>
        <w:tc>
          <w:tcPr>
            <w:tcW w:w="851" w:type="dxa"/>
            <w:tcBorders>
              <w:top w:val="single" w:sz="6" w:space="0" w:color="auto"/>
              <w:left w:val="single" w:sz="6" w:space="0" w:color="auto"/>
              <w:bottom w:val="single" w:sz="6" w:space="0" w:color="auto"/>
              <w:right w:val="single" w:sz="6" w:space="0" w:color="auto"/>
            </w:tcBorders>
          </w:tcPr>
          <w:p w14:paraId="15801BBF"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6EB53AB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16,0</w:t>
            </w:r>
          </w:p>
        </w:tc>
      </w:tr>
      <w:tr w:rsidR="00117C0D" w:rsidRPr="003954D9" w14:paraId="3923905E"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1440A03F" w14:textId="1BC8AC7D"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 xml:space="preserve">Sambo m. </w:t>
            </w:r>
            <w:r w:rsidR="00365C66" w:rsidRPr="003954D9">
              <w:rPr>
                <w:rFonts w:ascii="Calibri" w:hAnsi="Calibri" w:cs="Calibri"/>
                <w:color w:val="000000"/>
                <w:sz w:val="16"/>
                <w:szCs w:val="16"/>
              </w:rPr>
              <w:t>3-barn</w:t>
            </w:r>
            <w:r w:rsidRPr="003954D9">
              <w:rPr>
                <w:rFonts w:ascii="Calibri" w:hAnsi="Calibri" w:cs="Calibri"/>
                <w:color w:val="000000"/>
                <w:sz w:val="16"/>
                <w:szCs w:val="16"/>
              </w:rPr>
              <w:t xml:space="preserve"> </w:t>
            </w:r>
            <w:r w:rsidR="00365C66" w:rsidRPr="003954D9">
              <w:rPr>
                <w:rFonts w:ascii="Calibri" w:hAnsi="Calibri" w:cs="Calibri"/>
                <w:color w:val="000000"/>
                <w:sz w:val="16"/>
                <w:szCs w:val="16"/>
              </w:rPr>
              <w:t>0–19</w:t>
            </w:r>
            <w:r w:rsidRPr="003954D9">
              <w:rPr>
                <w:rFonts w:ascii="Calibri" w:hAnsi="Calibri" w:cs="Calibri"/>
                <w:color w:val="000000"/>
                <w:sz w:val="16"/>
                <w:szCs w:val="16"/>
              </w:rPr>
              <w:t xml:space="preserve"> år</w:t>
            </w:r>
          </w:p>
        </w:tc>
        <w:tc>
          <w:tcPr>
            <w:tcW w:w="729" w:type="dxa"/>
            <w:tcBorders>
              <w:top w:val="single" w:sz="6" w:space="0" w:color="auto"/>
              <w:left w:val="single" w:sz="6" w:space="0" w:color="auto"/>
              <w:bottom w:val="single" w:sz="6" w:space="0" w:color="auto"/>
              <w:right w:val="single" w:sz="6" w:space="0" w:color="auto"/>
            </w:tcBorders>
          </w:tcPr>
          <w:p w14:paraId="0E504FFB"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24,1</w:t>
            </w:r>
          </w:p>
        </w:tc>
        <w:tc>
          <w:tcPr>
            <w:tcW w:w="777" w:type="dxa"/>
            <w:tcBorders>
              <w:top w:val="single" w:sz="6" w:space="0" w:color="auto"/>
              <w:left w:val="single" w:sz="6" w:space="0" w:color="auto"/>
              <w:bottom w:val="single" w:sz="6" w:space="0" w:color="auto"/>
              <w:right w:val="single" w:sz="6" w:space="0" w:color="auto"/>
            </w:tcBorders>
          </w:tcPr>
          <w:p w14:paraId="3A19016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17,6</w:t>
            </w:r>
          </w:p>
        </w:tc>
        <w:tc>
          <w:tcPr>
            <w:tcW w:w="762" w:type="dxa"/>
            <w:tcBorders>
              <w:top w:val="single" w:sz="6" w:space="0" w:color="auto"/>
              <w:left w:val="single" w:sz="6" w:space="0" w:color="auto"/>
              <w:bottom w:val="single" w:sz="6" w:space="0" w:color="auto"/>
              <w:right w:val="single" w:sz="6" w:space="0" w:color="auto"/>
            </w:tcBorders>
          </w:tcPr>
          <w:p w14:paraId="6C57FFF2"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00" w:type="dxa"/>
            <w:tcBorders>
              <w:top w:val="single" w:sz="6" w:space="0" w:color="auto"/>
              <w:left w:val="single" w:sz="6" w:space="0" w:color="auto"/>
              <w:bottom w:val="single" w:sz="6" w:space="0" w:color="auto"/>
              <w:right w:val="single" w:sz="6" w:space="0" w:color="auto"/>
            </w:tcBorders>
          </w:tcPr>
          <w:p w14:paraId="0702C8D9"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29" w:type="dxa"/>
            <w:tcBorders>
              <w:top w:val="single" w:sz="6" w:space="0" w:color="auto"/>
              <w:left w:val="single" w:sz="6" w:space="0" w:color="auto"/>
              <w:bottom w:val="single" w:sz="6" w:space="0" w:color="auto"/>
              <w:right w:val="single" w:sz="6" w:space="0" w:color="auto"/>
            </w:tcBorders>
          </w:tcPr>
          <w:p w14:paraId="10DFEFE5"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739" w:type="dxa"/>
            <w:tcBorders>
              <w:top w:val="single" w:sz="6" w:space="0" w:color="auto"/>
              <w:left w:val="single" w:sz="6" w:space="0" w:color="auto"/>
              <w:bottom w:val="single" w:sz="6" w:space="0" w:color="auto"/>
              <w:right w:val="single" w:sz="6" w:space="0" w:color="auto"/>
            </w:tcBorders>
          </w:tcPr>
          <w:p w14:paraId="7A02ED7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781" w:type="dxa"/>
            <w:tcBorders>
              <w:top w:val="single" w:sz="6" w:space="0" w:color="auto"/>
              <w:left w:val="single" w:sz="6" w:space="0" w:color="auto"/>
              <w:bottom w:val="single" w:sz="6" w:space="0" w:color="auto"/>
              <w:right w:val="single" w:sz="6" w:space="0" w:color="auto"/>
            </w:tcBorders>
          </w:tcPr>
          <w:p w14:paraId="5D5D072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778" w:type="dxa"/>
            <w:tcBorders>
              <w:top w:val="single" w:sz="6" w:space="0" w:color="auto"/>
              <w:left w:val="single" w:sz="6" w:space="0" w:color="auto"/>
              <w:bottom w:val="single" w:sz="6" w:space="0" w:color="auto"/>
              <w:right w:val="single" w:sz="6" w:space="0" w:color="auto"/>
            </w:tcBorders>
          </w:tcPr>
          <w:p w14:paraId="54E87F64"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15,9</w:t>
            </w:r>
          </w:p>
        </w:tc>
        <w:tc>
          <w:tcPr>
            <w:tcW w:w="851" w:type="dxa"/>
            <w:tcBorders>
              <w:top w:val="single" w:sz="6" w:space="0" w:color="auto"/>
              <w:left w:val="single" w:sz="6" w:space="0" w:color="auto"/>
              <w:bottom w:val="single" w:sz="6" w:space="0" w:color="auto"/>
              <w:right w:val="single" w:sz="6" w:space="0" w:color="auto"/>
            </w:tcBorders>
          </w:tcPr>
          <w:p w14:paraId="766C14D0"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2B676893"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24,1</w:t>
            </w:r>
          </w:p>
        </w:tc>
      </w:tr>
      <w:tr w:rsidR="00117C0D" w:rsidRPr="003954D9" w14:paraId="71412121"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24662C22" w14:textId="3D23C538" w:rsidR="00117C0D" w:rsidRPr="003954D9" w:rsidRDefault="00DD3DF3" w:rsidP="00117C0D">
            <w:pPr>
              <w:autoSpaceDE w:val="0"/>
              <w:autoSpaceDN w:val="0"/>
              <w:adjustRightInd w:val="0"/>
              <w:rPr>
                <w:rFonts w:ascii="Calibri" w:hAnsi="Calibri" w:cs="Calibri"/>
                <w:color w:val="000000"/>
                <w:sz w:val="16"/>
                <w:szCs w:val="16"/>
              </w:rPr>
            </w:pPr>
            <w:r>
              <w:rPr>
                <w:rFonts w:ascii="Calibri" w:hAnsi="Calibri" w:cs="Calibri"/>
                <w:color w:val="000000"/>
                <w:sz w:val="16"/>
                <w:szCs w:val="16"/>
              </w:rPr>
              <w:t>Övr.</w:t>
            </w:r>
            <w:r w:rsidR="00117C0D" w:rsidRPr="003954D9">
              <w:rPr>
                <w:rFonts w:ascii="Calibri" w:hAnsi="Calibri" w:cs="Calibri"/>
                <w:color w:val="000000"/>
                <w:sz w:val="16"/>
                <w:szCs w:val="16"/>
              </w:rPr>
              <w:t xml:space="preserve"> hushåll u. barn </w:t>
            </w:r>
          </w:p>
        </w:tc>
        <w:tc>
          <w:tcPr>
            <w:tcW w:w="729" w:type="dxa"/>
            <w:tcBorders>
              <w:top w:val="single" w:sz="6" w:space="0" w:color="auto"/>
              <w:left w:val="single" w:sz="6" w:space="0" w:color="auto"/>
              <w:bottom w:val="single" w:sz="6" w:space="0" w:color="auto"/>
              <w:right w:val="single" w:sz="6" w:space="0" w:color="auto"/>
            </w:tcBorders>
          </w:tcPr>
          <w:p w14:paraId="7EB7E0D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12,4</w:t>
            </w:r>
          </w:p>
        </w:tc>
        <w:tc>
          <w:tcPr>
            <w:tcW w:w="777" w:type="dxa"/>
            <w:tcBorders>
              <w:top w:val="single" w:sz="6" w:space="0" w:color="auto"/>
              <w:left w:val="single" w:sz="6" w:space="0" w:color="auto"/>
              <w:bottom w:val="single" w:sz="6" w:space="0" w:color="auto"/>
              <w:right w:val="single" w:sz="6" w:space="0" w:color="auto"/>
            </w:tcBorders>
          </w:tcPr>
          <w:p w14:paraId="6F39F67D"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14,6</w:t>
            </w:r>
          </w:p>
        </w:tc>
        <w:tc>
          <w:tcPr>
            <w:tcW w:w="762" w:type="dxa"/>
            <w:tcBorders>
              <w:top w:val="single" w:sz="6" w:space="0" w:color="auto"/>
              <w:left w:val="single" w:sz="6" w:space="0" w:color="auto"/>
              <w:bottom w:val="single" w:sz="6" w:space="0" w:color="auto"/>
              <w:right w:val="single" w:sz="6" w:space="0" w:color="auto"/>
            </w:tcBorders>
          </w:tcPr>
          <w:p w14:paraId="1DB21DD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10,4</w:t>
            </w:r>
          </w:p>
        </w:tc>
        <w:tc>
          <w:tcPr>
            <w:tcW w:w="700" w:type="dxa"/>
            <w:tcBorders>
              <w:top w:val="single" w:sz="6" w:space="0" w:color="auto"/>
              <w:left w:val="single" w:sz="6" w:space="0" w:color="auto"/>
              <w:bottom w:val="single" w:sz="6" w:space="0" w:color="auto"/>
              <w:right w:val="single" w:sz="6" w:space="0" w:color="auto"/>
            </w:tcBorders>
          </w:tcPr>
          <w:p w14:paraId="552E668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15,6</w:t>
            </w:r>
          </w:p>
        </w:tc>
        <w:tc>
          <w:tcPr>
            <w:tcW w:w="829" w:type="dxa"/>
            <w:tcBorders>
              <w:top w:val="single" w:sz="6" w:space="0" w:color="auto"/>
              <w:left w:val="single" w:sz="6" w:space="0" w:color="auto"/>
              <w:bottom w:val="single" w:sz="6" w:space="0" w:color="auto"/>
              <w:right w:val="single" w:sz="6" w:space="0" w:color="auto"/>
            </w:tcBorders>
          </w:tcPr>
          <w:p w14:paraId="70209BE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w:t>
            </w:r>
          </w:p>
        </w:tc>
        <w:tc>
          <w:tcPr>
            <w:tcW w:w="739" w:type="dxa"/>
            <w:tcBorders>
              <w:top w:val="single" w:sz="6" w:space="0" w:color="auto"/>
              <w:left w:val="single" w:sz="6" w:space="0" w:color="auto"/>
              <w:bottom w:val="single" w:sz="6" w:space="0" w:color="auto"/>
              <w:right w:val="single" w:sz="6" w:space="0" w:color="auto"/>
            </w:tcBorders>
          </w:tcPr>
          <w:p w14:paraId="2E0958E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9,7</w:t>
            </w:r>
          </w:p>
        </w:tc>
        <w:tc>
          <w:tcPr>
            <w:tcW w:w="781" w:type="dxa"/>
            <w:tcBorders>
              <w:top w:val="single" w:sz="6" w:space="0" w:color="auto"/>
              <w:left w:val="single" w:sz="6" w:space="0" w:color="auto"/>
              <w:bottom w:val="single" w:sz="6" w:space="0" w:color="auto"/>
              <w:right w:val="single" w:sz="6" w:space="0" w:color="auto"/>
            </w:tcBorders>
          </w:tcPr>
          <w:p w14:paraId="37A4CFD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13,2</w:t>
            </w:r>
          </w:p>
        </w:tc>
        <w:tc>
          <w:tcPr>
            <w:tcW w:w="778" w:type="dxa"/>
            <w:tcBorders>
              <w:top w:val="single" w:sz="6" w:space="0" w:color="auto"/>
              <w:left w:val="single" w:sz="6" w:space="0" w:color="auto"/>
              <w:bottom w:val="single" w:sz="6" w:space="0" w:color="auto"/>
              <w:right w:val="single" w:sz="6" w:space="0" w:color="auto"/>
            </w:tcBorders>
          </w:tcPr>
          <w:p w14:paraId="48C5515A"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4,9</w:t>
            </w:r>
          </w:p>
        </w:tc>
        <w:tc>
          <w:tcPr>
            <w:tcW w:w="851" w:type="dxa"/>
            <w:tcBorders>
              <w:top w:val="single" w:sz="6" w:space="0" w:color="auto"/>
              <w:left w:val="single" w:sz="6" w:space="0" w:color="auto"/>
              <w:bottom w:val="single" w:sz="6" w:space="0" w:color="auto"/>
              <w:right w:val="single" w:sz="6" w:space="0" w:color="auto"/>
            </w:tcBorders>
          </w:tcPr>
          <w:p w14:paraId="54CECE06"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1CC29E5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14,1</w:t>
            </w:r>
          </w:p>
        </w:tc>
      </w:tr>
      <w:tr w:rsidR="00117C0D" w:rsidRPr="003954D9" w14:paraId="429C482A"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6AA0F1A9" w14:textId="67FACCFC" w:rsidR="00117C0D" w:rsidRPr="003954D9" w:rsidRDefault="00DD3DF3" w:rsidP="00117C0D">
            <w:pPr>
              <w:autoSpaceDE w:val="0"/>
              <w:autoSpaceDN w:val="0"/>
              <w:adjustRightInd w:val="0"/>
              <w:rPr>
                <w:rFonts w:ascii="Calibri" w:hAnsi="Calibri" w:cs="Calibri"/>
                <w:color w:val="000000"/>
                <w:sz w:val="16"/>
                <w:szCs w:val="16"/>
              </w:rPr>
            </w:pPr>
            <w:r>
              <w:rPr>
                <w:rFonts w:ascii="Calibri" w:hAnsi="Calibri" w:cs="Calibri"/>
                <w:color w:val="000000"/>
                <w:sz w:val="16"/>
                <w:szCs w:val="16"/>
              </w:rPr>
              <w:t>Övr.</w:t>
            </w:r>
            <w:r w:rsidR="00117C0D" w:rsidRPr="003954D9">
              <w:rPr>
                <w:rFonts w:ascii="Calibri" w:hAnsi="Calibri" w:cs="Calibri"/>
                <w:color w:val="000000"/>
                <w:sz w:val="16"/>
                <w:szCs w:val="16"/>
              </w:rPr>
              <w:t xml:space="preserve"> hushåll med barn</w:t>
            </w:r>
          </w:p>
        </w:tc>
        <w:tc>
          <w:tcPr>
            <w:tcW w:w="729" w:type="dxa"/>
            <w:tcBorders>
              <w:top w:val="single" w:sz="6" w:space="0" w:color="auto"/>
              <w:left w:val="single" w:sz="6" w:space="0" w:color="auto"/>
              <w:bottom w:val="single" w:sz="6" w:space="0" w:color="auto"/>
              <w:right w:val="single" w:sz="6" w:space="0" w:color="auto"/>
            </w:tcBorders>
          </w:tcPr>
          <w:p w14:paraId="3B63D83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15,0</w:t>
            </w:r>
          </w:p>
        </w:tc>
        <w:tc>
          <w:tcPr>
            <w:tcW w:w="777" w:type="dxa"/>
            <w:tcBorders>
              <w:top w:val="single" w:sz="6" w:space="0" w:color="auto"/>
              <w:left w:val="single" w:sz="6" w:space="0" w:color="auto"/>
              <w:bottom w:val="single" w:sz="6" w:space="0" w:color="auto"/>
              <w:right w:val="single" w:sz="6" w:space="0" w:color="auto"/>
            </w:tcBorders>
          </w:tcPr>
          <w:p w14:paraId="006A2DB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9,4</w:t>
            </w:r>
          </w:p>
        </w:tc>
        <w:tc>
          <w:tcPr>
            <w:tcW w:w="762" w:type="dxa"/>
            <w:tcBorders>
              <w:top w:val="single" w:sz="6" w:space="0" w:color="auto"/>
              <w:left w:val="single" w:sz="6" w:space="0" w:color="auto"/>
              <w:bottom w:val="single" w:sz="6" w:space="0" w:color="auto"/>
              <w:right w:val="single" w:sz="6" w:space="0" w:color="auto"/>
            </w:tcBorders>
          </w:tcPr>
          <w:p w14:paraId="04698641"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5,9</w:t>
            </w:r>
          </w:p>
        </w:tc>
        <w:tc>
          <w:tcPr>
            <w:tcW w:w="700" w:type="dxa"/>
            <w:tcBorders>
              <w:top w:val="single" w:sz="6" w:space="0" w:color="auto"/>
              <w:left w:val="single" w:sz="6" w:space="0" w:color="auto"/>
              <w:bottom w:val="single" w:sz="6" w:space="0" w:color="auto"/>
              <w:right w:val="single" w:sz="6" w:space="0" w:color="auto"/>
            </w:tcBorders>
          </w:tcPr>
          <w:p w14:paraId="5F500FE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13,1</w:t>
            </w:r>
          </w:p>
        </w:tc>
        <w:tc>
          <w:tcPr>
            <w:tcW w:w="829" w:type="dxa"/>
            <w:tcBorders>
              <w:top w:val="single" w:sz="6" w:space="0" w:color="auto"/>
              <w:left w:val="single" w:sz="6" w:space="0" w:color="auto"/>
              <w:bottom w:val="single" w:sz="6" w:space="0" w:color="auto"/>
              <w:right w:val="single" w:sz="6" w:space="0" w:color="auto"/>
            </w:tcBorders>
          </w:tcPr>
          <w:p w14:paraId="1D7E0CC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8,1</w:t>
            </w:r>
          </w:p>
        </w:tc>
        <w:tc>
          <w:tcPr>
            <w:tcW w:w="739" w:type="dxa"/>
            <w:tcBorders>
              <w:top w:val="single" w:sz="6" w:space="0" w:color="auto"/>
              <w:left w:val="single" w:sz="6" w:space="0" w:color="auto"/>
              <w:bottom w:val="single" w:sz="6" w:space="0" w:color="auto"/>
              <w:right w:val="single" w:sz="6" w:space="0" w:color="auto"/>
            </w:tcBorders>
          </w:tcPr>
          <w:p w14:paraId="07BD075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11,0</w:t>
            </w:r>
          </w:p>
        </w:tc>
        <w:tc>
          <w:tcPr>
            <w:tcW w:w="781" w:type="dxa"/>
            <w:tcBorders>
              <w:top w:val="single" w:sz="6" w:space="0" w:color="auto"/>
              <w:left w:val="single" w:sz="6" w:space="0" w:color="auto"/>
              <w:bottom w:val="single" w:sz="6" w:space="0" w:color="auto"/>
              <w:right w:val="single" w:sz="6" w:space="0" w:color="auto"/>
            </w:tcBorders>
          </w:tcPr>
          <w:p w14:paraId="79CE337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778" w:type="dxa"/>
            <w:tcBorders>
              <w:top w:val="single" w:sz="6" w:space="0" w:color="auto"/>
              <w:left w:val="single" w:sz="6" w:space="0" w:color="auto"/>
              <w:bottom w:val="single" w:sz="6" w:space="0" w:color="auto"/>
              <w:right w:val="single" w:sz="6" w:space="0" w:color="auto"/>
            </w:tcBorders>
          </w:tcPr>
          <w:p w14:paraId="76987CC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c>
          <w:tcPr>
            <w:tcW w:w="851" w:type="dxa"/>
            <w:tcBorders>
              <w:top w:val="single" w:sz="6" w:space="0" w:color="auto"/>
              <w:left w:val="single" w:sz="6" w:space="0" w:color="auto"/>
              <w:bottom w:val="single" w:sz="6" w:space="0" w:color="auto"/>
              <w:right w:val="single" w:sz="6" w:space="0" w:color="auto"/>
            </w:tcBorders>
          </w:tcPr>
          <w:p w14:paraId="52F7822F"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61" w:type="dxa"/>
            <w:tcBorders>
              <w:top w:val="single" w:sz="6" w:space="0" w:color="auto"/>
              <w:left w:val="single" w:sz="6" w:space="0" w:color="auto"/>
              <w:bottom w:val="single" w:sz="6" w:space="0" w:color="auto"/>
              <w:right w:val="single" w:sz="6" w:space="0" w:color="auto"/>
            </w:tcBorders>
          </w:tcPr>
          <w:p w14:paraId="7C4A1F36"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16,5</w:t>
            </w:r>
          </w:p>
        </w:tc>
      </w:tr>
      <w:tr w:rsidR="00117C0D" w:rsidRPr="003954D9" w14:paraId="53100618" w14:textId="77777777" w:rsidTr="00117C0D">
        <w:trPr>
          <w:trHeight w:val="227"/>
        </w:trPr>
        <w:tc>
          <w:tcPr>
            <w:tcW w:w="1873" w:type="dxa"/>
            <w:tcBorders>
              <w:top w:val="single" w:sz="6" w:space="0" w:color="auto"/>
              <w:left w:val="single" w:sz="6" w:space="0" w:color="auto"/>
              <w:bottom w:val="single" w:sz="6" w:space="0" w:color="auto"/>
              <w:right w:val="single" w:sz="6" w:space="0" w:color="auto"/>
            </w:tcBorders>
          </w:tcPr>
          <w:p w14:paraId="00893C51"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Antal</w:t>
            </w:r>
          </w:p>
        </w:tc>
        <w:tc>
          <w:tcPr>
            <w:tcW w:w="729" w:type="dxa"/>
            <w:tcBorders>
              <w:top w:val="single" w:sz="6" w:space="0" w:color="auto"/>
              <w:left w:val="single" w:sz="6" w:space="0" w:color="auto"/>
              <w:bottom w:val="single" w:sz="6" w:space="0" w:color="auto"/>
              <w:right w:val="single" w:sz="6" w:space="0" w:color="auto"/>
            </w:tcBorders>
          </w:tcPr>
          <w:p w14:paraId="2BDBA6B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862</w:t>
            </w:r>
          </w:p>
        </w:tc>
        <w:tc>
          <w:tcPr>
            <w:tcW w:w="777" w:type="dxa"/>
            <w:tcBorders>
              <w:top w:val="single" w:sz="6" w:space="0" w:color="auto"/>
              <w:left w:val="single" w:sz="6" w:space="0" w:color="auto"/>
              <w:bottom w:val="single" w:sz="6" w:space="0" w:color="auto"/>
              <w:right w:val="single" w:sz="6" w:space="0" w:color="auto"/>
            </w:tcBorders>
          </w:tcPr>
          <w:p w14:paraId="2497E2F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762" w:type="dxa"/>
            <w:tcBorders>
              <w:top w:val="single" w:sz="6" w:space="0" w:color="auto"/>
              <w:left w:val="single" w:sz="6" w:space="0" w:color="auto"/>
              <w:bottom w:val="single" w:sz="6" w:space="0" w:color="auto"/>
              <w:right w:val="single" w:sz="6" w:space="0" w:color="auto"/>
            </w:tcBorders>
          </w:tcPr>
          <w:p w14:paraId="71EC232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700" w:type="dxa"/>
            <w:tcBorders>
              <w:top w:val="single" w:sz="6" w:space="0" w:color="auto"/>
              <w:left w:val="single" w:sz="6" w:space="0" w:color="auto"/>
              <w:bottom w:val="single" w:sz="6" w:space="0" w:color="auto"/>
              <w:right w:val="single" w:sz="6" w:space="0" w:color="auto"/>
            </w:tcBorders>
          </w:tcPr>
          <w:p w14:paraId="0B0E189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829" w:type="dxa"/>
            <w:tcBorders>
              <w:top w:val="single" w:sz="6" w:space="0" w:color="auto"/>
              <w:left w:val="single" w:sz="6" w:space="0" w:color="auto"/>
              <w:bottom w:val="single" w:sz="6" w:space="0" w:color="auto"/>
              <w:right w:val="single" w:sz="6" w:space="0" w:color="auto"/>
            </w:tcBorders>
          </w:tcPr>
          <w:p w14:paraId="36D2A47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289</w:t>
            </w:r>
          </w:p>
        </w:tc>
        <w:tc>
          <w:tcPr>
            <w:tcW w:w="739" w:type="dxa"/>
            <w:tcBorders>
              <w:top w:val="single" w:sz="6" w:space="0" w:color="auto"/>
              <w:left w:val="single" w:sz="6" w:space="0" w:color="auto"/>
              <w:bottom w:val="single" w:sz="6" w:space="0" w:color="auto"/>
              <w:right w:val="single" w:sz="6" w:space="0" w:color="auto"/>
            </w:tcBorders>
          </w:tcPr>
          <w:p w14:paraId="49FB240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193</w:t>
            </w:r>
          </w:p>
        </w:tc>
        <w:tc>
          <w:tcPr>
            <w:tcW w:w="781" w:type="dxa"/>
            <w:tcBorders>
              <w:top w:val="single" w:sz="6" w:space="0" w:color="auto"/>
              <w:left w:val="single" w:sz="6" w:space="0" w:color="auto"/>
              <w:bottom w:val="single" w:sz="6" w:space="0" w:color="auto"/>
              <w:right w:val="single" w:sz="6" w:space="0" w:color="auto"/>
            </w:tcBorders>
          </w:tcPr>
          <w:p w14:paraId="42A1AAA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434</w:t>
            </w:r>
          </w:p>
        </w:tc>
        <w:tc>
          <w:tcPr>
            <w:tcW w:w="778" w:type="dxa"/>
            <w:tcBorders>
              <w:top w:val="single" w:sz="6" w:space="0" w:color="auto"/>
              <w:left w:val="single" w:sz="6" w:space="0" w:color="auto"/>
              <w:bottom w:val="single" w:sz="6" w:space="0" w:color="auto"/>
              <w:right w:val="single" w:sz="6" w:space="0" w:color="auto"/>
            </w:tcBorders>
          </w:tcPr>
          <w:p w14:paraId="4F1CDCE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255</w:t>
            </w:r>
          </w:p>
        </w:tc>
        <w:tc>
          <w:tcPr>
            <w:tcW w:w="851" w:type="dxa"/>
            <w:tcBorders>
              <w:top w:val="single" w:sz="6" w:space="0" w:color="auto"/>
              <w:left w:val="single" w:sz="6" w:space="0" w:color="auto"/>
              <w:bottom w:val="single" w:sz="6" w:space="0" w:color="auto"/>
              <w:right w:val="single" w:sz="6" w:space="0" w:color="auto"/>
            </w:tcBorders>
          </w:tcPr>
          <w:p w14:paraId="2152622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861" w:type="dxa"/>
            <w:tcBorders>
              <w:top w:val="single" w:sz="6" w:space="0" w:color="auto"/>
              <w:left w:val="single" w:sz="6" w:space="0" w:color="auto"/>
              <w:bottom w:val="single" w:sz="6" w:space="0" w:color="auto"/>
              <w:right w:val="single" w:sz="6" w:space="0" w:color="auto"/>
            </w:tcBorders>
          </w:tcPr>
          <w:p w14:paraId="708C57C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636</w:t>
            </w:r>
          </w:p>
        </w:tc>
      </w:tr>
    </w:tbl>
    <w:p w14:paraId="1E5F4D7C" w14:textId="77777777" w:rsidR="00B95043" w:rsidRPr="003954D9" w:rsidRDefault="00B95043" w:rsidP="00B95043">
      <w:pPr>
        <w:rPr>
          <w:sz w:val="16"/>
          <w:szCs w:val="16"/>
        </w:rPr>
      </w:pPr>
      <w:r w:rsidRPr="00AE13ED">
        <w:rPr>
          <w:b/>
          <w:color w:val="FF6600"/>
          <w:sz w:val="16"/>
          <w:szCs w:val="16"/>
        </w:rPr>
        <w:t>Röd färg högsta</w:t>
      </w:r>
      <w:r w:rsidRPr="003954D9">
        <w:rPr>
          <w:color w:val="FF6600"/>
          <w:sz w:val="16"/>
          <w:szCs w:val="16"/>
        </w:rPr>
        <w:t xml:space="preserve"> </w:t>
      </w:r>
      <w:r w:rsidRPr="003954D9">
        <w:rPr>
          <w:sz w:val="16"/>
          <w:szCs w:val="16"/>
        </w:rPr>
        <w:t xml:space="preserve">och </w:t>
      </w:r>
      <w:r w:rsidRPr="00AE13ED">
        <w:rPr>
          <w:b/>
          <w:color w:val="0070C0"/>
          <w:sz w:val="16"/>
          <w:szCs w:val="16"/>
        </w:rPr>
        <w:t>blå färg lägsta</w:t>
      </w:r>
      <w:r w:rsidRPr="00AE13ED">
        <w:rPr>
          <w:color w:val="0070C0"/>
          <w:sz w:val="16"/>
          <w:szCs w:val="16"/>
        </w:rPr>
        <w:t xml:space="preserve"> </w:t>
      </w:r>
      <w:r w:rsidRPr="003954D9">
        <w:rPr>
          <w:sz w:val="16"/>
          <w:szCs w:val="16"/>
        </w:rPr>
        <w:t>värde i grupp.</w:t>
      </w:r>
    </w:p>
    <w:p w14:paraId="28C6A55B" w14:textId="77777777" w:rsidR="00117C0D" w:rsidRPr="003954D9" w:rsidRDefault="00117C0D" w:rsidP="00117C0D">
      <w:pPr>
        <w:rPr>
          <w:b/>
          <w:sz w:val="23"/>
        </w:rPr>
      </w:pPr>
    </w:p>
    <w:p w14:paraId="259DA928" w14:textId="01515A58" w:rsidR="00117C0D" w:rsidRPr="003954D9" w:rsidRDefault="00117C0D" w:rsidP="00117C0D">
      <w:pPr>
        <w:pStyle w:val="Rubrik2"/>
      </w:pPr>
      <w:bookmarkStart w:id="459" w:name="_Toc463184481"/>
      <w:bookmarkStart w:id="460" w:name="_Toc464828489"/>
      <w:r w:rsidRPr="003954D9">
        <w:t>Tabeller 6:</w:t>
      </w:r>
      <w:r w:rsidR="00365C66" w:rsidRPr="003954D9">
        <w:t>1–6</w:t>
      </w:r>
      <w:r w:rsidRPr="003954D9">
        <w:t>:8</w:t>
      </w:r>
      <w:bookmarkEnd w:id="459"/>
      <w:bookmarkEnd w:id="460"/>
    </w:p>
    <w:p w14:paraId="2C6F235F"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6:1: Antal och andel lägenheter, medelyta, antal personer, yta per person, personer per lägenhet och disponibel inkomst utöver skälig levnadsnivå per person efter lägenhetstyp – Alla</w:t>
      </w:r>
    </w:p>
    <w:tbl>
      <w:tblPr>
        <w:tblW w:w="0" w:type="auto"/>
        <w:tblInd w:w="-38" w:type="dxa"/>
        <w:tblLayout w:type="fixed"/>
        <w:tblLook w:val="0000" w:firstRow="0" w:lastRow="0" w:firstColumn="0" w:lastColumn="0" w:noHBand="0" w:noVBand="0"/>
      </w:tblPr>
      <w:tblGrid>
        <w:gridCol w:w="1023"/>
        <w:gridCol w:w="757"/>
        <w:gridCol w:w="621"/>
        <w:gridCol w:w="796"/>
        <w:gridCol w:w="621"/>
        <w:gridCol w:w="9"/>
        <w:gridCol w:w="788"/>
        <w:gridCol w:w="804"/>
        <w:gridCol w:w="897"/>
        <w:gridCol w:w="691"/>
        <w:gridCol w:w="1495"/>
      </w:tblGrid>
      <w:tr w:rsidR="00117C0D" w:rsidRPr="003954D9" w14:paraId="15B062A9" w14:textId="77777777" w:rsidTr="00117C0D">
        <w:trPr>
          <w:trHeight w:val="227"/>
        </w:trPr>
        <w:tc>
          <w:tcPr>
            <w:tcW w:w="1023" w:type="dxa"/>
            <w:tcBorders>
              <w:top w:val="single" w:sz="6" w:space="0" w:color="auto"/>
              <w:left w:val="single" w:sz="6" w:space="0" w:color="auto"/>
              <w:bottom w:val="nil"/>
              <w:right w:val="single" w:sz="6" w:space="0" w:color="auto"/>
            </w:tcBorders>
          </w:tcPr>
          <w:p w14:paraId="3EACC40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w:t>
            </w:r>
          </w:p>
          <w:p w14:paraId="04EA576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hets typ</w:t>
            </w:r>
          </w:p>
        </w:tc>
        <w:tc>
          <w:tcPr>
            <w:tcW w:w="757" w:type="dxa"/>
            <w:tcBorders>
              <w:top w:val="single" w:sz="6" w:space="0" w:color="auto"/>
              <w:left w:val="single" w:sz="6" w:space="0" w:color="auto"/>
              <w:bottom w:val="single" w:sz="6" w:space="0" w:color="auto"/>
              <w:right w:val="nil"/>
            </w:tcBorders>
          </w:tcPr>
          <w:p w14:paraId="2D27F01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Hushåll</w:t>
            </w:r>
          </w:p>
        </w:tc>
        <w:tc>
          <w:tcPr>
            <w:tcW w:w="621" w:type="dxa"/>
            <w:tcBorders>
              <w:top w:val="single" w:sz="6" w:space="0" w:color="auto"/>
              <w:left w:val="nil"/>
              <w:bottom w:val="single" w:sz="6" w:space="0" w:color="auto"/>
              <w:right w:val="single" w:sz="6" w:space="0" w:color="auto"/>
            </w:tcBorders>
          </w:tcPr>
          <w:p w14:paraId="7032B536" w14:textId="77777777" w:rsidR="00117C0D" w:rsidRPr="003954D9" w:rsidRDefault="00117C0D" w:rsidP="00117C0D">
            <w:pPr>
              <w:autoSpaceDE w:val="0"/>
              <w:autoSpaceDN w:val="0"/>
              <w:adjustRightInd w:val="0"/>
              <w:jc w:val="right"/>
              <w:rPr>
                <w:rFonts w:ascii="Calibri" w:hAnsi="Calibri" w:cs="Calibri"/>
                <w:color w:val="000000"/>
                <w:sz w:val="22"/>
                <w:szCs w:val="22"/>
              </w:rPr>
            </w:pPr>
          </w:p>
        </w:tc>
        <w:tc>
          <w:tcPr>
            <w:tcW w:w="1426" w:type="dxa"/>
            <w:gridSpan w:val="3"/>
            <w:tcBorders>
              <w:top w:val="single" w:sz="6" w:space="0" w:color="auto"/>
              <w:left w:val="single" w:sz="6" w:space="0" w:color="auto"/>
              <w:bottom w:val="single" w:sz="6" w:space="0" w:color="auto"/>
              <w:right w:val="single" w:sz="6" w:space="0" w:color="auto"/>
            </w:tcBorders>
          </w:tcPr>
          <w:p w14:paraId="645ED96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w:t>
            </w:r>
          </w:p>
        </w:tc>
        <w:tc>
          <w:tcPr>
            <w:tcW w:w="788" w:type="dxa"/>
            <w:tcBorders>
              <w:top w:val="single" w:sz="6" w:space="0" w:color="auto"/>
              <w:left w:val="single" w:sz="6" w:space="0" w:color="auto"/>
              <w:bottom w:val="nil"/>
              <w:right w:val="single" w:sz="6" w:space="0" w:color="auto"/>
            </w:tcBorders>
          </w:tcPr>
          <w:p w14:paraId="25C7C10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Hyra kr/ mån</w:t>
            </w:r>
          </w:p>
        </w:tc>
        <w:tc>
          <w:tcPr>
            <w:tcW w:w="804" w:type="dxa"/>
            <w:tcBorders>
              <w:top w:val="single" w:sz="6" w:space="0" w:color="auto"/>
              <w:left w:val="single" w:sz="6" w:space="0" w:color="auto"/>
              <w:bottom w:val="single" w:sz="6" w:space="0" w:color="auto"/>
              <w:right w:val="nil"/>
            </w:tcBorders>
          </w:tcPr>
          <w:p w14:paraId="7B4402C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Boarea</w:t>
            </w:r>
          </w:p>
        </w:tc>
        <w:tc>
          <w:tcPr>
            <w:tcW w:w="897" w:type="dxa"/>
            <w:tcBorders>
              <w:top w:val="single" w:sz="6" w:space="0" w:color="auto"/>
              <w:left w:val="nil"/>
              <w:bottom w:val="single" w:sz="6" w:space="0" w:color="auto"/>
              <w:right w:val="single" w:sz="6" w:space="0" w:color="auto"/>
            </w:tcBorders>
          </w:tcPr>
          <w:p w14:paraId="7B2A7336" w14:textId="77777777" w:rsidR="00117C0D" w:rsidRPr="003954D9" w:rsidRDefault="00117C0D" w:rsidP="00117C0D">
            <w:pPr>
              <w:autoSpaceDE w:val="0"/>
              <w:autoSpaceDN w:val="0"/>
              <w:adjustRightInd w:val="0"/>
              <w:jc w:val="right"/>
              <w:rPr>
                <w:rFonts w:ascii="Calibri" w:hAnsi="Calibri" w:cs="Calibri"/>
                <w:color w:val="000000"/>
                <w:sz w:val="22"/>
                <w:szCs w:val="22"/>
              </w:rPr>
            </w:pPr>
          </w:p>
        </w:tc>
        <w:tc>
          <w:tcPr>
            <w:tcW w:w="691" w:type="dxa"/>
            <w:tcBorders>
              <w:top w:val="single" w:sz="6" w:space="0" w:color="auto"/>
              <w:left w:val="single" w:sz="6" w:space="0" w:color="auto"/>
              <w:bottom w:val="nil"/>
              <w:right w:val="single" w:sz="6" w:space="0" w:color="auto"/>
            </w:tcBorders>
          </w:tcPr>
          <w:p w14:paraId="2692DB6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 lgh</w:t>
            </w:r>
          </w:p>
        </w:tc>
        <w:tc>
          <w:tcPr>
            <w:tcW w:w="1495" w:type="dxa"/>
            <w:vMerge w:val="restart"/>
            <w:tcBorders>
              <w:top w:val="single" w:sz="6" w:space="0" w:color="auto"/>
              <w:left w:val="single" w:sz="6" w:space="0" w:color="auto"/>
              <w:right w:val="single" w:sz="6" w:space="0" w:color="auto"/>
            </w:tcBorders>
          </w:tcPr>
          <w:p w14:paraId="6AF6B5F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Disp. ink/månad och person utöver skälig levnadsnivå</w:t>
            </w:r>
          </w:p>
        </w:tc>
      </w:tr>
      <w:tr w:rsidR="00117C0D" w:rsidRPr="003954D9" w14:paraId="3E4EA8AB" w14:textId="77777777" w:rsidTr="00117C0D">
        <w:trPr>
          <w:trHeight w:val="227"/>
        </w:trPr>
        <w:tc>
          <w:tcPr>
            <w:tcW w:w="1023" w:type="dxa"/>
            <w:tcBorders>
              <w:top w:val="nil"/>
              <w:left w:val="single" w:sz="6" w:space="0" w:color="auto"/>
              <w:bottom w:val="single" w:sz="6" w:space="0" w:color="auto"/>
              <w:right w:val="single" w:sz="6" w:space="0" w:color="auto"/>
            </w:tcBorders>
          </w:tcPr>
          <w:p w14:paraId="2AC5A644" w14:textId="77777777" w:rsidR="00117C0D" w:rsidRPr="003954D9" w:rsidRDefault="00117C0D" w:rsidP="00117C0D">
            <w:pPr>
              <w:autoSpaceDE w:val="0"/>
              <w:autoSpaceDN w:val="0"/>
              <w:adjustRightInd w:val="0"/>
              <w:jc w:val="right"/>
              <w:rPr>
                <w:rFonts w:ascii="Calibri" w:hAnsi="Calibri" w:cs="Calibri"/>
                <w:color w:val="000000"/>
                <w:sz w:val="22"/>
                <w:szCs w:val="22"/>
              </w:rPr>
            </w:pPr>
          </w:p>
        </w:tc>
        <w:tc>
          <w:tcPr>
            <w:tcW w:w="757" w:type="dxa"/>
            <w:tcBorders>
              <w:top w:val="single" w:sz="6" w:space="0" w:color="auto"/>
              <w:left w:val="single" w:sz="6" w:space="0" w:color="auto"/>
              <w:bottom w:val="single" w:sz="6" w:space="0" w:color="auto"/>
              <w:right w:val="single" w:sz="6" w:space="0" w:color="auto"/>
            </w:tcBorders>
          </w:tcPr>
          <w:p w14:paraId="7B88535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621" w:type="dxa"/>
            <w:tcBorders>
              <w:top w:val="single" w:sz="6" w:space="0" w:color="auto"/>
              <w:left w:val="single" w:sz="6" w:space="0" w:color="auto"/>
              <w:bottom w:val="single" w:sz="6" w:space="0" w:color="auto"/>
              <w:right w:val="single" w:sz="6" w:space="0" w:color="auto"/>
            </w:tcBorders>
          </w:tcPr>
          <w:p w14:paraId="37F34718" w14:textId="527A59FE" w:rsidR="00117C0D" w:rsidRPr="003954D9" w:rsidRDefault="00475673"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procent</w:t>
            </w:r>
          </w:p>
        </w:tc>
        <w:tc>
          <w:tcPr>
            <w:tcW w:w="796" w:type="dxa"/>
            <w:tcBorders>
              <w:top w:val="single" w:sz="6" w:space="0" w:color="auto"/>
              <w:left w:val="single" w:sz="6" w:space="0" w:color="auto"/>
              <w:bottom w:val="single" w:sz="6" w:space="0" w:color="auto"/>
              <w:right w:val="single" w:sz="6" w:space="0" w:color="auto"/>
            </w:tcBorders>
          </w:tcPr>
          <w:p w14:paraId="0AFB26A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w:t>
            </w:r>
          </w:p>
        </w:tc>
        <w:tc>
          <w:tcPr>
            <w:tcW w:w="621" w:type="dxa"/>
            <w:tcBorders>
              <w:top w:val="single" w:sz="6" w:space="0" w:color="auto"/>
              <w:left w:val="single" w:sz="6" w:space="0" w:color="auto"/>
              <w:bottom w:val="single" w:sz="6" w:space="0" w:color="auto"/>
              <w:right w:val="single" w:sz="6" w:space="0" w:color="auto"/>
            </w:tcBorders>
          </w:tcPr>
          <w:p w14:paraId="6005D031" w14:textId="06A6DD82" w:rsidR="00117C0D" w:rsidRPr="003954D9" w:rsidRDefault="00475673"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procent</w:t>
            </w:r>
          </w:p>
        </w:tc>
        <w:tc>
          <w:tcPr>
            <w:tcW w:w="797" w:type="dxa"/>
            <w:gridSpan w:val="2"/>
            <w:tcBorders>
              <w:top w:val="nil"/>
              <w:left w:val="single" w:sz="6" w:space="0" w:color="auto"/>
              <w:bottom w:val="single" w:sz="6" w:space="0" w:color="auto"/>
              <w:right w:val="single" w:sz="6" w:space="0" w:color="auto"/>
            </w:tcBorders>
          </w:tcPr>
          <w:p w14:paraId="5A10E29B" w14:textId="77777777" w:rsidR="00117C0D" w:rsidRPr="003954D9" w:rsidRDefault="00117C0D" w:rsidP="00117C0D">
            <w:pPr>
              <w:autoSpaceDE w:val="0"/>
              <w:autoSpaceDN w:val="0"/>
              <w:adjustRightInd w:val="0"/>
              <w:jc w:val="right"/>
              <w:rPr>
                <w:rFonts w:ascii="Calibri" w:hAnsi="Calibri" w:cs="Calibri"/>
                <w:color w:val="000000"/>
                <w:sz w:val="22"/>
                <w:szCs w:val="22"/>
              </w:rPr>
            </w:pPr>
          </w:p>
        </w:tc>
        <w:tc>
          <w:tcPr>
            <w:tcW w:w="804" w:type="dxa"/>
            <w:tcBorders>
              <w:top w:val="single" w:sz="6" w:space="0" w:color="auto"/>
              <w:left w:val="single" w:sz="6" w:space="0" w:color="auto"/>
              <w:bottom w:val="single" w:sz="6" w:space="0" w:color="auto"/>
              <w:right w:val="single" w:sz="6" w:space="0" w:color="auto"/>
            </w:tcBorders>
          </w:tcPr>
          <w:p w14:paraId="54D24958" w14:textId="44710624" w:rsidR="00117C0D" w:rsidRPr="003954D9" w:rsidRDefault="00365C66"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Medelev</w:t>
            </w:r>
            <w:r w:rsidR="00117C0D" w:rsidRPr="003954D9">
              <w:rPr>
                <w:rFonts w:ascii="Calibri" w:hAnsi="Calibri" w:cs="Calibri"/>
                <w:b/>
                <w:bCs/>
                <w:color w:val="000000"/>
                <w:sz w:val="16"/>
                <w:szCs w:val="16"/>
              </w:rPr>
              <w:t>.</w:t>
            </w:r>
          </w:p>
        </w:tc>
        <w:tc>
          <w:tcPr>
            <w:tcW w:w="897" w:type="dxa"/>
            <w:tcBorders>
              <w:top w:val="single" w:sz="6" w:space="0" w:color="auto"/>
              <w:left w:val="single" w:sz="6" w:space="0" w:color="auto"/>
              <w:bottom w:val="single" w:sz="6" w:space="0" w:color="auto"/>
              <w:right w:val="single" w:sz="6" w:space="0" w:color="auto"/>
            </w:tcBorders>
          </w:tcPr>
          <w:p w14:paraId="2254AA8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 pers.</w:t>
            </w:r>
          </w:p>
        </w:tc>
        <w:tc>
          <w:tcPr>
            <w:tcW w:w="691" w:type="dxa"/>
            <w:tcBorders>
              <w:top w:val="nil"/>
              <w:left w:val="single" w:sz="6" w:space="0" w:color="auto"/>
              <w:bottom w:val="single" w:sz="6" w:space="0" w:color="auto"/>
              <w:right w:val="single" w:sz="6" w:space="0" w:color="auto"/>
            </w:tcBorders>
          </w:tcPr>
          <w:p w14:paraId="251EFD06" w14:textId="77777777" w:rsidR="00117C0D" w:rsidRPr="003954D9" w:rsidRDefault="00117C0D" w:rsidP="00117C0D">
            <w:pPr>
              <w:autoSpaceDE w:val="0"/>
              <w:autoSpaceDN w:val="0"/>
              <w:adjustRightInd w:val="0"/>
              <w:jc w:val="right"/>
              <w:rPr>
                <w:rFonts w:ascii="Calibri" w:hAnsi="Calibri" w:cs="Calibri"/>
                <w:color w:val="000000"/>
                <w:sz w:val="22"/>
                <w:szCs w:val="22"/>
              </w:rPr>
            </w:pPr>
          </w:p>
        </w:tc>
        <w:tc>
          <w:tcPr>
            <w:tcW w:w="1495" w:type="dxa"/>
            <w:vMerge/>
            <w:tcBorders>
              <w:left w:val="single" w:sz="6" w:space="0" w:color="auto"/>
              <w:bottom w:val="single" w:sz="6" w:space="0" w:color="auto"/>
              <w:right w:val="single" w:sz="6" w:space="0" w:color="auto"/>
            </w:tcBorders>
          </w:tcPr>
          <w:p w14:paraId="30DD8BF3" w14:textId="77777777" w:rsidR="00117C0D" w:rsidRPr="003954D9" w:rsidRDefault="00117C0D" w:rsidP="00117C0D">
            <w:pPr>
              <w:autoSpaceDE w:val="0"/>
              <w:autoSpaceDN w:val="0"/>
              <w:adjustRightInd w:val="0"/>
              <w:jc w:val="right"/>
              <w:rPr>
                <w:rFonts w:ascii="Calibri" w:hAnsi="Calibri" w:cs="Calibri"/>
                <w:color w:val="000000"/>
                <w:sz w:val="22"/>
                <w:szCs w:val="22"/>
              </w:rPr>
            </w:pPr>
          </w:p>
        </w:tc>
      </w:tr>
      <w:tr w:rsidR="00117C0D" w:rsidRPr="003954D9" w14:paraId="185F6F1D" w14:textId="77777777" w:rsidTr="00117C0D">
        <w:trPr>
          <w:trHeight w:val="227"/>
        </w:trPr>
        <w:tc>
          <w:tcPr>
            <w:tcW w:w="1023" w:type="dxa"/>
            <w:tcBorders>
              <w:top w:val="single" w:sz="6" w:space="0" w:color="auto"/>
              <w:left w:val="single" w:sz="6" w:space="0" w:color="auto"/>
              <w:bottom w:val="single" w:sz="6" w:space="0" w:color="auto"/>
              <w:right w:val="single" w:sz="6" w:space="0" w:color="auto"/>
            </w:tcBorders>
          </w:tcPr>
          <w:p w14:paraId="6AA9753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1 rokv </w:t>
            </w:r>
          </w:p>
        </w:tc>
        <w:tc>
          <w:tcPr>
            <w:tcW w:w="757" w:type="dxa"/>
            <w:tcBorders>
              <w:top w:val="single" w:sz="6" w:space="0" w:color="auto"/>
              <w:left w:val="single" w:sz="6" w:space="0" w:color="auto"/>
              <w:bottom w:val="single" w:sz="6" w:space="0" w:color="auto"/>
              <w:right w:val="single" w:sz="6" w:space="0" w:color="auto"/>
            </w:tcBorders>
          </w:tcPr>
          <w:p w14:paraId="0202E20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2 524</w:t>
            </w:r>
          </w:p>
        </w:tc>
        <w:tc>
          <w:tcPr>
            <w:tcW w:w="621" w:type="dxa"/>
            <w:tcBorders>
              <w:top w:val="single" w:sz="6" w:space="0" w:color="auto"/>
              <w:left w:val="single" w:sz="6" w:space="0" w:color="auto"/>
              <w:bottom w:val="single" w:sz="6" w:space="0" w:color="auto"/>
              <w:right w:val="single" w:sz="6" w:space="0" w:color="auto"/>
            </w:tcBorders>
          </w:tcPr>
          <w:p w14:paraId="43A5E39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10,9</w:t>
            </w:r>
          </w:p>
        </w:tc>
        <w:tc>
          <w:tcPr>
            <w:tcW w:w="796" w:type="dxa"/>
            <w:tcBorders>
              <w:top w:val="single" w:sz="6" w:space="0" w:color="auto"/>
              <w:left w:val="single" w:sz="6" w:space="0" w:color="auto"/>
              <w:bottom w:val="single" w:sz="6" w:space="0" w:color="auto"/>
              <w:right w:val="single" w:sz="6" w:space="0" w:color="auto"/>
            </w:tcBorders>
          </w:tcPr>
          <w:p w14:paraId="4E19B2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3 494</w:t>
            </w:r>
          </w:p>
        </w:tc>
        <w:tc>
          <w:tcPr>
            <w:tcW w:w="621" w:type="dxa"/>
            <w:tcBorders>
              <w:top w:val="single" w:sz="6" w:space="0" w:color="auto"/>
              <w:left w:val="single" w:sz="6" w:space="0" w:color="auto"/>
              <w:bottom w:val="single" w:sz="6" w:space="0" w:color="auto"/>
              <w:right w:val="single" w:sz="6" w:space="0" w:color="auto"/>
            </w:tcBorders>
          </w:tcPr>
          <w:p w14:paraId="4AF274C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6,8</w:t>
            </w:r>
          </w:p>
        </w:tc>
        <w:tc>
          <w:tcPr>
            <w:tcW w:w="797" w:type="dxa"/>
            <w:gridSpan w:val="2"/>
            <w:tcBorders>
              <w:top w:val="single" w:sz="6" w:space="0" w:color="auto"/>
              <w:left w:val="single" w:sz="6" w:space="0" w:color="auto"/>
              <w:bottom w:val="single" w:sz="6" w:space="0" w:color="auto"/>
              <w:right w:val="single" w:sz="6" w:space="0" w:color="auto"/>
            </w:tcBorders>
          </w:tcPr>
          <w:p w14:paraId="5277F7F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3 038</w:t>
            </w:r>
          </w:p>
        </w:tc>
        <w:tc>
          <w:tcPr>
            <w:tcW w:w="804" w:type="dxa"/>
            <w:tcBorders>
              <w:top w:val="single" w:sz="6" w:space="0" w:color="auto"/>
              <w:left w:val="single" w:sz="6" w:space="0" w:color="auto"/>
              <w:bottom w:val="single" w:sz="6" w:space="0" w:color="auto"/>
              <w:right w:val="single" w:sz="6" w:space="0" w:color="auto"/>
            </w:tcBorders>
          </w:tcPr>
          <w:p w14:paraId="5F6FFB7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30,1</w:t>
            </w:r>
          </w:p>
        </w:tc>
        <w:tc>
          <w:tcPr>
            <w:tcW w:w="897" w:type="dxa"/>
            <w:tcBorders>
              <w:top w:val="single" w:sz="6" w:space="0" w:color="auto"/>
              <w:left w:val="single" w:sz="6" w:space="0" w:color="auto"/>
              <w:bottom w:val="single" w:sz="6" w:space="0" w:color="auto"/>
              <w:right w:val="single" w:sz="6" w:space="0" w:color="auto"/>
            </w:tcBorders>
          </w:tcPr>
          <w:p w14:paraId="660E19E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21,7</w:t>
            </w:r>
          </w:p>
        </w:tc>
        <w:tc>
          <w:tcPr>
            <w:tcW w:w="691" w:type="dxa"/>
            <w:tcBorders>
              <w:top w:val="single" w:sz="6" w:space="0" w:color="auto"/>
              <w:left w:val="single" w:sz="6" w:space="0" w:color="auto"/>
              <w:bottom w:val="single" w:sz="6" w:space="0" w:color="auto"/>
              <w:right w:val="single" w:sz="6" w:space="0" w:color="auto"/>
            </w:tcBorders>
          </w:tcPr>
          <w:p w14:paraId="4604BCC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1,38</w:t>
            </w:r>
          </w:p>
        </w:tc>
        <w:tc>
          <w:tcPr>
            <w:tcW w:w="1495" w:type="dxa"/>
            <w:tcBorders>
              <w:top w:val="single" w:sz="6" w:space="0" w:color="auto"/>
              <w:left w:val="single" w:sz="6" w:space="0" w:color="auto"/>
              <w:bottom w:val="single" w:sz="6" w:space="0" w:color="auto"/>
              <w:right w:val="single" w:sz="6" w:space="0" w:color="auto"/>
            </w:tcBorders>
          </w:tcPr>
          <w:p w14:paraId="3ECB4D4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2 332</w:t>
            </w:r>
          </w:p>
        </w:tc>
      </w:tr>
      <w:tr w:rsidR="00117C0D" w:rsidRPr="003954D9" w14:paraId="5F7E75EE" w14:textId="77777777" w:rsidTr="00117C0D">
        <w:trPr>
          <w:trHeight w:val="227"/>
        </w:trPr>
        <w:tc>
          <w:tcPr>
            <w:tcW w:w="1023" w:type="dxa"/>
            <w:tcBorders>
              <w:top w:val="single" w:sz="6" w:space="0" w:color="auto"/>
              <w:left w:val="single" w:sz="6" w:space="0" w:color="auto"/>
              <w:bottom w:val="single" w:sz="6" w:space="0" w:color="auto"/>
              <w:right w:val="single" w:sz="6" w:space="0" w:color="auto"/>
            </w:tcBorders>
          </w:tcPr>
          <w:p w14:paraId="20365D5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w:t>
            </w:r>
          </w:p>
        </w:tc>
        <w:tc>
          <w:tcPr>
            <w:tcW w:w="757" w:type="dxa"/>
            <w:tcBorders>
              <w:top w:val="single" w:sz="6" w:space="0" w:color="auto"/>
              <w:left w:val="single" w:sz="6" w:space="0" w:color="auto"/>
              <w:bottom w:val="single" w:sz="6" w:space="0" w:color="auto"/>
              <w:right w:val="single" w:sz="6" w:space="0" w:color="auto"/>
            </w:tcBorders>
          </w:tcPr>
          <w:p w14:paraId="60A88A9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1 355</w:t>
            </w:r>
          </w:p>
        </w:tc>
        <w:tc>
          <w:tcPr>
            <w:tcW w:w="621" w:type="dxa"/>
            <w:tcBorders>
              <w:top w:val="single" w:sz="6" w:space="0" w:color="auto"/>
              <w:left w:val="single" w:sz="6" w:space="0" w:color="auto"/>
              <w:bottom w:val="single" w:sz="6" w:space="0" w:color="auto"/>
              <w:right w:val="single" w:sz="6" w:space="0" w:color="auto"/>
            </w:tcBorders>
          </w:tcPr>
          <w:p w14:paraId="3CDA43A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w:t>
            </w:r>
          </w:p>
        </w:tc>
        <w:tc>
          <w:tcPr>
            <w:tcW w:w="796" w:type="dxa"/>
            <w:tcBorders>
              <w:top w:val="single" w:sz="6" w:space="0" w:color="auto"/>
              <w:left w:val="single" w:sz="6" w:space="0" w:color="auto"/>
              <w:bottom w:val="single" w:sz="6" w:space="0" w:color="auto"/>
              <w:right w:val="single" w:sz="6" w:space="0" w:color="auto"/>
            </w:tcBorders>
          </w:tcPr>
          <w:p w14:paraId="1C618A3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1 810</w:t>
            </w:r>
          </w:p>
        </w:tc>
        <w:tc>
          <w:tcPr>
            <w:tcW w:w="621" w:type="dxa"/>
            <w:tcBorders>
              <w:top w:val="single" w:sz="6" w:space="0" w:color="auto"/>
              <w:left w:val="single" w:sz="6" w:space="0" w:color="auto"/>
              <w:bottom w:val="single" w:sz="6" w:space="0" w:color="auto"/>
              <w:right w:val="single" w:sz="6" w:space="0" w:color="auto"/>
            </w:tcBorders>
          </w:tcPr>
          <w:p w14:paraId="64FF930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w:t>
            </w:r>
          </w:p>
        </w:tc>
        <w:tc>
          <w:tcPr>
            <w:tcW w:w="797" w:type="dxa"/>
            <w:gridSpan w:val="2"/>
            <w:tcBorders>
              <w:top w:val="single" w:sz="6" w:space="0" w:color="auto"/>
              <w:left w:val="single" w:sz="6" w:space="0" w:color="auto"/>
              <w:bottom w:val="single" w:sz="6" w:space="0" w:color="auto"/>
              <w:right w:val="single" w:sz="6" w:space="0" w:color="auto"/>
            </w:tcBorders>
          </w:tcPr>
          <w:p w14:paraId="3BB85ED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3 737</w:t>
            </w:r>
          </w:p>
        </w:tc>
        <w:tc>
          <w:tcPr>
            <w:tcW w:w="804" w:type="dxa"/>
            <w:tcBorders>
              <w:top w:val="single" w:sz="6" w:space="0" w:color="auto"/>
              <w:left w:val="single" w:sz="6" w:space="0" w:color="auto"/>
              <w:bottom w:val="single" w:sz="6" w:space="0" w:color="auto"/>
              <w:right w:val="single" w:sz="6" w:space="0" w:color="auto"/>
            </w:tcBorders>
          </w:tcPr>
          <w:p w14:paraId="2B1B3C2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39,9</w:t>
            </w:r>
          </w:p>
        </w:tc>
        <w:tc>
          <w:tcPr>
            <w:tcW w:w="897" w:type="dxa"/>
            <w:tcBorders>
              <w:top w:val="single" w:sz="6" w:space="0" w:color="auto"/>
              <w:left w:val="single" w:sz="6" w:space="0" w:color="auto"/>
              <w:bottom w:val="single" w:sz="6" w:space="0" w:color="auto"/>
              <w:right w:val="single" w:sz="6" w:space="0" w:color="auto"/>
            </w:tcBorders>
          </w:tcPr>
          <w:p w14:paraId="4EDF095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29,9</w:t>
            </w:r>
          </w:p>
        </w:tc>
        <w:tc>
          <w:tcPr>
            <w:tcW w:w="691" w:type="dxa"/>
            <w:tcBorders>
              <w:top w:val="single" w:sz="6" w:space="0" w:color="auto"/>
              <w:left w:val="single" w:sz="6" w:space="0" w:color="auto"/>
              <w:bottom w:val="single" w:sz="6" w:space="0" w:color="auto"/>
              <w:right w:val="single" w:sz="6" w:space="0" w:color="auto"/>
            </w:tcBorders>
          </w:tcPr>
          <w:p w14:paraId="5D764DC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1,34</w:t>
            </w:r>
          </w:p>
        </w:tc>
        <w:tc>
          <w:tcPr>
            <w:tcW w:w="1495" w:type="dxa"/>
            <w:tcBorders>
              <w:top w:val="single" w:sz="6" w:space="0" w:color="auto"/>
              <w:left w:val="single" w:sz="6" w:space="0" w:color="auto"/>
              <w:bottom w:val="single" w:sz="6" w:space="0" w:color="auto"/>
              <w:right w:val="single" w:sz="6" w:space="0" w:color="auto"/>
            </w:tcBorders>
          </w:tcPr>
          <w:p w14:paraId="1E91EEA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2 839</w:t>
            </w:r>
          </w:p>
        </w:tc>
      </w:tr>
      <w:tr w:rsidR="00117C0D" w:rsidRPr="003954D9" w14:paraId="4763C613" w14:textId="77777777" w:rsidTr="00117C0D">
        <w:trPr>
          <w:trHeight w:val="227"/>
        </w:trPr>
        <w:tc>
          <w:tcPr>
            <w:tcW w:w="1023" w:type="dxa"/>
            <w:tcBorders>
              <w:top w:val="single" w:sz="6" w:space="0" w:color="auto"/>
              <w:left w:val="single" w:sz="6" w:space="0" w:color="auto"/>
              <w:bottom w:val="single" w:sz="6" w:space="0" w:color="auto"/>
              <w:right w:val="single" w:sz="6" w:space="0" w:color="auto"/>
            </w:tcBorders>
          </w:tcPr>
          <w:p w14:paraId="117F1AC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2 rokv  </w:t>
            </w:r>
          </w:p>
        </w:tc>
        <w:tc>
          <w:tcPr>
            <w:tcW w:w="757" w:type="dxa"/>
            <w:tcBorders>
              <w:top w:val="single" w:sz="6" w:space="0" w:color="auto"/>
              <w:left w:val="single" w:sz="6" w:space="0" w:color="auto"/>
              <w:bottom w:val="single" w:sz="6" w:space="0" w:color="auto"/>
              <w:right w:val="single" w:sz="6" w:space="0" w:color="auto"/>
            </w:tcBorders>
          </w:tcPr>
          <w:p w14:paraId="5434278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1 018</w:t>
            </w:r>
          </w:p>
        </w:tc>
        <w:tc>
          <w:tcPr>
            <w:tcW w:w="621" w:type="dxa"/>
            <w:tcBorders>
              <w:top w:val="single" w:sz="6" w:space="0" w:color="auto"/>
              <w:left w:val="single" w:sz="6" w:space="0" w:color="auto"/>
              <w:bottom w:val="single" w:sz="6" w:space="0" w:color="auto"/>
              <w:right w:val="single" w:sz="6" w:space="0" w:color="auto"/>
            </w:tcBorders>
          </w:tcPr>
          <w:p w14:paraId="6FDD45F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4,4</w:t>
            </w:r>
          </w:p>
        </w:tc>
        <w:tc>
          <w:tcPr>
            <w:tcW w:w="796" w:type="dxa"/>
            <w:tcBorders>
              <w:top w:val="single" w:sz="6" w:space="0" w:color="auto"/>
              <w:left w:val="single" w:sz="6" w:space="0" w:color="auto"/>
              <w:bottom w:val="single" w:sz="6" w:space="0" w:color="auto"/>
              <w:right w:val="single" w:sz="6" w:space="0" w:color="auto"/>
            </w:tcBorders>
          </w:tcPr>
          <w:p w14:paraId="16D1684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1 673</w:t>
            </w:r>
          </w:p>
        </w:tc>
        <w:tc>
          <w:tcPr>
            <w:tcW w:w="621" w:type="dxa"/>
            <w:tcBorders>
              <w:top w:val="single" w:sz="6" w:space="0" w:color="auto"/>
              <w:left w:val="single" w:sz="6" w:space="0" w:color="auto"/>
              <w:bottom w:val="single" w:sz="6" w:space="0" w:color="auto"/>
              <w:right w:val="single" w:sz="6" w:space="0" w:color="auto"/>
            </w:tcBorders>
          </w:tcPr>
          <w:p w14:paraId="7A9B108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w:t>
            </w:r>
          </w:p>
        </w:tc>
        <w:tc>
          <w:tcPr>
            <w:tcW w:w="797" w:type="dxa"/>
            <w:gridSpan w:val="2"/>
            <w:tcBorders>
              <w:top w:val="single" w:sz="6" w:space="0" w:color="auto"/>
              <w:left w:val="single" w:sz="6" w:space="0" w:color="auto"/>
              <w:bottom w:val="single" w:sz="6" w:space="0" w:color="auto"/>
              <w:right w:val="single" w:sz="6" w:space="0" w:color="auto"/>
            </w:tcBorders>
          </w:tcPr>
          <w:p w14:paraId="29D64B5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4 205</w:t>
            </w:r>
          </w:p>
        </w:tc>
        <w:tc>
          <w:tcPr>
            <w:tcW w:w="804" w:type="dxa"/>
            <w:tcBorders>
              <w:top w:val="single" w:sz="6" w:space="0" w:color="auto"/>
              <w:left w:val="single" w:sz="6" w:space="0" w:color="auto"/>
              <w:bottom w:val="single" w:sz="6" w:space="0" w:color="auto"/>
              <w:right w:val="single" w:sz="6" w:space="0" w:color="auto"/>
            </w:tcBorders>
          </w:tcPr>
          <w:p w14:paraId="1D13F32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47,7</w:t>
            </w:r>
          </w:p>
        </w:tc>
        <w:tc>
          <w:tcPr>
            <w:tcW w:w="897" w:type="dxa"/>
            <w:tcBorders>
              <w:top w:val="single" w:sz="6" w:space="0" w:color="auto"/>
              <w:left w:val="single" w:sz="6" w:space="0" w:color="auto"/>
              <w:bottom w:val="single" w:sz="6" w:space="0" w:color="auto"/>
              <w:right w:val="single" w:sz="6" w:space="0" w:color="auto"/>
            </w:tcBorders>
          </w:tcPr>
          <w:p w14:paraId="21634C9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29,0</w:t>
            </w:r>
          </w:p>
        </w:tc>
        <w:tc>
          <w:tcPr>
            <w:tcW w:w="691" w:type="dxa"/>
            <w:tcBorders>
              <w:top w:val="single" w:sz="6" w:space="0" w:color="auto"/>
              <w:left w:val="single" w:sz="6" w:space="0" w:color="auto"/>
              <w:bottom w:val="single" w:sz="6" w:space="0" w:color="auto"/>
              <w:right w:val="single" w:sz="6" w:space="0" w:color="auto"/>
            </w:tcBorders>
          </w:tcPr>
          <w:p w14:paraId="797E5CF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1,64</w:t>
            </w:r>
          </w:p>
        </w:tc>
        <w:tc>
          <w:tcPr>
            <w:tcW w:w="1495" w:type="dxa"/>
            <w:tcBorders>
              <w:top w:val="single" w:sz="6" w:space="0" w:color="auto"/>
              <w:left w:val="single" w:sz="6" w:space="0" w:color="auto"/>
              <w:bottom w:val="single" w:sz="6" w:space="0" w:color="auto"/>
              <w:right w:val="single" w:sz="6" w:space="0" w:color="auto"/>
            </w:tcBorders>
          </w:tcPr>
          <w:p w14:paraId="7FC1C30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2 346</w:t>
            </w:r>
          </w:p>
        </w:tc>
      </w:tr>
      <w:tr w:rsidR="00117C0D" w:rsidRPr="003954D9" w14:paraId="71DA8A52" w14:textId="77777777" w:rsidTr="00117C0D">
        <w:trPr>
          <w:trHeight w:val="227"/>
        </w:trPr>
        <w:tc>
          <w:tcPr>
            <w:tcW w:w="1023" w:type="dxa"/>
            <w:tcBorders>
              <w:top w:val="single" w:sz="6" w:space="0" w:color="auto"/>
              <w:left w:val="single" w:sz="6" w:space="0" w:color="auto"/>
              <w:bottom w:val="single" w:sz="6" w:space="0" w:color="auto"/>
              <w:right w:val="single" w:sz="6" w:space="0" w:color="auto"/>
            </w:tcBorders>
          </w:tcPr>
          <w:p w14:paraId="59B29B5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w:t>
            </w:r>
          </w:p>
        </w:tc>
        <w:tc>
          <w:tcPr>
            <w:tcW w:w="757" w:type="dxa"/>
            <w:tcBorders>
              <w:top w:val="single" w:sz="6" w:space="0" w:color="auto"/>
              <w:left w:val="single" w:sz="6" w:space="0" w:color="auto"/>
              <w:bottom w:val="single" w:sz="6" w:space="0" w:color="auto"/>
              <w:right w:val="single" w:sz="6" w:space="0" w:color="auto"/>
            </w:tcBorders>
          </w:tcPr>
          <w:p w14:paraId="33FE740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7 394</w:t>
            </w:r>
          </w:p>
        </w:tc>
        <w:tc>
          <w:tcPr>
            <w:tcW w:w="621" w:type="dxa"/>
            <w:tcBorders>
              <w:top w:val="single" w:sz="6" w:space="0" w:color="auto"/>
              <w:left w:val="single" w:sz="6" w:space="0" w:color="auto"/>
              <w:bottom w:val="single" w:sz="6" w:space="0" w:color="auto"/>
              <w:right w:val="single" w:sz="6" w:space="0" w:color="auto"/>
            </w:tcBorders>
          </w:tcPr>
          <w:p w14:paraId="43B53FE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32,1</w:t>
            </w:r>
          </w:p>
        </w:tc>
        <w:tc>
          <w:tcPr>
            <w:tcW w:w="796" w:type="dxa"/>
            <w:tcBorders>
              <w:top w:val="single" w:sz="6" w:space="0" w:color="auto"/>
              <w:left w:val="single" w:sz="6" w:space="0" w:color="auto"/>
              <w:bottom w:val="single" w:sz="6" w:space="0" w:color="auto"/>
              <w:right w:val="single" w:sz="6" w:space="0" w:color="auto"/>
            </w:tcBorders>
          </w:tcPr>
          <w:p w14:paraId="1B6240B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12 342</w:t>
            </w:r>
          </w:p>
        </w:tc>
        <w:tc>
          <w:tcPr>
            <w:tcW w:w="621" w:type="dxa"/>
            <w:tcBorders>
              <w:top w:val="single" w:sz="6" w:space="0" w:color="auto"/>
              <w:left w:val="single" w:sz="6" w:space="0" w:color="auto"/>
              <w:bottom w:val="single" w:sz="6" w:space="0" w:color="auto"/>
              <w:right w:val="single" w:sz="6" w:space="0" w:color="auto"/>
            </w:tcBorders>
          </w:tcPr>
          <w:p w14:paraId="2359694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w:t>
            </w:r>
          </w:p>
        </w:tc>
        <w:tc>
          <w:tcPr>
            <w:tcW w:w="797" w:type="dxa"/>
            <w:gridSpan w:val="2"/>
            <w:tcBorders>
              <w:top w:val="single" w:sz="6" w:space="0" w:color="auto"/>
              <w:left w:val="single" w:sz="6" w:space="0" w:color="auto"/>
              <w:bottom w:val="single" w:sz="6" w:space="0" w:color="auto"/>
              <w:right w:val="single" w:sz="6" w:space="0" w:color="auto"/>
            </w:tcBorders>
          </w:tcPr>
          <w:p w14:paraId="38277BA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4 976</w:t>
            </w:r>
          </w:p>
        </w:tc>
        <w:tc>
          <w:tcPr>
            <w:tcW w:w="804" w:type="dxa"/>
            <w:tcBorders>
              <w:top w:val="single" w:sz="6" w:space="0" w:color="auto"/>
              <w:left w:val="single" w:sz="6" w:space="0" w:color="auto"/>
              <w:bottom w:val="single" w:sz="6" w:space="0" w:color="auto"/>
              <w:right w:val="single" w:sz="6" w:space="0" w:color="auto"/>
            </w:tcBorders>
          </w:tcPr>
          <w:p w14:paraId="5DBF0FA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58,6</w:t>
            </w:r>
          </w:p>
        </w:tc>
        <w:tc>
          <w:tcPr>
            <w:tcW w:w="897" w:type="dxa"/>
            <w:tcBorders>
              <w:top w:val="single" w:sz="6" w:space="0" w:color="auto"/>
              <w:left w:val="single" w:sz="6" w:space="0" w:color="auto"/>
              <w:bottom w:val="single" w:sz="6" w:space="0" w:color="auto"/>
              <w:right w:val="single" w:sz="6" w:space="0" w:color="auto"/>
            </w:tcBorders>
          </w:tcPr>
          <w:p w14:paraId="05C95C8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35,1</w:t>
            </w:r>
          </w:p>
        </w:tc>
        <w:tc>
          <w:tcPr>
            <w:tcW w:w="691" w:type="dxa"/>
            <w:tcBorders>
              <w:top w:val="single" w:sz="6" w:space="0" w:color="auto"/>
              <w:left w:val="single" w:sz="6" w:space="0" w:color="auto"/>
              <w:bottom w:val="single" w:sz="6" w:space="0" w:color="auto"/>
              <w:right w:val="single" w:sz="6" w:space="0" w:color="auto"/>
            </w:tcBorders>
          </w:tcPr>
          <w:p w14:paraId="18EF8A7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1495" w:type="dxa"/>
            <w:tcBorders>
              <w:top w:val="single" w:sz="6" w:space="0" w:color="auto"/>
              <w:left w:val="single" w:sz="6" w:space="0" w:color="auto"/>
              <w:bottom w:val="single" w:sz="6" w:space="0" w:color="auto"/>
              <w:right w:val="single" w:sz="6" w:space="0" w:color="auto"/>
            </w:tcBorders>
          </w:tcPr>
          <w:p w14:paraId="38A01F3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2 149</w:t>
            </w:r>
          </w:p>
        </w:tc>
      </w:tr>
      <w:tr w:rsidR="00117C0D" w:rsidRPr="003954D9" w14:paraId="5BEB9C97" w14:textId="77777777" w:rsidTr="00117C0D">
        <w:trPr>
          <w:trHeight w:val="227"/>
        </w:trPr>
        <w:tc>
          <w:tcPr>
            <w:tcW w:w="1023" w:type="dxa"/>
            <w:tcBorders>
              <w:top w:val="single" w:sz="6" w:space="0" w:color="auto"/>
              <w:left w:val="single" w:sz="6" w:space="0" w:color="auto"/>
              <w:bottom w:val="single" w:sz="6" w:space="0" w:color="auto"/>
              <w:right w:val="single" w:sz="6" w:space="0" w:color="auto"/>
            </w:tcBorders>
          </w:tcPr>
          <w:p w14:paraId="67F969F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3 rok</w:t>
            </w:r>
          </w:p>
        </w:tc>
        <w:tc>
          <w:tcPr>
            <w:tcW w:w="757" w:type="dxa"/>
            <w:tcBorders>
              <w:top w:val="single" w:sz="6" w:space="0" w:color="auto"/>
              <w:left w:val="single" w:sz="6" w:space="0" w:color="auto"/>
              <w:bottom w:val="single" w:sz="6" w:space="0" w:color="auto"/>
              <w:right w:val="single" w:sz="6" w:space="0" w:color="auto"/>
            </w:tcBorders>
          </w:tcPr>
          <w:p w14:paraId="6663246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7 121</w:t>
            </w:r>
          </w:p>
        </w:tc>
        <w:tc>
          <w:tcPr>
            <w:tcW w:w="621" w:type="dxa"/>
            <w:tcBorders>
              <w:top w:val="single" w:sz="6" w:space="0" w:color="auto"/>
              <w:left w:val="single" w:sz="6" w:space="0" w:color="auto"/>
              <w:bottom w:val="single" w:sz="6" w:space="0" w:color="auto"/>
              <w:right w:val="single" w:sz="6" w:space="0" w:color="auto"/>
            </w:tcBorders>
          </w:tcPr>
          <w:p w14:paraId="0479B24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30,9</w:t>
            </w:r>
          </w:p>
        </w:tc>
        <w:tc>
          <w:tcPr>
            <w:tcW w:w="796" w:type="dxa"/>
            <w:tcBorders>
              <w:top w:val="single" w:sz="6" w:space="0" w:color="auto"/>
              <w:left w:val="single" w:sz="6" w:space="0" w:color="auto"/>
              <w:bottom w:val="single" w:sz="6" w:space="0" w:color="auto"/>
              <w:right w:val="single" w:sz="6" w:space="0" w:color="auto"/>
            </w:tcBorders>
          </w:tcPr>
          <w:p w14:paraId="4BB8521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19 064</w:t>
            </w:r>
          </w:p>
        </w:tc>
        <w:tc>
          <w:tcPr>
            <w:tcW w:w="621" w:type="dxa"/>
            <w:tcBorders>
              <w:top w:val="single" w:sz="6" w:space="0" w:color="auto"/>
              <w:left w:val="single" w:sz="6" w:space="0" w:color="auto"/>
              <w:bottom w:val="single" w:sz="6" w:space="0" w:color="auto"/>
              <w:right w:val="single" w:sz="6" w:space="0" w:color="auto"/>
            </w:tcBorders>
          </w:tcPr>
          <w:p w14:paraId="7931F41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37,1</w:t>
            </w:r>
          </w:p>
        </w:tc>
        <w:tc>
          <w:tcPr>
            <w:tcW w:w="797" w:type="dxa"/>
            <w:gridSpan w:val="2"/>
            <w:tcBorders>
              <w:top w:val="single" w:sz="6" w:space="0" w:color="auto"/>
              <w:left w:val="single" w:sz="6" w:space="0" w:color="auto"/>
              <w:bottom w:val="single" w:sz="6" w:space="0" w:color="auto"/>
              <w:right w:val="single" w:sz="6" w:space="0" w:color="auto"/>
            </w:tcBorders>
          </w:tcPr>
          <w:p w14:paraId="0C6E68A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5 903</w:t>
            </w:r>
          </w:p>
        </w:tc>
        <w:tc>
          <w:tcPr>
            <w:tcW w:w="804" w:type="dxa"/>
            <w:tcBorders>
              <w:top w:val="single" w:sz="6" w:space="0" w:color="auto"/>
              <w:left w:val="single" w:sz="6" w:space="0" w:color="auto"/>
              <w:bottom w:val="single" w:sz="6" w:space="0" w:color="auto"/>
              <w:right w:val="single" w:sz="6" w:space="0" w:color="auto"/>
            </w:tcBorders>
          </w:tcPr>
          <w:p w14:paraId="02B2AFF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76</w:t>
            </w:r>
          </w:p>
        </w:tc>
        <w:tc>
          <w:tcPr>
            <w:tcW w:w="897" w:type="dxa"/>
            <w:tcBorders>
              <w:top w:val="single" w:sz="6" w:space="0" w:color="auto"/>
              <w:left w:val="single" w:sz="6" w:space="0" w:color="auto"/>
              <w:bottom w:val="single" w:sz="6" w:space="0" w:color="auto"/>
              <w:right w:val="single" w:sz="6" w:space="0" w:color="auto"/>
            </w:tcBorders>
          </w:tcPr>
          <w:p w14:paraId="1C150E3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28,4</w:t>
            </w:r>
          </w:p>
        </w:tc>
        <w:tc>
          <w:tcPr>
            <w:tcW w:w="691" w:type="dxa"/>
            <w:tcBorders>
              <w:top w:val="single" w:sz="6" w:space="0" w:color="auto"/>
              <w:left w:val="single" w:sz="6" w:space="0" w:color="auto"/>
              <w:bottom w:val="single" w:sz="6" w:space="0" w:color="auto"/>
              <w:right w:val="single" w:sz="6" w:space="0" w:color="auto"/>
            </w:tcBorders>
          </w:tcPr>
          <w:p w14:paraId="6ECE2C8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2,68</w:t>
            </w:r>
          </w:p>
        </w:tc>
        <w:tc>
          <w:tcPr>
            <w:tcW w:w="1495" w:type="dxa"/>
            <w:tcBorders>
              <w:top w:val="single" w:sz="6" w:space="0" w:color="auto"/>
              <w:left w:val="single" w:sz="6" w:space="0" w:color="auto"/>
              <w:bottom w:val="single" w:sz="6" w:space="0" w:color="auto"/>
              <w:right w:val="single" w:sz="6" w:space="0" w:color="auto"/>
            </w:tcBorders>
          </w:tcPr>
          <w:p w14:paraId="768EB61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1 359</w:t>
            </w:r>
          </w:p>
        </w:tc>
      </w:tr>
      <w:tr w:rsidR="00117C0D" w:rsidRPr="003954D9" w14:paraId="1E351C87" w14:textId="77777777" w:rsidTr="00117C0D">
        <w:trPr>
          <w:trHeight w:val="227"/>
        </w:trPr>
        <w:tc>
          <w:tcPr>
            <w:tcW w:w="1023" w:type="dxa"/>
            <w:tcBorders>
              <w:top w:val="single" w:sz="6" w:space="0" w:color="auto"/>
              <w:left w:val="single" w:sz="6" w:space="0" w:color="auto"/>
              <w:bottom w:val="single" w:sz="6" w:space="0" w:color="auto"/>
              <w:right w:val="single" w:sz="6" w:space="0" w:color="auto"/>
            </w:tcBorders>
          </w:tcPr>
          <w:p w14:paraId="78E334C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4 rok</w:t>
            </w:r>
          </w:p>
        </w:tc>
        <w:tc>
          <w:tcPr>
            <w:tcW w:w="757" w:type="dxa"/>
            <w:tcBorders>
              <w:top w:val="single" w:sz="6" w:space="0" w:color="auto"/>
              <w:left w:val="single" w:sz="6" w:space="0" w:color="auto"/>
              <w:bottom w:val="single" w:sz="6" w:space="0" w:color="auto"/>
              <w:right w:val="single" w:sz="6" w:space="0" w:color="auto"/>
            </w:tcBorders>
          </w:tcPr>
          <w:p w14:paraId="3F6CB40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3 034</w:t>
            </w:r>
          </w:p>
        </w:tc>
        <w:tc>
          <w:tcPr>
            <w:tcW w:w="621" w:type="dxa"/>
            <w:tcBorders>
              <w:top w:val="single" w:sz="6" w:space="0" w:color="auto"/>
              <w:left w:val="single" w:sz="6" w:space="0" w:color="auto"/>
              <w:bottom w:val="single" w:sz="6" w:space="0" w:color="auto"/>
              <w:right w:val="single" w:sz="6" w:space="0" w:color="auto"/>
            </w:tcBorders>
          </w:tcPr>
          <w:p w14:paraId="48431C3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13,2</w:t>
            </w:r>
          </w:p>
        </w:tc>
        <w:tc>
          <w:tcPr>
            <w:tcW w:w="796" w:type="dxa"/>
            <w:tcBorders>
              <w:top w:val="single" w:sz="6" w:space="0" w:color="auto"/>
              <w:left w:val="single" w:sz="6" w:space="0" w:color="auto"/>
              <w:bottom w:val="single" w:sz="6" w:space="0" w:color="auto"/>
              <w:right w:val="single" w:sz="6" w:space="0" w:color="auto"/>
            </w:tcBorders>
          </w:tcPr>
          <w:p w14:paraId="519EB2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10 642</w:t>
            </w:r>
          </w:p>
        </w:tc>
        <w:tc>
          <w:tcPr>
            <w:tcW w:w="621" w:type="dxa"/>
            <w:tcBorders>
              <w:top w:val="single" w:sz="6" w:space="0" w:color="auto"/>
              <w:left w:val="single" w:sz="6" w:space="0" w:color="auto"/>
              <w:bottom w:val="single" w:sz="6" w:space="0" w:color="auto"/>
              <w:right w:val="single" w:sz="6" w:space="0" w:color="auto"/>
            </w:tcBorders>
          </w:tcPr>
          <w:p w14:paraId="5043812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20,7</w:t>
            </w:r>
          </w:p>
        </w:tc>
        <w:tc>
          <w:tcPr>
            <w:tcW w:w="797" w:type="dxa"/>
            <w:gridSpan w:val="2"/>
            <w:tcBorders>
              <w:top w:val="single" w:sz="6" w:space="0" w:color="auto"/>
              <w:left w:val="single" w:sz="6" w:space="0" w:color="auto"/>
              <w:bottom w:val="single" w:sz="6" w:space="0" w:color="auto"/>
              <w:right w:val="single" w:sz="6" w:space="0" w:color="auto"/>
            </w:tcBorders>
          </w:tcPr>
          <w:p w14:paraId="48BF429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6 997</w:t>
            </w:r>
          </w:p>
        </w:tc>
        <w:tc>
          <w:tcPr>
            <w:tcW w:w="804" w:type="dxa"/>
            <w:tcBorders>
              <w:top w:val="single" w:sz="6" w:space="0" w:color="auto"/>
              <w:left w:val="single" w:sz="6" w:space="0" w:color="auto"/>
              <w:bottom w:val="single" w:sz="6" w:space="0" w:color="auto"/>
              <w:right w:val="single" w:sz="6" w:space="0" w:color="auto"/>
            </w:tcBorders>
          </w:tcPr>
          <w:p w14:paraId="6C6B3B6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91,9</w:t>
            </w:r>
          </w:p>
        </w:tc>
        <w:tc>
          <w:tcPr>
            <w:tcW w:w="897" w:type="dxa"/>
            <w:tcBorders>
              <w:top w:val="single" w:sz="6" w:space="0" w:color="auto"/>
              <w:left w:val="single" w:sz="6" w:space="0" w:color="auto"/>
              <w:bottom w:val="single" w:sz="6" w:space="0" w:color="auto"/>
              <w:right w:val="single" w:sz="6" w:space="0" w:color="auto"/>
            </w:tcBorders>
          </w:tcPr>
          <w:p w14:paraId="68D2CB5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26,2</w:t>
            </w:r>
          </w:p>
        </w:tc>
        <w:tc>
          <w:tcPr>
            <w:tcW w:w="691" w:type="dxa"/>
            <w:tcBorders>
              <w:top w:val="single" w:sz="6" w:space="0" w:color="auto"/>
              <w:left w:val="single" w:sz="6" w:space="0" w:color="auto"/>
              <w:bottom w:val="single" w:sz="6" w:space="0" w:color="auto"/>
              <w:right w:val="single" w:sz="6" w:space="0" w:color="auto"/>
            </w:tcBorders>
          </w:tcPr>
          <w:p w14:paraId="79D08CD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3,51</w:t>
            </w:r>
          </w:p>
        </w:tc>
        <w:tc>
          <w:tcPr>
            <w:tcW w:w="1495" w:type="dxa"/>
            <w:tcBorders>
              <w:top w:val="single" w:sz="6" w:space="0" w:color="auto"/>
              <w:left w:val="single" w:sz="6" w:space="0" w:color="auto"/>
              <w:bottom w:val="single" w:sz="6" w:space="0" w:color="auto"/>
              <w:right w:val="single" w:sz="6" w:space="0" w:color="auto"/>
            </w:tcBorders>
          </w:tcPr>
          <w:p w14:paraId="50B72C8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1 964</w:t>
            </w:r>
          </w:p>
        </w:tc>
      </w:tr>
      <w:tr w:rsidR="00117C0D" w:rsidRPr="003954D9" w14:paraId="66AAB400" w14:textId="77777777" w:rsidTr="00117C0D">
        <w:trPr>
          <w:trHeight w:val="227"/>
        </w:trPr>
        <w:tc>
          <w:tcPr>
            <w:tcW w:w="1023" w:type="dxa"/>
            <w:tcBorders>
              <w:top w:val="single" w:sz="6" w:space="0" w:color="auto"/>
              <w:left w:val="single" w:sz="6" w:space="0" w:color="auto"/>
              <w:bottom w:val="single" w:sz="6" w:space="0" w:color="auto"/>
              <w:right w:val="single" w:sz="6" w:space="0" w:color="auto"/>
            </w:tcBorders>
          </w:tcPr>
          <w:p w14:paraId="769431D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5 - rok</w:t>
            </w:r>
          </w:p>
        </w:tc>
        <w:tc>
          <w:tcPr>
            <w:tcW w:w="757" w:type="dxa"/>
            <w:tcBorders>
              <w:top w:val="single" w:sz="6" w:space="0" w:color="auto"/>
              <w:left w:val="single" w:sz="6" w:space="0" w:color="auto"/>
              <w:bottom w:val="single" w:sz="6" w:space="0" w:color="auto"/>
              <w:right w:val="single" w:sz="6" w:space="0" w:color="auto"/>
            </w:tcBorders>
          </w:tcPr>
          <w:p w14:paraId="2E4829C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606</w:t>
            </w:r>
          </w:p>
        </w:tc>
        <w:tc>
          <w:tcPr>
            <w:tcW w:w="621" w:type="dxa"/>
            <w:tcBorders>
              <w:top w:val="single" w:sz="6" w:space="0" w:color="auto"/>
              <w:left w:val="single" w:sz="6" w:space="0" w:color="auto"/>
              <w:bottom w:val="single" w:sz="6" w:space="0" w:color="auto"/>
              <w:right w:val="single" w:sz="6" w:space="0" w:color="auto"/>
            </w:tcBorders>
          </w:tcPr>
          <w:p w14:paraId="2177345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w:t>
            </w:r>
          </w:p>
        </w:tc>
        <w:tc>
          <w:tcPr>
            <w:tcW w:w="796" w:type="dxa"/>
            <w:tcBorders>
              <w:top w:val="single" w:sz="6" w:space="0" w:color="auto"/>
              <w:left w:val="single" w:sz="6" w:space="0" w:color="auto"/>
              <w:bottom w:val="single" w:sz="6" w:space="0" w:color="auto"/>
              <w:right w:val="single" w:sz="6" w:space="0" w:color="auto"/>
            </w:tcBorders>
          </w:tcPr>
          <w:p w14:paraId="7520F72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2 425</w:t>
            </w:r>
          </w:p>
        </w:tc>
        <w:tc>
          <w:tcPr>
            <w:tcW w:w="621" w:type="dxa"/>
            <w:tcBorders>
              <w:top w:val="single" w:sz="6" w:space="0" w:color="auto"/>
              <w:left w:val="single" w:sz="6" w:space="0" w:color="auto"/>
              <w:bottom w:val="single" w:sz="6" w:space="0" w:color="auto"/>
              <w:right w:val="single" w:sz="6" w:space="0" w:color="auto"/>
            </w:tcBorders>
          </w:tcPr>
          <w:p w14:paraId="0CB585E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4,7</w:t>
            </w:r>
          </w:p>
        </w:tc>
        <w:tc>
          <w:tcPr>
            <w:tcW w:w="797" w:type="dxa"/>
            <w:gridSpan w:val="2"/>
            <w:tcBorders>
              <w:top w:val="single" w:sz="6" w:space="0" w:color="auto"/>
              <w:left w:val="single" w:sz="6" w:space="0" w:color="auto"/>
              <w:bottom w:val="single" w:sz="6" w:space="0" w:color="auto"/>
              <w:right w:val="single" w:sz="6" w:space="0" w:color="auto"/>
            </w:tcBorders>
          </w:tcPr>
          <w:p w14:paraId="2ADFC65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9 042</w:t>
            </w:r>
          </w:p>
        </w:tc>
        <w:tc>
          <w:tcPr>
            <w:tcW w:w="804" w:type="dxa"/>
            <w:tcBorders>
              <w:top w:val="single" w:sz="6" w:space="0" w:color="auto"/>
              <w:left w:val="single" w:sz="6" w:space="0" w:color="auto"/>
              <w:bottom w:val="single" w:sz="6" w:space="0" w:color="auto"/>
              <w:right w:val="single" w:sz="6" w:space="0" w:color="auto"/>
            </w:tcBorders>
          </w:tcPr>
          <w:p w14:paraId="65C7D68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113,7</w:t>
            </w:r>
          </w:p>
        </w:tc>
        <w:tc>
          <w:tcPr>
            <w:tcW w:w="897" w:type="dxa"/>
            <w:tcBorders>
              <w:top w:val="single" w:sz="6" w:space="0" w:color="auto"/>
              <w:left w:val="single" w:sz="6" w:space="0" w:color="auto"/>
              <w:bottom w:val="single" w:sz="6" w:space="0" w:color="auto"/>
              <w:right w:val="single" w:sz="6" w:space="0" w:color="auto"/>
            </w:tcBorders>
          </w:tcPr>
          <w:p w14:paraId="3E7D253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28,4</w:t>
            </w:r>
          </w:p>
        </w:tc>
        <w:tc>
          <w:tcPr>
            <w:tcW w:w="691" w:type="dxa"/>
            <w:tcBorders>
              <w:top w:val="single" w:sz="6" w:space="0" w:color="auto"/>
              <w:left w:val="single" w:sz="6" w:space="0" w:color="auto"/>
              <w:bottom w:val="single" w:sz="6" w:space="0" w:color="auto"/>
              <w:right w:val="single" w:sz="6" w:space="0" w:color="auto"/>
            </w:tcBorders>
          </w:tcPr>
          <w:p w14:paraId="6208E58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4,00</w:t>
            </w:r>
          </w:p>
        </w:tc>
        <w:tc>
          <w:tcPr>
            <w:tcW w:w="1495" w:type="dxa"/>
            <w:tcBorders>
              <w:top w:val="single" w:sz="6" w:space="0" w:color="auto"/>
              <w:left w:val="single" w:sz="6" w:space="0" w:color="auto"/>
              <w:bottom w:val="single" w:sz="6" w:space="0" w:color="auto"/>
              <w:right w:val="single" w:sz="6" w:space="0" w:color="auto"/>
            </w:tcBorders>
          </w:tcPr>
          <w:p w14:paraId="0A5B2B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2 042</w:t>
            </w:r>
          </w:p>
        </w:tc>
      </w:tr>
      <w:tr w:rsidR="00117C0D" w:rsidRPr="003954D9" w14:paraId="740C2455" w14:textId="77777777" w:rsidTr="00117C0D">
        <w:trPr>
          <w:trHeight w:val="227"/>
        </w:trPr>
        <w:tc>
          <w:tcPr>
            <w:tcW w:w="1023" w:type="dxa"/>
            <w:tcBorders>
              <w:top w:val="single" w:sz="6" w:space="0" w:color="auto"/>
              <w:left w:val="single" w:sz="6" w:space="0" w:color="auto"/>
              <w:bottom w:val="single" w:sz="6" w:space="0" w:color="auto"/>
              <w:right w:val="single" w:sz="6" w:space="0" w:color="auto"/>
            </w:tcBorders>
          </w:tcPr>
          <w:p w14:paraId="3DC84DE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Samtliga</w:t>
            </w:r>
          </w:p>
        </w:tc>
        <w:tc>
          <w:tcPr>
            <w:tcW w:w="757" w:type="dxa"/>
            <w:tcBorders>
              <w:top w:val="single" w:sz="6" w:space="0" w:color="auto"/>
              <w:left w:val="single" w:sz="6" w:space="0" w:color="auto"/>
              <w:bottom w:val="single" w:sz="6" w:space="0" w:color="auto"/>
              <w:right w:val="single" w:sz="6" w:space="0" w:color="auto"/>
            </w:tcBorders>
          </w:tcPr>
          <w:p w14:paraId="4860571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23 052</w:t>
            </w:r>
          </w:p>
        </w:tc>
        <w:tc>
          <w:tcPr>
            <w:tcW w:w="621" w:type="dxa"/>
            <w:tcBorders>
              <w:top w:val="single" w:sz="6" w:space="0" w:color="auto"/>
              <w:left w:val="single" w:sz="6" w:space="0" w:color="auto"/>
              <w:bottom w:val="single" w:sz="6" w:space="0" w:color="auto"/>
              <w:right w:val="single" w:sz="6" w:space="0" w:color="auto"/>
            </w:tcBorders>
          </w:tcPr>
          <w:p w14:paraId="32FA5A4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w:t>
            </w:r>
          </w:p>
        </w:tc>
        <w:tc>
          <w:tcPr>
            <w:tcW w:w="796" w:type="dxa"/>
            <w:tcBorders>
              <w:top w:val="single" w:sz="6" w:space="0" w:color="auto"/>
              <w:left w:val="single" w:sz="6" w:space="0" w:color="auto"/>
              <w:bottom w:val="single" w:sz="6" w:space="0" w:color="auto"/>
              <w:right w:val="single" w:sz="6" w:space="0" w:color="auto"/>
            </w:tcBorders>
          </w:tcPr>
          <w:p w14:paraId="4966743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51 450</w:t>
            </w:r>
          </w:p>
        </w:tc>
        <w:tc>
          <w:tcPr>
            <w:tcW w:w="621" w:type="dxa"/>
            <w:tcBorders>
              <w:top w:val="single" w:sz="6" w:space="0" w:color="auto"/>
              <w:left w:val="single" w:sz="6" w:space="0" w:color="auto"/>
              <w:bottom w:val="single" w:sz="6" w:space="0" w:color="auto"/>
              <w:right w:val="single" w:sz="6" w:space="0" w:color="auto"/>
            </w:tcBorders>
          </w:tcPr>
          <w:p w14:paraId="7A84553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w:t>
            </w:r>
          </w:p>
        </w:tc>
        <w:tc>
          <w:tcPr>
            <w:tcW w:w="797" w:type="dxa"/>
            <w:gridSpan w:val="2"/>
            <w:tcBorders>
              <w:top w:val="single" w:sz="6" w:space="0" w:color="auto"/>
              <w:left w:val="single" w:sz="6" w:space="0" w:color="auto"/>
              <w:bottom w:val="single" w:sz="6" w:space="0" w:color="auto"/>
              <w:right w:val="single" w:sz="6" w:space="0" w:color="auto"/>
            </w:tcBorders>
          </w:tcPr>
          <w:p w14:paraId="41C5070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5 316</w:t>
            </w:r>
          </w:p>
        </w:tc>
        <w:tc>
          <w:tcPr>
            <w:tcW w:w="804" w:type="dxa"/>
            <w:tcBorders>
              <w:top w:val="single" w:sz="6" w:space="0" w:color="auto"/>
              <w:left w:val="single" w:sz="6" w:space="0" w:color="auto"/>
              <w:bottom w:val="single" w:sz="6" w:space="0" w:color="auto"/>
              <w:right w:val="single" w:sz="6" w:space="0" w:color="auto"/>
            </w:tcBorders>
          </w:tcPr>
          <w:p w14:paraId="3EAB634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65,1</w:t>
            </w:r>
          </w:p>
        </w:tc>
        <w:tc>
          <w:tcPr>
            <w:tcW w:w="897" w:type="dxa"/>
            <w:tcBorders>
              <w:top w:val="single" w:sz="6" w:space="0" w:color="auto"/>
              <w:left w:val="single" w:sz="6" w:space="0" w:color="auto"/>
              <w:bottom w:val="single" w:sz="6" w:space="0" w:color="auto"/>
              <w:right w:val="single" w:sz="6" w:space="0" w:color="auto"/>
            </w:tcBorders>
          </w:tcPr>
          <w:p w14:paraId="500D269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29,2</w:t>
            </w:r>
          </w:p>
        </w:tc>
        <w:tc>
          <w:tcPr>
            <w:tcW w:w="691" w:type="dxa"/>
            <w:tcBorders>
              <w:top w:val="single" w:sz="6" w:space="0" w:color="auto"/>
              <w:left w:val="single" w:sz="6" w:space="0" w:color="auto"/>
              <w:bottom w:val="single" w:sz="6" w:space="0" w:color="auto"/>
              <w:right w:val="single" w:sz="6" w:space="0" w:color="auto"/>
            </w:tcBorders>
          </w:tcPr>
          <w:p w14:paraId="238E296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2,23</w:t>
            </w:r>
          </w:p>
        </w:tc>
        <w:tc>
          <w:tcPr>
            <w:tcW w:w="1495" w:type="dxa"/>
            <w:tcBorders>
              <w:top w:val="single" w:sz="6" w:space="0" w:color="auto"/>
              <w:left w:val="single" w:sz="6" w:space="0" w:color="auto"/>
              <w:bottom w:val="single" w:sz="6" w:space="0" w:color="auto"/>
              <w:right w:val="single" w:sz="6" w:space="0" w:color="auto"/>
            </w:tcBorders>
          </w:tcPr>
          <w:p w14:paraId="1FD61C6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1 856</w:t>
            </w:r>
          </w:p>
        </w:tc>
      </w:tr>
    </w:tbl>
    <w:p w14:paraId="10DAC253" w14:textId="77777777" w:rsidR="00117C0D" w:rsidRPr="003954D9" w:rsidRDefault="00117C0D" w:rsidP="00117C0D">
      <w:pPr>
        <w:rPr>
          <w:sz w:val="16"/>
          <w:szCs w:val="16"/>
        </w:rPr>
      </w:pPr>
      <w:r w:rsidRPr="003954D9">
        <w:rPr>
          <w:sz w:val="16"/>
          <w:szCs w:val="16"/>
        </w:rPr>
        <w:t>1 rokv inkluderar även 1 rum och kokskåp</w:t>
      </w:r>
    </w:p>
    <w:p w14:paraId="335D9DEE" w14:textId="77777777" w:rsidR="00117C0D" w:rsidRPr="003954D9" w:rsidRDefault="00117C0D" w:rsidP="00117C0D">
      <w:pPr>
        <w:rPr>
          <w:sz w:val="16"/>
          <w:szCs w:val="16"/>
        </w:rPr>
      </w:pPr>
      <w:r w:rsidRPr="003954D9">
        <w:rPr>
          <w:sz w:val="16"/>
          <w:szCs w:val="16"/>
        </w:rPr>
        <w:t>2 rokv inkluderar även 2 rum och kokskåp</w:t>
      </w:r>
    </w:p>
    <w:p w14:paraId="29807AA5" w14:textId="77777777" w:rsidR="00117C0D" w:rsidRPr="003954D9" w:rsidRDefault="00117C0D" w:rsidP="00117C0D">
      <w:pPr>
        <w:rPr>
          <w:rFonts w:ascii="Calibri" w:eastAsiaTheme="minorHAnsi" w:hAnsi="Calibri" w:cs="Calibri"/>
          <w:color w:val="000000"/>
          <w:sz w:val="16"/>
          <w:szCs w:val="16"/>
          <w:lang w:eastAsia="en-US"/>
        </w:rPr>
      </w:pPr>
    </w:p>
    <w:p w14:paraId="40EDD4D9"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6:2: Andel och antal lägenheter efter lägenhetstyp och stadsdel</w:t>
      </w:r>
    </w:p>
    <w:tbl>
      <w:tblPr>
        <w:tblW w:w="890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708"/>
        <w:gridCol w:w="850"/>
        <w:gridCol w:w="806"/>
        <w:gridCol w:w="660"/>
        <w:gridCol w:w="821"/>
        <w:gridCol w:w="790"/>
        <w:gridCol w:w="789"/>
        <w:gridCol w:w="773"/>
        <w:gridCol w:w="838"/>
        <w:gridCol w:w="854"/>
      </w:tblGrid>
      <w:tr w:rsidR="00117C0D" w:rsidRPr="003954D9" w14:paraId="65440A85" w14:textId="77777777" w:rsidTr="00117C0D">
        <w:trPr>
          <w:trHeight w:val="227"/>
        </w:trPr>
        <w:tc>
          <w:tcPr>
            <w:tcW w:w="1018" w:type="dxa"/>
          </w:tcPr>
          <w:p w14:paraId="7F0B588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w:t>
            </w:r>
            <w:proofErr w:type="spellStart"/>
            <w:r w:rsidRPr="003954D9">
              <w:rPr>
                <w:rFonts w:ascii="Calibri" w:hAnsi="Calibri" w:cs="Calibri"/>
                <w:b/>
                <w:bCs/>
                <w:color w:val="000000"/>
                <w:sz w:val="16"/>
                <w:szCs w:val="16"/>
              </w:rPr>
              <w:t>hetstyp</w:t>
            </w:r>
            <w:proofErr w:type="spellEnd"/>
          </w:p>
        </w:tc>
        <w:tc>
          <w:tcPr>
            <w:tcW w:w="708" w:type="dxa"/>
          </w:tcPr>
          <w:p w14:paraId="7151239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850" w:type="dxa"/>
          </w:tcPr>
          <w:p w14:paraId="50D02AC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 Frölunda- Högsbo</w:t>
            </w:r>
          </w:p>
        </w:tc>
        <w:tc>
          <w:tcPr>
            <w:tcW w:w="806" w:type="dxa"/>
          </w:tcPr>
          <w:p w14:paraId="5D051D8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660" w:type="dxa"/>
          </w:tcPr>
          <w:p w14:paraId="284AC81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21" w:type="dxa"/>
          </w:tcPr>
          <w:p w14:paraId="57EA0FF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 Linné</w:t>
            </w:r>
          </w:p>
        </w:tc>
        <w:tc>
          <w:tcPr>
            <w:tcW w:w="790" w:type="dxa"/>
          </w:tcPr>
          <w:p w14:paraId="49733DC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789" w:type="dxa"/>
          </w:tcPr>
          <w:p w14:paraId="6515432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773" w:type="dxa"/>
          </w:tcPr>
          <w:p w14:paraId="7BBEC6F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 Härlanda</w:t>
            </w:r>
          </w:p>
        </w:tc>
        <w:tc>
          <w:tcPr>
            <w:tcW w:w="838" w:type="dxa"/>
          </w:tcPr>
          <w:p w14:paraId="60E33B8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854" w:type="dxa"/>
          </w:tcPr>
          <w:p w14:paraId="0870AA5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117C0D" w:rsidRPr="003954D9" w14:paraId="052450A4" w14:textId="77777777" w:rsidTr="00117C0D">
        <w:trPr>
          <w:trHeight w:val="227"/>
        </w:trPr>
        <w:tc>
          <w:tcPr>
            <w:tcW w:w="1018" w:type="dxa"/>
          </w:tcPr>
          <w:p w14:paraId="7E54899F"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 xml:space="preserve">1 rokv </w:t>
            </w:r>
          </w:p>
        </w:tc>
        <w:tc>
          <w:tcPr>
            <w:tcW w:w="708" w:type="dxa"/>
          </w:tcPr>
          <w:p w14:paraId="0C309BE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c>
          <w:tcPr>
            <w:tcW w:w="850" w:type="dxa"/>
          </w:tcPr>
          <w:p w14:paraId="3FD9288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12,0</w:t>
            </w:r>
          </w:p>
        </w:tc>
        <w:tc>
          <w:tcPr>
            <w:tcW w:w="806" w:type="dxa"/>
          </w:tcPr>
          <w:p w14:paraId="08F3E34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18,4</w:t>
            </w:r>
          </w:p>
        </w:tc>
        <w:tc>
          <w:tcPr>
            <w:tcW w:w="660" w:type="dxa"/>
          </w:tcPr>
          <w:p w14:paraId="0F633C1E"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42,4</w:t>
            </w:r>
          </w:p>
        </w:tc>
        <w:tc>
          <w:tcPr>
            <w:tcW w:w="821" w:type="dxa"/>
          </w:tcPr>
          <w:p w14:paraId="6D06012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c>
          <w:tcPr>
            <w:tcW w:w="790" w:type="dxa"/>
          </w:tcPr>
          <w:p w14:paraId="1A66D5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9,9</w:t>
            </w:r>
          </w:p>
        </w:tc>
        <w:tc>
          <w:tcPr>
            <w:tcW w:w="789" w:type="dxa"/>
          </w:tcPr>
          <w:p w14:paraId="76237446"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6,8</w:t>
            </w:r>
          </w:p>
        </w:tc>
        <w:tc>
          <w:tcPr>
            <w:tcW w:w="773" w:type="dxa"/>
          </w:tcPr>
          <w:p w14:paraId="4930AAD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9,3</w:t>
            </w:r>
          </w:p>
        </w:tc>
        <w:tc>
          <w:tcPr>
            <w:tcW w:w="838" w:type="dxa"/>
          </w:tcPr>
          <w:p w14:paraId="6B1725C4"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2060"/>
                <w:sz w:val="16"/>
                <w:szCs w:val="16"/>
              </w:rPr>
              <w:t>6,9</w:t>
            </w:r>
          </w:p>
        </w:tc>
        <w:tc>
          <w:tcPr>
            <w:tcW w:w="854" w:type="dxa"/>
          </w:tcPr>
          <w:p w14:paraId="7210AF5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11,0</w:t>
            </w:r>
          </w:p>
        </w:tc>
      </w:tr>
      <w:tr w:rsidR="00117C0D" w:rsidRPr="003954D9" w14:paraId="5C3183FF" w14:textId="77777777" w:rsidTr="00117C0D">
        <w:trPr>
          <w:trHeight w:val="227"/>
        </w:trPr>
        <w:tc>
          <w:tcPr>
            <w:tcW w:w="1018" w:type="dxa"/>
          </w:tcPr>
          <w:p w14:paraId="5D364C90"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1 rok</w:t>
            </w:r>
          </w:p>
        </w:tc>
        <w:tc>
          <w:tcPr>
            <w:tcW w:w="708" w:type="dxa"/>
          </w:tcPr>
          <w:p w14:paraId="072417D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w:t>
            </w:r>
          </w:p>
        </w:tc>
        <w:tc>
          <w:tcPr>
            <w:tcW w:w="850" w:type="dxa"/>
          </w:tcPr>
          <w:p w14:paraId="0EB4542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w:t>
            </w:r>
          </w:p>
        </w:tc>
        <w:tc>
          <w:tcPr>
            <w:tcW w:w="806" w:type="dxa"/>
          </w:tcPr>
          <w:p w14:paraId="370E027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w:t>
            </w:r>
          </w:p>
        </w:tc>
        <w:tc>
          <w:tcPr>
            <w:tcW w:w="660" w:type="dxa"/>
          </w:tcPr>
          <w:p w14:paraId="2F823B78"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1,2</w:t>
            </w:r>
          </w:p>
        </w:tc>
        <w:tc>
          <w:tcPr>
            <w:tcW w:w="821" w:type="dxa"/>
          </w:tcPr>
          <w:p w14:paraId="32303E1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12,4</w:t>
            </w:r>
          </w:p>
        </w:tc>
        <w:tc>
          <w:tcPr>
            <w:tcW w:w="790" w:type="dxa"/>
          </w:tcPr>
          <w:p w14:paraId="7FC9D2F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6,1</w:t>
            </w:r>
          </w:p>
        </w:tc>
        <w:tc>
          <w:tcPr>
            <w:tcW w:w="789" w:type="dxa"/>
          </w:tcPr>
          <w:p w14:paraId="7CB0125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w:t>
            </w:r>
          </w:p>
        </w:tc>
        <w:tc>
          <w:tcPr>
            <w:tcW w:w="773" w:type="dxa"/>
          </w:tcPr>
          <w:p w14:paraId="09BBA889"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17,0</w:t>
            </w:r>
          </w:p>
        </w:tc>
        <w:tc>
          <w:tcPr>
            <w:tcW w:w="838" w:type="dxa"/>
          </w:tcPr>
          <w:p w14:paraId="7F3D540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w:t>
            </w:r>
          </w:p>
        </w:tc>
        <w:tc>
          <w:tcPr>
            <w:tcW w:w="854" w:type="dxa"/>
          </w:tcPr>
          <w:p w14:paraId="6ECD7C9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w:t>
            </w:r>
          </w:p>
        </w:tc>
      </w:tr>
      <w:tr w:rsidR="00117C0D" w:rsidRPr="003954D9" w14:paraId="3B22B78C" w14:textId="77777777" w:rsidTr="00117C0D">
        <w:trPr>
          <w:trHeight w:val="227"/>
        </w:trPr>
        <w:tc>
          <w:tcPr>
            <w:tcW w:w="1018" w:type="dxa"/>
          </w:tcPr>
          <w:p w14:paraId="72A1B11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rokv</w:t>
            </w:r>
          </w:p>
        </w:tc>
        <w:tc>
          <w:tcPr>
            <w:tcW w:w="708" w:type="dxa"/>
          </w:tcPr>
          <w:p w14:paraId="4012B47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w:t>
            </w:r>
          </w:p>
        </w:tc>
        <w:tc>
          <w:tcPr>
            <w:tcW w:w="850" w:type="dxa"/>
          </w:tcPr>
          <w:p w14:paraId="28A10FD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0,7</w:t>
            </w:r>
          </w:p>
        </w:tc>
        <w:tc>
          <w:tcPr>
            <w:tcW w:w="806" w:type="dxa"/>
          </w:tcPr>
          <w:p w14:paraId="45E8AAA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7,0</w:t>
            </w:r>
          </w:p>
        </w:tc>
        <w:tc>
          <w:tcPr>
            <w:tcW w:w="660" w:type="dxa"/>
          </w:tcPr>
          <w:p w14:paraId="09E8A25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7,6</w:t>
            </w:r>
          </w:p>
        </w:tc>
        <w:tc>
          <w:tcPr>
            <w:tcW w:w="821" w:type="dxa"/>
          </w:tcPr>
          <w:p w14:paraId="3CA7AD61"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8,7</w:t>
            </w:r>
          </w:p>
        </w:tc>
        <w:tc>
          <w:tcPr>
            <w:tcW w:w="790" w:type="dxa"/>
          </w:tcPr>
          <w:p w14:paraId="07B345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7,5</w:t>
            </w:r>
          </w:p>
        </w:tc>
        <w:tc>
          <w:tcPr>
            <w:tcW w:w="789" w:type="dxa"/>
          </w:tcPr>
          <w:p w14:paraId="03848C63"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0,0</w:t>
            </w:r>
          </w:p>
        </w:tc>
        <w:tc>
          <w:tcPr>
            <w:tcW w:w="773" w:type="dxa"/>
          </w:tcPr>
          <w:p w14:paraId="0F0A6E9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w:t>
            </w:r>
          </w:p>
        </w:tc>
        <w:tc>
          <w:tcPr>
            <w:tcW w:w="838" w:type="dxa"/>
          </w:tcPr>
          <w:p w14:paraId="1E4121F2"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854" w:type="dxa"/>
          </w:tcPr>
          <w:p w14:paraId="43C0164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w:t>
            </w:r>
          </w:p>
        </w:tc>
      </w:tr>
      <w:tr w:rsidR="00117C0D" w:rsidRPr="003954D9" w14:paraId="4A942D0F" w14:textId="77777777" w:rsidTr="00117C0D">
        <w:trPr>
          <w:trHeight w:val="227"/>
        </w:trPr>
        <w:tc>
          <w:tcPr>
            <w:tcW w:w="1018" w:type="dxa"/>
          </w:tcPr>
          <w:p w14:paraId="3DE839F8"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2 rok</w:t>
            </w:r>
          </w:p>
        </w:tc>
        <w:tc>
          <w:tcPr>
            <w:tcW w:w="708" w:type="dxa"/>
          </w:tcPr>
          <w:p w14:paraId="1104BD3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28,3</w:t>
            </w:r>
          </w:p>
        </w:tc>
        <w:tc>
          <w:tcPr>
            <w:tcW w:w="850" w:type="dxa"/>
          </w:tcPr>
          <w:p w14:paraId="7DDB531F"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24,5</w:t>
            </w:r>
          </w:p>
        </w:tc>
        <w:tc>
          <w:tcPr>
            <w:tcW w:w="806" w:type="dxa"/>
          </w:tcPr>
          <w:p w14:paraId="6210C74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38,3</w:t>
            </w:r>
          </w:p>
        </w:tc>
        <w:tc>
          <w:tcPr>
            <w:tcW w:w="660" w:type="dxa"/>
          </w:tcPr>
          <w:p w14:paraId="38BA6BFA"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24,3</w:t>
            </w:r>
          </w:p>
        </w:tc>
        <w:tc>
          <w:tcPr>
            <w:tcW w:w="821" w:type="dxa"/>
          </w:tcPr>
          <w:p w14:paraId="62CD269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38,7</w:t>
            </w:r>
          </w:p>
        </w:tc>
        <w:tc>
          <w:tcPr>
            <w:tcW w:w="790" w:type="dxa"/>
          </w:tcPr>
          <w:p w14:paraId="734E67B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34,6</w:t>
            </w:r>
          </w:p>
        </w:tc>
        <w:tc>
          <w:tcPr>
            <w:tcW w:w="789" w:type="dxa"/>
          </w:tcPr>
          <w:p w14:paraId="21EDB0C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37,1</w:t>
            </w:r>
          </w:p>
        </w:tc>
        <w:tc>
          <w:tcPr>
            <w:tcW w:w="773" w:type="dxa"/>
          </w:tcPr>
          <w:p w14:paraId="36A4495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26,9</w:t>
            </w:r>
          </w:p>
        </w:tc>
        <w:tc>
          <w:tcPr>
            <w:tcW w:w="838" w:type="dxa"/>
          </w:tcPr>
          <w:p w14:paraId="579F6B05"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40,7</w:t>
            </w:r>
          </w:p>
        </w:tc>
        <w:tc>
          <w:tcPr>
            <w:tcW w:w="854" w:type="dxa"/>
          </w:tcPr>
          <w:p w14:paraId="19D990C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33,4</w:t>
            </w:r>
          </w:p>
        </w:tc>
      </w:tr>
      <w:tr w:rsidR="00117C0D" w:rsidRPr="003954D9" w14:paraId="51E0C296" w14:textId="77777777" w:rsidTr="00117C0D">
        <w:trPr>
          <w:trHeight w:val="227"/>
        </w:trPr>
        <w:tc>
          <w:tcPr>
            <w:tcW w:w="1018" w:type="dxa"/>
          </w:tcPr>
          <w:p w14:paraId="31918193"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3 rok</w:t>
            </w:r>
          </w:p>
        </w:tc>
        <w:tc>
          <w:tcPr>
            <w:tcW w:w="708" w:type="dxa"/>
          </w:tcPr>
          <w:p w14:paraId="3624B82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40,3</w:t>
            </w:r>
          </w:p>
        </w:tc>
        <w:tc>
          <w:tcPr>
            <w:tcW w:w="850" w:type="dxa"/>
          </w:tcPr>
          <w:p w14:paraId="39BA4CAC"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41,8</w:t>
            </w:r>
          </w:p>
        </w:tc>
        <w:tc>
          <w:tcPr>
            <w:tcW w:w="806" w:type="dxa"/>
          </w:tcPr>
          <w:p w14:paraId="3B1C306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23,3</w:t>
            </w:r>
          </w:p>
        </w:tc>
        <w:tc>
          <w:tcPr>
            <w:tcW w:w="660" w:type="dxa"/>
          </w:tcPr>
          <w:p w14:paraId="437A0263"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7,9</w:t>
            </w:r>
          </w:p>
        </w:tc>
        <w:tc>
          <w:tcPr>
            <w:tcW w:w="821" w:type="dxa"/>
          </w:tcPr>
          <w:p w14:paraId="3ABA6C6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20,5</w:t>
            </w:r>
          </w:p>
        </w:tc>
        <w:tc>
          <w:tcPr>
            <w:tcW w:w="790" w:type="dxa"/>
          </w:tcPr>
          <w:p w14:paraId="1CDE70F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23,0</w:t>
            </w:r>
          </w:p>
        </w:tc>
        <w:tc>
          <w:tcPr>
            <w:tcW w:w="789" w:type="dxa"/>
          </w:tcPr>
          <w:p w14:paraId="1CA12FC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34,5</w:t>
            </w:r>
          </w:p>
        </w:tc>
        <w:tc>
          <w:tcPr>
            <w:tcW w:w="773" w:type="dxa"/>
          </w:tcPr>
          <w:p w14:paraId="6EB333B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25,9</w:t>
            </w:r>
          </w:p>
        </w:tc>
        <w:tc>
          <w:tcPr>
            <w:tcW w:w="838" w:type="dxa"/>
          </w:tcPr>
          <w:p w14:paraId="6BD403C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32,8</w:t>
            </w:r>
          </w:p>
        </w:tc>
        <w:tc>
          <w:tcPr>
            <w:tcW w:w="854" w:type="dxa"/>
          </w:tcPr>
          <w:p w14:paraId="3FA2569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33,4</w:t>
            </w:r>
          </w:p>
        </w:tc>
      </w:tr>
      <w:tr w:rsidR="00117C0D" w:rsidRPr="003954D9" w14:paraId="0E62C5D6" w14:textId="77777777" w:rsidTr="00117C0D">
        <w:trPr>
          <w:trHeight w:val="227"/>
        </w:trPr>
        <w:tc>
          <w:tcPr>
            <w:tcW w:w="1018" w:type="dxa"/>
          </w:tcPr>
          <w:p w14:paraId="3695C544"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4 rok</w:t>
            </w:r>
          </w:p>
        </w:tc>
        <w:tc>
          <w:tcPr>
            <w:tcW w:w="708" w:type="dxa"/>
          </w:tcPr>
          <w:p w14:paraId="2ABD943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13,9</w:t>
            </w:r>
          </w:p>
        </w:tc>
        <w:tc>
          <w:tcPr>
            <w:tcW w:w="850" w:type="dxa"/>
          </w:tcPr>
          <w:p w14:paraId="45EB41D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16,6</w:t>
            </w:r>
          </w:p>
        </w:tc>
        <w:tc>
          <w:tcPr>
            <w:tcW w:w="806" w:type="dxa"/>
          </w:tcPr>
          <w:p w14:paraId="6D49C2B9"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5,1</w:t>
            </w:r>
          </w:p>
        </w:tc>
        <w:tc>
          <w:tcPr>
            <w:tcW w:w="660" w:type="dxa"/>
          </w:tcPr>
          <w:p w14:paraId="41C0297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14,1</w:t>
            </w:r>
          </w:p>
        </w:tc>
        <w:tc>
          <w:tcPr>
            <w:tcW w:w="821" w:type="dxa"/>
          </w:tcPr>
          <w:p w14:paraId="0402C62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8,4</w:t>
            </w:r>
          </w:p>
        </w:tc>
        <w:tc>
          <w:tcPr>
            <w:tcW w:w="790" w:type="dxa"/>
          </w:tcPr>
          <w:p w14:paraId="79792B98"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19,0</w:t>
            </w:r>
          </w:p>
        </w:tc>
        <w:tc>
          <w:tcPr>
            <w:tcW w:w="789" w:type="dxa"/>
          </w:tcPr>
          <w:p w14:paraId="388A6D7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17,1</w:t>
            </w:r>
          </w:p>
        </w:tc>
        <w:tc>
          <w:tcPr>
            <w:tcW w:w="773" w:type="dxa"/>
          </w:tcPr>
          <w:p w14:paraId="319642D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15,1</w:t>
            </w:r>
          </w:p>
        </w:tc>
        <w:tc>
          <w:tcPr>
            <w:tcW w:w="838" w:type="dxa"/>
          </w:tcPr>
          <w:p w14:paraId="6C8E754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16,4</w:t>
            </w:r>
          </w:p>
        </w:tc>
        <w:tc>
          <w:tcPr>
            <w:tcW w:w="854" w:type="dxa"/>
          </w:tcPr>
          <w:p w14:paraId="303578A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10,7</w:t>
            </w:r>
          </w:p>
        </w:tc>
      </w:tr>
      <w:tr w:rsidR="00117C0D" w:rsidRPr="003954D9" w14:paraId="31676777" w14:textId="77777777" w:rsidTr="00117C0D">
        <w:trPr>
          <w:trHeight w:val="227"/>
        </w:trPr>
        <w:tc>
          <w:tcPr>
            <w:tcW w:w="1018" w:type="dxa"/>
          </w:tcPr>
          <w:p w14:paraId="7E4C5F6E"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5 - rok</w:t>
            </w:r>
          </w:p>
        </w:tc>
        <w:tc>
          <w:tcPr>
            <w:tcW w:w="708" w:type="dxa"/>
          </w:tcPr>
          <w:p w14:paraId="52F6041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w:t>
            </w:r>
          </w:p>
        </w:tc>
        <w:tc>
          <w:tcPr>
            <w:tcW w:w="850" w:type="dxa"/>
          </w:tcPr>
          <w:p w14:paraId="4308777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w:t>
            </w:r>
          </w:p>
        </w:tc>
        <w:tc>
          <w:tcPr>
            <w:tcW w:w="806" w:type="dxa"/>
          </w:tcPr>
          <w:p w14:paraId="36DC1381"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4,5</w:t>
            </w:r>
          </w:p>
        </w:tc>
        <w:tc>
          <w:tcPr>
            <w:tcW w:w="660" w:type="dxa"/>
          </w:tcPr>
          <w:p w14:paraId="33E51EB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w:t>
            </w:r>
          </w:p>
        </w:tc>
        <w:tc>
          <w:tcPr>
            <w:tcW w:w="821" w:type="dxa"/>
          </w:tcPr>
          <w:p w14:paraId="77D75C8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4,2</w:t>
            </w:r>
          </w:p>
        </w:tc>
        <w:tc>
          <w:tcPr>
            <w:tcW w:w="790" w:type="dxa"/>
          </w:tcPr>
          <w:p w14:paraId="1C061E16" w14:textId="77777777" w:rsidR="00117C0D" w:rsidRPr="003954D9" w:rsidRDefault="00117C0D" w:rsidP="00117C0D">
            <w:pPr>
              <w:autoSpaceDE w:val="0"/>
              <w:autoSpaceDN w:val="0"/>
              <w:adjustRightInd w:val="0"/>
              <w:jc w:val="right"/>
              <w:rPr>
                <w:rFonts w:ascii="Calibri" w:hAnsi="Calibri" w:cs="Calibri"/>
                <w:b/>
                <w:color w:val="002060"/>
                <w:sz w:val="16"/>
                <w:szCs w:val="16"/>
              </w:rPr>
            </w:pPr>
            <w:r w:rsidRPr="003954D9">
              <w:rPr>
                <w:rFonts w:ascii="Calibri" w:hAnsi="Calibri" w:cs="Calibri"/>
                <w:b/>
                <w:color w:val="0070C0"/>
                <w:sz w:val="16"/>
                <w:szCs w:val="16"/>
              </w:rPr>
              <w:t>0,0</w:t>
            </w:r>
          </w:p>
        </w:tc>
        <w:tc>
          <w:tcPr>
            <w:tcW w:w="789" w:type="dxa"/>
          </w:tcPr>
          <w:p w14:paraId="31BCE08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w:t>
            </w:r>
          </w:p>
        </w:tc>
        <w:tc>
          <w:tcPr>
            <w:tcW w:w="773" w:type="dxa"/>
          </w:tcPr>
          <w:p w14:paraId="35FE46CD"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4,4</w:t>
            </w:r>
          </w:p>
        </w:tc>
        <w:tc>
          <w:tcPr>
            <w:tcW w:w="838" w:type="dxa"/>
          </w:tcPr>
          <w:p w14:paraId="76EF034E"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0,0</w:t>
            </w:r>
          </w:p>
        </w:tc>
        <w:tc>
          <w:tcPr>
            <w:tcW w:w="854" w:type="dxa"/>
          </w:tcPr>
          <w:p w14:paraId="4A5EC99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0,3</w:t>
            </w:r>
          </w:p>
        </w:tc>
      </w:tr>
      <w:tr w:rsidR="00117C0D" w:rsidRPr="003954D9" w14:paraId="2A194BCD" w14:textId="77777777" w:rsidTr="00117C0D">
        <w:trPr>
          <w:trHeight w:val="227"/>
        </w:trPr>
        <w:tc>
          <w:tcPr>
            <w:tcW w:w="1018" w:type="dxa"/>
          </w:tcPr>
          <w:p w14:paraId="66F90503"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Samtliga</w:t>
            </w:r>
          </w:p>
        </w:tc>
        <w:tc>
          <w:tcPr>
            <w:tcW w:w="708" w:type="dxa"/>
          </w:tcPr>
          <w:p w14:paraId="7A423A8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850" w:type="dxa"/>
          </w:tcPr>
          <w:p w14:paraId="59CD13B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806" w:type="dxa"/>
          </w:tcPr>
          <w:p w14:paraId="2B7AC4F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660" w:type="dxa"/>
          </w:tcPr>
          <w:p w14:paraId="1FE36EB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821" w:type="dxa"/>
          </w:tcPr>
          <w:p w14:paraId="731ADEF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790" w:type="dxa"/>
          </w:tcPr>
          <w:p w14:paraId="68E8489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789" w:type="dxa"/>
          </w:tcPr>
          <w:p w14:paraId="32360F7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773" w:type="dxa"/>
          </w:tcPr>
          <w:p w14:paraId="5EFD1C8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838" w:type="dxa"/>
          </w:tcPr>
          <w:p w14:paraId="2F3D4DE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c>
          <w:tcPr>
            <w:tcW w:w="854" w:type="dxa"/>
          </w:tcPr>
          <w:p w14:paraId="5DE15F7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100,0</w:t>
            </w:r>
          </w:p>
        </w:tc>
      </w:tr>
      <w:tr w:rsidR="00117C0D" w:rsidRPr="003954D9" w14:paraId="3F90EF33" w14:textId="77777777" w:rsidTr="00117C0D">
        <w:trPr>
          <w:trHeight w:val="227"/>
        </w:trPr>
        <w:tc>
          <w:tcPr>
            <w:tcW w:w="1018" w:type="dxa"/>
          </w:tcPr>
          <w:p w14:paraId="277DC7F3"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Antal</w:t>
            </w:r>
          </w:p>
        </w:tc>
        <w:tc>
          <w:tcPr>
            <w:tcW w:w="708" w:type="dxa"/>
          </w:tcPr>
          <w:p w14:paraId="1F6C6BE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4 480</w:t>
            </w:r>
          </w:p>
        </w:tc>
        <w:tc>
          <w:tcPr>
            <w:tcW w:w="850" w:type="dxa"/>
          </w:tcPr>
          <w:p w14:paraId="1D74405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2 390</w:t>
            </w:r>
          </w:p>
        </w:tc>
        <w:tc>
          <w:tcPr>
            <w:tcW w:w="806" w:type="dxa"/>
          </w:tcPr>
          <w:p w14:paraId="0FD5A8D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2 060</w:t>
            </w:r>
          </w:p>
        </w:tc>
        <w:tc>
          <w:tcPr>
            <w:tcW w:w="660" w:type="dxa"/>
          </w:tcPr>
          <w:p w14:paraId="12BA37E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908</w:t>
            </w:r>
          </w:p>
        </w:tc>
        <w:tc>
          <w:tcPr>
            <w:tcW w:w="821" w:type="dxa"/>
          </w:tcPr>
          <w:p w14:paraId="0CFED0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2 651</w:t>
            </w:r>
          </w:p>
        </w:tc>
        <w:tc>
          <w:tcPr>
            <w:tcW w:w="790" w:type="dxa"/>
          </w:tcPr>
          <w:p w14:paraId="269BA5C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1 385</w:t>
            </w:r>
          </w:p>
        </w:tc>
        <w:tc>
          <w:tcPr>
            <w:tcW w:w="789" w:type="dxa"/>
          </w:tcPr>
          <w:p w14:paraId="3C32999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2 790</w:t>
            </w:r>
          </w:p>
        </w:tc>
        <w:tc>
          <w:tcPr>
            <w:tcW w:w="773" w:type="dxa"/>
          </w:tcPr>
          <w:p w14:paraId="7C3AB30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2 589</w:t>
            </w:r>
          </w:p>
        </w:tc>
        <w:tc>
          <w:tcPr>
            <w:tcW w:w="838" w:type="dxa"/>
          </w:tcPr>
          <w:p w14:paraId="72F2314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317</w:t>
            </w:r>
          </w:p>
        </w:tc>
        <w:tc>
          <w:tcPr>
            <w:tcW w:w="854" w:type="dxa"/>
          </w:tcPr>
          <w:p w14:paraId="505A9EF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3 482</w:t>
            </w:r>
          </w:p>
        </w:tc>
      </w:tr>
    </w:tbl>
    <w:p w14:paraId="36355B55" w14:textId="77777777" w:rsidR="00117C0D" w:rsidRPr="003954D9" w:rsidRDefault="00117C0D" w:rsidP="00117C0D">
      <w:pPr>
        <w:rPr>
          <w:sz w:val="16"/>
          <w:szCs w:val="16"/>
        </w:rPr>
      </w:pPr>
      <w:r w:rsidRPr="003954D9">
        <w:rPr>
          <w:b/>
          <w:color w:val="FF6600"/>
          <w:sz w:val="16"/>
          <w:szCs w:val="16"/>
        </w:rPr>
        <w:t>Röd färg högsta</w:t>
      </w:r>
      <w:r w:rsidRPr="003954D9">
        <w:rPr>
          <w:color w:val="FF6600"/>
          <w:sz w:val="16"/>
          <w:szCs w:val="16"/>
        </w:rPr>
        <w:t xml:space="preserve"> </w:t>
      </w:r>
      <w:r w:rsidRPr="003954D9">
        <w:rPr>
          <w:sz w:val="16"/>
          <w:szCs w:val="16"/>
        </w:rPr>
        <w:t xml:space="preserve">och </w:t>
      </w:r>
      <w:r w:rsidRPr="003954D9">
        <w:rPr>
          <w:b/>
          <w:color w:val="548DD4" w:themeColor="text2" w:themeTint="99"/>
          <w:sz w:val="16"/>
          <w:szCs w:val="16"/>
        </w:rPr>
        <w:t>blå färg lägsta</w:t>
      </w:r>
      <w:r w:rsidRPr="003954D9">
        <w:rPr>
          <w:sz w:val="16"/>
          <w:szCs w:val="16"/>
        </w:rPr>
        <w:t xml:space="preserve"> värde i grupp.</w:t>
      </w:r>
    </w:p>
    <w:p w14:paraId="40C1413C" w14:textId="77777777" w:rsidR="00B95043" w:rsidRDefault="00B95043" w:rsidP="00117C0D">
      <w:pPr>
        <w:keepNext/>
        <w:keepLines/>
        <w:spacing w:before="200"/>
        <w:outlineLvl w:val="4"/>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br w:type="page"/>
      </w:r>
    </w:p>
    <w:p w14:paraId="37FDA39F" w14:textId="4463B91C"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lastRenderedPageBreak/>
        <w:t>Tabell 6:3: Lägenhetstyp, boendeyta per person och stadsdel</w:t>
      </w:r>
    </w:p>
    <w:tbl>
      <w:tblPr>
        <w:tblW w:w="0" w:type="auto"/>
        <w:tblInd w:w="-38" w:type="dxa"/>
        <w:tblLayout w:type="fixed"/>
        <w:tblLook w:val="0000" w:firstRow="0" w:lastRow="0" w:firstColumn="0" w:lastColumn="0" w:noHBand="0" w:noVBand="0"/>
      </w:tblPr>
      <w:tblGrid>
        <w:gridCol w:w="739"/>
        <w:gridCol w:w="851"/>
        <w:gridCol w:w="992"/>
        <w:gridCol w:w="850"/>
        <w:gridCol w:w="709"/>
        <w:gridCol w:w="851"/>
        <w:gridCol w:w="850"/>
        <w:gridCol w:w="851"/>
        <w:gridCol w:w="850"/>
        <w:gridCol w:w="851"/>
        <w:gridCol w:w="981"/>
      </w:tblGrid>
      <w:tr w:rsidR="00117C0D" w:rsidRPr="003954D9" w14:paraId="1BF9EDE2"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187AD924"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w:t>
            </w:r>
            <w:proofErr w:type="spellStart"/>
            <w:r w:rsidRPr="003954D9">
              <w:rPr>
                <w:rFonts w:ascii="Calibri" w:hAnsi="Calibri" w:cs="Calibri"/>
                <w:b/>
                <w:bCs/>
                <w:color w:val="000000"/>
                <w:sz w:val="16"/>
                <w:szCs w:val="16"/>
              </w:rPr>
              <w:t>hetstyp</w:t>
            </w:r>
            <w:proofErr w:type="spellEnd"/>
          </w:p>
        </w:tc>
        <w:tc>
          <w:tcPr>
            <w:tcW w:w="851" w:type="dxa"/>
            <w:tcBorders>
              <w:top w:val="single" w:sz="6" w:space="0" w:color="auto"/>
              <w:left w:val="single" w:sz="6" w:space="0" w:color="auto"/>
              <w:bottom w:val="single" w:sz="6" w:space="0" w:color="auto"/>
              <w:right w:val="single" w:sz="6" w:space="0" w:color="auto"/>
            </w:tcBorders>
          </w:tcPr>
          <w:p w14:paraId="3BE8ED6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92" w:type="dxa"/>
            <w:tcBorders>
              <w:top w:val="single" w:sz="6" w:space="0" w:color="auto"/>
              <w:left w:val="single" w:sz="6" w:space="0" w:color="auto"/>
              <w:bottom w:val="single" w:sz="6" w:space="0" w:color="auto"/>
              <w:right w:val="single" w:sz="6" w:space="0" w:color="auto"/>
            </w:tcBorders>
          </w:tcPr>
          <w:p w14:paraId="71E87284"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50" w:type="dxa"/>
            <w:tcBorders>
              <w:top w:val="single" w:sz="6" w:space="0" w:color="auto"/>
              <w:left w:val="single" w:sz="6" w:space="0" w:color="auto"/>
              <w:bottom w:val="single" w:sz="6" w:space="0" w:color="auto"/>
              <w:right w:val="single" w:sz="6" w:space="0" w:color="auto"/>
            </w:tcBorders>
          </w:tcPr>
          <w:p w14:paraId="7D7E139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9" w:type="dxa"/>
            <w:tcBorders>
              <w:top w:val="single" w:sz="6" w:space="0" w:color="auto"/>
              <w:left w:val="single" w:sz="6" w:space="0" w:color="auto"/>
              <w:bottom w:val="single" w:sz="6" w:space="0" w:color="auto"/>
              <w:right w:val="single" w:sz="6" w:space="0" w:color="auto"/>
            </w:tcBorders>
          </w:tcPr>
          <w:p w14:paraId="68C22F0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51" w:type="dxa"/>
            <w:tcBorders>
              <w:top w:val="single" w:sz="6" w:space="0" w:color="auto"/>
              <w:left w:val="single" w:sz="6" w:space="0" w:color="auto"/>
              <w:bottom w:val="single" w:sz="6" w:space="0" w:color="auto"/>
              <w:right w:val="single" w:sz="6" w:space="0" w:color="auto"/>
            </w:tcBorders>
          </w:tcPr>
          <w:p w14:paraId="7C9392D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850" w:type="dxa"/>
            <w:tcBorders>
              <w:top w:val="single" w:sz="6" w:space="0" w:color="auto"/>
              <w:left w:val="single" w:sz="6" w:space="0" w:color="auto"/>
              <w:bottom w:val="single" w:sz="6" w:space="0" w:color="auto"/>
              <w:right w:val="single" w:sz="6" w:space="0" w:color="auto"/>
            </w:tcBorders>
          </w:tcPr>
          <w:p w14:paraId="4474ED6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51" w:type="dxa"/>
            <w:tcBorders>
              <w:top w:val="single" w:sz="6" w:space="0" w:color="auto"/>
              <w:left w:val="single" w:sz="6" w:space="0" w:color="auto"/>
              <w:bottom w:val="single" w:sz="6" w:space="0" w:color="auto"/>
              <w:right w:val="single" w:sz="6" w:space="0" w:color="auto"/>
            </w:tcBorders>
          </w:tcPr>
          <w:p w14:paraId="54C4D50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50" w:type="dxa"/>
            <w:tcBorders>
              <w:top w:val="single" w:sz="6" w:space="0" w:color="auto"/>
              <w:left w:val="single" w:sz="6" w:space="0" w:color="auto"/>
              <w:bottom w:val="single" w:sz="6" w:space="0" w:color="auto"/>
              <w:right w:val="single" w:sz="6" w:space="0" w:color="auto"/>
            </w:tcBorders>
          </w:tcPr>
          <w:p w14:paraId="1E2E098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67301D3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81" w:type="dxa"/>
            <w:tcBorders>
              <w:top w:val="single" w:sz="6" w:space="0" w:color="auto"/>
              <w:left w:val="single" w:sz="6" w:space="0" w:color="auto"/>
              <w:bottom w:val="single" w:sz="6" w:space="0" w:color="auto"/>
              <w:right w:val="single" w:sz="6" w:space="0" w:color="auto"/>
            </w:tcBorders>
          </w:tcPr>
          <w:p w14:paraId="3BDCAD8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117C0D" w:rsidRPr="003954D9" w14:paraId="3276CD62"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5E27C8C6"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1 rokv</w:t>
            </w:r>
          </w:p>
        </w:tc>
        <w:tc>
          <w:tcPr>
            <w:tcW w:w="851" w:type="dxa"/>
            <w:tcBorders>
              <w:top w:val="single" w:sz="6" w:space="0" w:color="auto"/>
              <w:left w:val="single" w:sz="6" w:space="0" w:color="auto"/>
              <w:bottom w:val="single" w:sz="6" w:space="0" w:color="auto"/>
              <w:right w:val="single" w:sz="6" w:space="0" w:color="auto"/>
            </w:tcBorders>
          </w:tcPr>
          <w:p w14:paraId="374E2D5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22,6</w:t>
            </w:r>
          </w:p>
        </w:tc>
        <w:tc>
          <w:tcPr>
            <w:tcW w:w="992" w:type="dxa"/>
            <w:tcBorders>
              <w:top w:val="single" w:sz="6" w:space="0" w:color="auto"/>
              <w:left w:val="single" w:sz="6" w:space="0" w:color="auto"/>
              <w:bottom w:val="single" w:sz="6" w:space="0" w:color="auto"/>
              <w:right w:val="single" w:sz="6" w:space="0" w:color="auto"/>
            </w:tcBorders>
          </w:tcPr>
          <w:p w14:paraId="4D2D710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25,3</w:t>
            </w:r>
          </w:p>
        </w:tc>
        <w:tc>
          <w:tcPr>
            <w:tcW w:w="850" w:type="dxa"/>
            <w:tcBorders>
              <w:top w:val="single" w:sz="6" w:space="0" w:color="auto"/>
              <w:left w:val="single" w:sz="6" w:space="0" w:color="auto"/>
              <w:bottom w:val="single" w:sz="6" w:space="0" w:color="auto"/>
              <w:right w:val="single" w:sz="6" w:space="0" w:color="auto"/>
            </w:tcBorders>
          </w:tcPr>
          <w:p w14:paraId="6355723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23,2</w:t>
            </w:r>
          </w:p>
        </w:tc>
        <w:tc>
          <w:tcPr>
            <w:tcW w:w="709" w:type="dxa"/>
            <w:tcBorders>
              <w:top w:val="single" w:sz="6" w:space="0" w:color="auto"/>
              <w:left w:val="single" w:sz="6" w:space="0" w:color="auto"/>
              <w:bottom w:val="single" w:sz="6" w:space="0" w:color="auto"/>
              <w:right w:val="single" w:sz="6" w:space="0" w:color="auto"/>
            </w:tcBorders>
          </w:tcPr>
          <w:p w14:paraId="600B273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21,2</w:t>
            </w:r>
          </w:p>
        </w:tc>
        <w:tc>
          <w:tcPr>
            <w:tcW w:w="851" w:type="dxa"/>
            <w:tcBorders>
              <w:top w:val="single" w:sz="6" w:space="0" w:color="auto"/>
              <w:left w:val="single" w:sz="6" w:space="0" w:color="auto"/>
              <w:bottom w:val="single" w:sz="6" w:space="0" w:color="auto"/>
              <w:right w:val="single" w:sz="6" w:space="0" w:color="auto"/>
            </w:tcBorders>
          </w:tcPr>
          <w:p w14:paraId="26ECE35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25,3</w:t>
            </w:r>
          </w:p>
        </w:tc>
        <w:tc>
          <w:tcPr>
            <w:tcW w:w="850" w:type="dxa"/>
            <w:tcBorders>
              <w:top w:val="single" w:sz="6" w:space="0" w:color="auto"/>
              <w:left w:val="single" w:sz="6" w:space="0" w:color="auto"/>
              <w:bottom w:val="single" w:sz="6" w:space="0" w:color="auto"/>
              <w:right w:val="single" w:sz="6" w:space="0" w:color="auto"/>
            </w:tcBorders>
          </w:tcPr>
          <w:p w14:paraId="68D96EF1" w14:textId="77777777" w:rsidR="00117C0D" w:rsidRPr="003954D9" w:rsidRDefault="00117C0D" w:rsidP="00117C0D">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16,7</w:t>
            </w:r>
          </w:p>
        </w:tc>
        <w:tc>
          <w:tcPr>
            <w:tcW w:w="851" w:type="dxa"/>
            <w:tcBorders>
              <w:top w:val="single" w:sz="6" w:space="0" w:color="auto"/>
              <w:left w:val="single" w:sz="6" w:space="0" w:color="auto"/>
              <w:bottom w:val="single" w:sz="6" w:space="0" w:color="auto"/>
              <w:right w:val="single" w:sz="6" w:space="0" w:color="auto"/>
            </w:tcBorders>
          </w:tcPr>
          <w:p w14:paraId="78820F8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c>
          <w:tcPr>
            <w:tcW w:w="850" w:type="dxa"/>
            <w:tcBorders>
              <w:top w:val="single" w:sz="6" w:space="0" w:color="auto"/>
              <w:left w:val="single" w:sz="6" w:space="0" w:color="auto"/>
              <w:bottom w:val="single" w:sz="6" w:space="0" w:color="auto"/>
              <w:right w:val="single" w:sz="6" w:space="0" w:color="auto"/>
            </w:tcBorders>
          </w:tcPr>
          <w:p w14:paraId="309BAC0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20,3</w:t>
            </w:r>
          </w:p>
        </w:tc>
        <w:tc>
          <w:tcPr>
            <w:tcW w:w="851" w:type="dxa"/>
            <w:tcBorders>
              <w:top w:val="single" w:sz="6" w:space="0" w:color="auto"/>
              <w:left w:val="single" w:sz="6" w:space="0" w:color="auto"/>
              <w:bottom w:val="single" w:sz="6" w:space="0" w:color="auto"/>
              <w:right w:val="single" w:sz="6" w:space="0" w:color="auto"/>
            </w:tcBorders>
          </w:tcPr>
          <w:p w14:paraId="5F2362AE"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36,9</w:t>
            </w:r>
          </w:p>
        </w:tc>
        <w:tc>
          <w:tcPr>
            <w:tcW w:w="981" w:type="dxa"/>
            <w:tcBorders>
              <w:top w:val="single" w:sz="6" w:space="0" w:color="auto"/>
              <w:left w:val="single" w:sz="6" w:space="0" w:color="auto"/>
              <w:bottom w:val="single" w:sz="6" w:space="0" w:color="auto"/>
              <w:right w:val="single" w:sz="6" w:space="0" w:color="auto"/>
            </w:tcBorders>
          </w:tcPr>
          <w:p w14:paraId="6B8D9AC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18,2</w:t>
            </w:r>
          </w:p>
        </w:tc>
      </w:tr>
      <w:tr w:rsidR="00117C0D" w:rsidRPr="003954D9" w14:paraId="65D4702B"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12B1F86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w:t>
            </w:r>
          </w:p>
        </w:tc>
        <w:tc>
          <w:tcPr>
            <w:tcW w:w="851" w:type="dxa"/>
            <w:tcBorders>
              <w:top w:val="single" w:sz="6" w:space="0" w:color="auto"/>
              <w:left w:val="single" w:sz="6" w:space="0" w:color="auto"/>
              <w:bottom w:val="single" w:sz="6" w:space="0" w:color="auto"/>
              <w:right w:val="single" w:sz="6" w:space="0" w:color="auto"/>
            </w:tcBorders>
          </w:tcPr>
          <w:p w14:paraId="50934C0D"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26,5</w:t>
            </w:r>
          </w:p>
        </w:tc>
        <w:tc>
          <w:tcPr>
            <w:tcW w:w="992" w:type="dxa"/>
            <w:tcBorders>
              <w:top w:val="single" w:sz="6" w:space="0" w:color="auto"/>
              <w:left w:val="single" w:sz="6" w:space="0" w:color="auto"/>
              <w:bottom w:val="single" w:sz="6" w:space="0" w:color="auto"/>
              <w:right w:val="single" w:sz="6" w:space="0" w:color="auto"/>
            </w:tcBorders>
          </w:tcPr>
          <w:p w14:paraId="3DD9774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30,4</w:t>
            </w:r>
          </w:p>
        </w:tc>
        <w:tc>
          <w:tcPr>
            <w:tcW w:w="850" w:type="dxa"/>
            <w:tcBorders>
              <w:top w:val="single" w:sz="6" w:space="0" w:color="auto"/>
              <w:left w:val="single" w:sz="6" w:space="0" w:color="auto"/>
              <w:bottom w:val="single" w:sz="6" w:space="0" w:color="auto"/>
              <w:right w:val="single" w:sz="6" w:space="0" w:color="auto"/>
            </w:tcBorders>
          </w:tcPr>
          <w:p w14:paraId="5AC094A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29,7</w:t>
            </w:r>
          </w:p>
        </w:tc>
        <w:tc>
          <w:tcPr>
            <w:tcW w:w="709" w:type="dxa"/>
            <w:tcBorders>
              <w:top w:val="single" w:sz="6" w:space="0" w:color="auto"/>
              <w:left w:val="single" w:sz="6" w:space="0" w:color="auto"/>
              <w:bottom w:val="single" w:sz="6" w:space="0" w:color="auto"/>
              <w:right w:val="single" w:sz="6" w:space="0" w:color="auto"/>
            </w:tcBorders>
          </w:tcPr>
          <w:p w14:paraId="29130882"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38,4</w:t>
            </w:r>
          </w:p>
        </w:tc>
        <w:tc>
          <w:tcPr>
            <w:tcW w:w="851" w:type="dxa"/>
            <w:tcBorders>
              <w:top w:val="single" w:sz="6" w:space="0" w:color="auto"/>
              <w:left w:val="single" w:sz="6" w:space="0" w:color="auto"/>
              <w:bottom w:val="single" w:sz="6" w:space="0" w:color="auto"/>
              <w:right w:val="single" w:sz="6" w:space="0" w:color="auto"/>
            </w:tcBorders>
          </w:tcPr>
          <w:p w14:paraId="5A3A2E2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32,6</w:t>
            </w:r>
          </w:p>
        </w:tc>
        <w:tc>
          <w:tcPr>
            <w:tcW w:w="850" w:type="dxa"/>
            <w:tcBorders>
              <w:top w:val="single" w:sz="6" w:space="0" w:color="auto"/>
              <w:left w:val="single" w:sz="6" w:space="0" w:color="auto"/>
              <w:bottom w:val="single" w:sz="6" w:space="0" w:color="auto"/>
              <w:right w:val="single" w:sz="6" w:space="0" w:color="auto"/>
            </w:tcBorders>
          </w:tcPr>
          <w:p w14:paraId="0509809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30,3</w:t>
            </w:r>
          </w:p>
        </w:tc>
        <w:tc>
          <w:tcPr>
            <w:tcW w:w="851" w:type="dxa"/>
            <w:tcBorders>
              <w:top w:val="single" w:sz="6" w:space="0" w:color="auto"/>
              <w:left w:val="single" w:sz="6" w:space="0" w:color="auto"/>
              <w:bottom w:val="single" w:sz="6" w:space="0" w:color="auto"/>
              <w:right w:val="single" w:sz="6" w:space="0" w:color="auto"/>
            </w:tcBorders>
          </w:tcPr>
          <w:p w14:paraId="5896BBF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33,2</w:t>
            </w:r>
          </w:p>
        </w:tc>
        <w:tc>
          <w:tcPr>
            <w:tcW w:w="850" w:type="dxa"/>
            <w:tcBorders>
              <w:top w:val="single" w:sz="6" w:space="0" w:color="auto"/>
              <w:left w:val="single" w:sz="6" w:space="0" w:color="auto"/>
              <w:bottom w:val="single" w:sz="6" w:space="0" w:color="auto"/>
              <w:right w:val="single" w:sz="6" w:space="0" w:color="auto"/>
            </w:tcBorders>
          </w:tcPr>
          <w:p w14:paraId="29B65C9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28,4</w:t>
            </w:r>
          </w:p>
        </w:tc>
        <w:tc>
          <w:tcPr>
            <w:tcW w:w="851" w:type="dxa"/>
            <w:tcBorders>
              <w:top w:val="single" w:sz="6" w:space="0" w:color="auto"/>
              <w:left w:val="single" w:sz="6" w:space="0" w:color="auto"/>
              <w:bottom w:val="single" w:sz="6" w:space="0" w:color="auto"/>
              <w:right w:val="single" w:sz="6" w:space="0" w:color="auto"/>
            </w:tcBorders>
          </w:tcPr>
          <w:p w14:paraId="540A962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30,2</w:t>
            </w:r>
          </w:p>
        </w:tc>
        <w:tc>
          <w:tcPr>
            <w:tcW w:w="981" w:type="dxa"/>
            <w:tcBorders>
              <w:top w:val="single" w:sz="6" w:space="0" w:color="auto"/>
              <w:left w:val="single" w:sz="6" w:space="0" w:color="auto"/>
              <w:bottom w:val="single" w:sz="6" w:space="0" w:color="auto"/>
              <w:right w:val="single" w:sz="6" w:space="0" w:color="auto"/>
            </w:tcBorders>
          </w:tcPr>
          <w:p w14:paraId="352EF75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29,2</w:t>
            </w:r>
          </w:p>
        </w:tc>
      </w:tr>
      <w:tr w:rsidR="00117C0D" w:rsidRPr="003954D9" w14:paraId="67C14B22"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21E0031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rokv</w:t>
            </w:r>
          </w:p>
        </w:tc>
        <w:tc>
          <w:tcPr>
            <w:tcW w:w="851" w:type="dxa"/>
            <w:tcBorders>
              <w:top w:val="single" w:sz="6" w:space="0" w:color="auto"/>
              <w:left w:val="single" w:sz="6" w:space="0" w:color="auto"/>
              <w:bottom w:val="single" w:sz="6" w:space="0" w:color="auto"/>
              <w:right w:val="single" w:sz="6" w:space="0" w:color="auto"/>
            </w:tcBorders>
          </w:tcPr>
          <w:p w14:paraId="29E3E25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26,0</w:t>
            </w:r>
          </w:p>
        </w:tc>
        <w:tc>
          <w:tcPr>
            <w:tcW w:w="992" w:type="dxa"/>
            <w:tcBorders>
              <w:top w:val="single" w:sz="6" w:space="0" w:color="auto"/>
              <w:left w:val="single" w:sz="6" w:space="0" w:color="auto"/>
              <w:bottom w:val="single" w:sz="6" w:space="0" w:color="auto"/>
              <w:right w:val="single" w:sz="6" w:space="0" w:color="auto"/>
            </w:tcBorders>
          </w:tcPr>
          <w:p w14:paraId="266F4B5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30,9</w:t>
            </w:r>
          </w:p>
        </w:tc>
        <w:tc>
          <w:tcPr>
            <w:tcW w:w="850" w:type="dxa"/>
            <w:tcBorders>
              <w:top w:val="single" w:sz="6" w:space="0" w:color="auto"/>
              <w:left w:val="single" w:sz="6" w:space="0" w:color="auto"/>
              <w:bottom w:val="single" w:sz="6" w:space="0" w:color="auto"/>
              <w:right w:val="single" w:sz="6" w:space="0" w:color="auto"/>
            </w:tcBorders>
          </w:tcPr>
          <w:p w14:paraId="16AB499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sz w:val="16"/>
                <w:szCs w:val="16"/>
              </w:rPr>
              <w:t>35,8</w:t>
            </w:r>
          </w:p>
        </w:tc>
        <w:tc>
          <w:tcPr>
            <w:tcW w:w="709" w:type="dxa"/>
            <w:tcBorders>
              <w:top w:val="single" w:sz="6" w:space="0" w:color="auto"/>
              <w:left w:val="single" w:sz="6" w:space="0" w:color="auto"/>
              <w:bottom w:val="single" w:sz="6" w:space="0" w:color="auto"/>
              <w:right w:val="single" w:sz="6" w:space="0" w:color="auto"/>
            </w:tcBorders>
          </w:tcPr>
          <w:p w14:paraId="4432E3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26,2</w:t>
            </w:r>
          </w:p>
        </w:tc>
        <w:tc>
          <w:tcPr>
            <w:tcW w:w="851" w:type="dxa"/>
            <w:tcBorders>
              <w:top w:val="single" w:sz="6" w:space="0" w:color="auto"/>
              <w:left w:val="single" w:sz="6" w:space="0" w:color="auto"/>
              <w:bottom w:val="single" w:sz="6" w:space="0" w:color="auto"/>
              <w:right w:val="single" w:sz="6" w:space="0" w:color="auto"/>
            </w:tcBorders>
          </w:tcPr>
          <w:p w14:paraId="6F5511B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sz w:val="16"/>
                <w:szCs w:val="16"/>
              </w:rPr>
              <w:t>35,7</w:t>
            </w:r>
          </w:p>
        </w:tc>
        <w:tc>
          <w:tcPr>
            <w:tcW w:w="850" w:type="dxa"/>
            <w:tcBorders>
              <w:top w:val="single" w:sz="6" w:space="0" w:color="auto"/>
              <w:left w:val="single" w:sz="6" w:space="0" w:color="auto"/>
              <w:bottom w:val="single" w:sz="6" w:space="0" w:color="auto"/>
              <w:right w:val="single" w:sz="6" w:space="0" w:color="auto"/>
            </w:tcBorders>
          </w:tcPr>
          <w:p w14:paraId="2D95068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25,0</w:t>
            </w:r>
          </w:p>
        </w:tc>
        <w:tc>
          <w:tcPr>
            <w:tcW w:w="851" w:type="dxa"/>
            <w:tcBorders>
              <w:top w:val="single" w:sz="6" w:space="0" w:color="auto"/>
              <w:left w:val="single" w:sz="6" w:space="0" w:color="auto"/>
              <w:bottom w:val="single" w:sz="6" w:space="0" w:color="auto"/>
              <w:right w:val="single" w:sz="6" w:space="0" w:color="auto"/>
            </w:tcBorders>
          </w:tcPr>
          <w:p w14:paraId="49281E51"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231FE8E3"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35,9</w:t>
            </w:r>
          </w:p>
        </w:tc>
        <w:tc>
          <w:tcPr>
            <w:tcW w:w="851" w:type="dxa"/>
            <w:tcBorders>
              <w:top w:val="single" w:sz="6" w:space="0" w:color="auto"/>
              <w:left w:val="single" w:sz="6" w:space="0" w:color="auto"/>
              <w:bottom w:val="single" w:sz="6" w:space="0" w:color="auto"/>
              <w:right w:val="single" w:sz="6" w:space="0" w:color="auto"/>
            </w:tcBorders>
          </w:tcPr>
          <w:p w14:paraId="1A360FA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31,2</w:t>
            </w:r>
          </w:p>
        </w:tc>
        <w:tc>
          <w:tcPr>
            <w:tcW w:w="981" w:type="dxa"/>
            <w:tcBorders>
              <w:top w:val="single" w:sz="6" w:space="0" w:color="auto"/>
              <w:left w:val="single" w:sz="6" w:space="0" w:color="auto"/>
              <w:bottom w:val="single" w:sz="6" w:space="0" w:color="auto"/>
              <w:right w:val="single" w:sz="6" w:space="0" w:color="auto"/>
            </w:tcBorders>
          </w:tcPr>
          <w:p w14:paraId="27043711"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24,9</w:t>
            </w:r>
          </w:p>
        </w:tc>
      </w:tr>
      <w:tr w:rsidR="00117C0D" w:rsidRPr="003954D9" w14:paraId="321BB76C"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7D6C4DE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w:t>
            </w:r>
          </w:p>
        </w:tc>
        <w:tc>
          <w:tcPr>
            <w:tcW w:w="851" w:type="dxa"/>
            <w:tcBorders>
              <w:top w:val="single" w:sz="6" w:space="0" w:color="auto"/>
              <w:left w:val="single" w:sz="6" w:space="0" w:color="auto"/>
              <w:bottom w:val="single" w:sz="6" w:space="0" w:color="auto"/>
              <w:right w:val="single" w:sz="6" w:space="0" w:color="auto"/>
            </w:tcBorders>
          </w:tcPr>
          <w:p w14:paraId="3EF4E4F1"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30,2</w:t>
            </w:r>
          </w:p>
        </w:tc>
        <w:tc>
          <w:tcPr>
            <w:tcW w:w="992" w:type="dxa"/>
            <w:tcBorders>
              <w:top w:val="single" w:sz="6" w:space="0" w:color="auto"/>
              <w:left w:val="single" w:sz="6" w:space="0" w:color="auto"/>
              <w:bottom w:val="single" w:sz="6" w:space="0" w:color="auto"/>
              <w:right w:val="single" w:sz="6" w:space="0" w:color="auto"/>
            </w:tcBorders>
          </w:tcPr>
          <w:p w14:paraId="53FFC58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43,7</w:t>
            </w:r>
          </w:p>
        </w:tc>
        <w:tc>
          <w:tcPr>
            <w:tcW w:w="850" w:type="dxa"/>
            <w:tcBorders>
              <w:top w:val="single" w:sz="6" w:space="0" w:color="auto"/>
              <w:left w:val="single" w:sz="6" w:space="0" w:color="auto"/>
              <w:bottom w:val="single" w:sz="6" w:space="0" w:color="auto"/>
              <w:right w:val="single" w:sz="6" w:space="0" w:color="auto"/>
            </w:tcBorders>
          </w:tcPr>
          <w:p w14:paraId="164A571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37,8</w:t>
            </w:r>
          </w:p>
        </w:tc>
        <w:tc>
          <w:tcPr>
            <w:tcW w:w="709" w:type="dxa"/>
            <w:tcBorders>
              <w:top w:val="single" w:sz="6" w:space="0" w:color="auto"/>
              <w:left w:val="single" w:sz="6" w:space="0" w:color="auto"/>
              <w:bottom w:val="single" w:sz="6" w:space="0" w:color="auto"/>
              <w:right w:val="single" w:sz="6" w:space="0" w:color="auto"/>
            </w:tcBorders>
          </w:tcPr>
          <w:p w14:paraId="3CFBCEE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32,6</w:t>
            </w:r>
          </w:p>
        </w:tc>
        <w:tc>
          <w:tcPr>
            <w:tcW w:w="851" w:type="dxa"/>
            <w:tcBorders>
              <w:top w:val="single" w:sz="6" w:space="0" w:color="auto"/>
              <w:left w:val="single" w:sz="6" w:space="0" w:color="auto"/>
              <w:bottom w:val="single" w:sz="6" w:space="0" w:color="auto"/>
              <w:right w:val="single" w:sz="6" w:space="0" w:color="auto"/>
            </w:tcBorders>
          </w:tcPr>
          <w:p w14:paraId="233DE4B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38,3</w:t>
            </w:r>
          </w:p>
        </w:tc>
        <w:tc>
          <w:tcPr>
            <w:tcW w:w="850" w:type="dxa"/>
            <w:tcBorders>
              <w:top w:val="single" w:sz="6" w:space="0" w:color="auto"/>
              <w:left w:val="single" w:sz="6" w:space="0" w:color="auto"/>
              <w:bottom w:val="single" w:sz="6" w:space="0" w:color="auto"/>
              <w:right w:val="single" w:sz="6" w:space="0" w:color="auto"/>
            </w:tcBorders>
          </w:tcPr>
          <w:p w14:paraId="187CF88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39,1</w:t>
            </w:r>
          </w:p>
        </w:tc>
        <w:tc>
          <w:tcPr>
            <w:tcW w:w="851" w:type="dxa"/>
            <w:tcBorders>
              <w:top w:val="single" w:sz="6" w:space="0" w:color="auto"/>
              <w:left w:val="single" w:sz="6" w:space="0" w:color="auto"/>
              <w:bottom w:val="single" w:sz="6" w:space="0" w:color="auto"/>
              <w:right w:val="single" w:sz="6" w:space="0" w:color="auto"/>
            </w:tcBorders>
          </w:tcPr>
          <w:p w14:paraId="0D584DE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33,3</w:t>
            </w:r>
          </w:p>
        </w:tc>
        <w:tc>
          <w:tcPr>
            <w:tcW w:w="850" w:type="dxa"/>
            <w:tcBorders>
              <w:top w:val="single" w:sz="6" w:space="0" w:color="auto"/>
              <w:left w:val="single" w:sz="6" w:space="0" w:color="auto"/>
              <w:bottom w:val="single" w:sz="6" w:space="0" w:color="auto"/>
              <w:right w:val="single" w:sz="6" w:space="0" w:color="auto"/>
            </w:tcBorders>
          </w:tcPr>
          <w:p w14:paraId="0FB098F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36,7</w:t>
            </w:r>
          </w:p>
        </w:tc>
        <w:tc>
          <w:tcPr>
            <w:tcW w:w="851" w:type="dxa"/>
            <w:tcBorders>
              <w:top w:val="single" w:sz="6" w:space="0" w:color="auto"/>
              <w:left w:val="single" w:sz="6" w:space="0" w:color="auto"/>
              <w:bottom w:val="single" w:sz="6" w:space="0" w:color="auto"/>
              <w:right w:val="single" w:sz="6" w:space="0" w:color="auto"/>
            </w:tcBorders>
          </w:tcPr>
          <w:p w14:paraId="04E9089C"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45,2</w:t>
            </w:r>
          </w:p>
        </w:tc>
        <w:tc>
          <w:tcPr>
            <w:tcW w:w="981" w:type="dxa"/>
            <w:tcBorders>
              <w:top w:val="single" w:sz="6" w:space="0" w:color="auto"/>
              <w:left w:val="single" w:sz="6" w:space="0" w:color="auto"/>
              <w:bottom w:val="single" w:sz="6" w:space="0" w:color="auto"/>
              <w:right w:val="single" w:sz="6" w:space="0" w:color="auto"/>
            </w:tcBorders>
          </w:tcPr>
          <w:p w14:paraId="7AFC0A1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33,1</w:t>
            </w:r>
          </w:p>
        </w:tc>
      </w:tr>
      <w:tr w:rsidR="00117C0D" w:rsidRPr="003954D9" w14:paraId="5AD6D8AF"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6C58845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3 rok</w:t>
            </w:r>
          </w:p>
        </w:tc>
        <w:tc>
          <w:tcPr>
            <w:tcW w:w="851" w:type="dxa"/>
            <w:tcBorders>
              <w:top w:val="single" w:sz="6" w:space="0" w:color="auto"/>
              <w:left w:val="single" w:sz="6" w:space="0" w:color="auto"/>
              <w:bottom w:val="single" w:sz="6" w:space="0" w:color="auto"/>
              <w:right w:val="single" w:sz="6" w:space="0" w:color="auto"/>
            </w:tcBorders>
          </w:tcPr>
          <w:p w14:paraId="1ADB1E0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24,8</w:t>
            </w:r>
          </w:p>
        </w:tc>
        <w:tc>
          <w:tcPr>
            <w:tcW w:w="992" w:type="dxa"/>
            <w:tcBorders>
              <w:top w:val="single" w:sz="6" w:space="0" w:color="auto"/>
              <w:left w:val="single" w:sz="6" w:space="0" w:color="auto"/>
              <w:bottom w:val="single" w:sz="6" w:space="0" w:color="auto"/>
              <w:right w:val="single" w:sz="6" w:space="0" w:color="auto"/>
            </w:tcBorders>
          </w:tcPr>
          <w:p w14:paraId="631CEE8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33,1</w:t>
            </w:r>
          </w:p>
        </w:tc>
        <w:tc>
          <w:tcPr>
            <w:tcW w:w="850" w:type="dxa"/>
            <w:tcBorders>
              <w:top w:val="single" w:sz="6" w:space="0" w:color="auto"/>
              <w:left w:val="single" w:sz="6" w:space="0" w:color="auto"/>
              <w:bottom w:val="single" w:sz="6" w:space="0" w:color="auto"/>
              <w:right w:val="single" w:sz="6" w:space="0" w:color="auto"/>
            </w:tcBorders>
          </w:tcPr>
          <w:p w14:paraId="67F6A88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34,3</w:t>
            </w:r>
          </w:p>
        </w:tc>
        <w:tc>
          <w:tcPr>
            <w:tcW w:w="709" w:type="dxa"/>
            <w:tcBorders>
              <w:top w:val="single" w:sz="6" w:space="0" w:color="auto"/>
              <w:left w:val="single" w:sz="6" w:space="0" w:color="auto"/>
              <w:bottom w:val="single" w:sz="6" w:space="0" w:color="auto"/>
              <w:right w:val="single" w:sz="6" w:space="0" w:color="auto"/>
            </w:tcBorders>
          </w:tcPr>
          <w:p w14:paraId="7CABF87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35,0</w:t>
            </w:r>
          </w:p>
        </w:tc>
        <w:tc>
          <w:tcPr>
            <w:tcW w:w="851" w:type="dxa"/>
            <w:tcBorders>
              <w:top w:val="single" w:sz="6" w:space="0" w:color="auto"/>
              <w:left w:val="single" w:sz="6" w:space="0" w:color="auto"/>
              <w:bottom w:val="single" w:sz="6" w:space="0" w:color="auto"/>
              <w:right w:val="single" w:sz="6" w:space="0" w:color="auto"/>
            </w:tcBorders>
          </w:tcPr>
          <w:p w14:paraId="6C67DAA0"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35,4</w:t>
            </w:r>
          </w:p>
        </w:tc>
        <w:tc>
          <w:tcPr>
            <w:tcW w:w="850" w:type="dxa"/>
            <w:tcBorders>
              <w:top w:val="single" w:sz="6" w:space="0" w:color="auto"/>
              <w:left w:val="single" w:sz="6" w:space="0" w:color="auto"/>
              <w:bottom w:val="single" w:sz="6" w:space="0" w:color="auto"/>
              <w:right w:val="single" w:sz="6" w:space="0" w:color="auto"/>
            </w:tcBorders>
          </w:tcPr>
          <w:p w14:paraId="673B0D7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30,5</w:t>
            </w:r>
          </w:p>
        </w:tc>
        <w:tc>
          <w:tcPr>
            <w:tcW w:w="851" w:type="dxa"/>
            <w:tcBorders>
              <w:top w:val="single" w:sz="6" w:space="0" w:color="auto"/>
              <w:left w:val="single" w:sz="6" w:space="0" w:color="auto"/>
              <w:bottom w:val="single" w:sz="6" w:space="0" w:color="auto"/>
              <w:right w:val="single" w:sz="6" w:space="0" w:color="auto"/>
            </w:tcBorders>
          </w:tcPr>
          <w:p w14:paraId="5F80198B"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23,2</w:t>
            </w:r>
          </w:p>
        </w:tc>
        <w:tc>
          <w:tcPr>
            <w:tcW w:w="850" w:type="dxa"/>
            <w:tcBorders>
              <w:top w:val="single" w:sz="6" w:space="0" w:color="auto"/>
              <w:left w:val="single" w:sz="6" w:space="0" w:color="auto"/>
              <w:bottom w:val="single" w:sz="6" w:space="0" w:color="auto"/>
              <w:right w:val="single" w:sz="6" w:space="0" w:color="auto"/>
            </w:tcBorders>
          </w:tcPr>
          <w:p w14:paraId="5060D3B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34,9</w:t>
            </w:r>
          </w:p>
        </w:tc>
        <w:tc>
          <w:tcPr>
            <w:tcW w:w="851" w:type="dxa"/>
            <w:tcBorders>
              <w:top w:val="single" w:sz="6" w:space="0" w:color="auto"/>
              <w:left w:val="single" w:sz="6" w:space="0" w:color="auto"/>
              <w:bottom w:val="single" w:sz="6" w:space="0" w:color="auto"/>
              <w:right w:val="single" w:sz="6" w:space="0" w:color="auto"/>
            </w:tcBorders>
          </w:tcPr>
          <w:p w14:paraId="2DA80F9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33,4</w:t>
            </w:r>
          </w:p>
        </w:tc>
        <w:tc>
          <w:tcPr>
            <w:tcW w:w="981" w:type="dxa"/>
            <w:tcBorders>
              <w:top w:val="single" w:sz="6" w:space="0" w:color="auto"/>
              <w:left w:val="single" w:sz="6" w:space="0" w:color="auto"/>
              <w:bottom w:val="single" w:sz="6" w:space="0" w:color="auto"/>
              <w:right w:val="single" w:sz="6" w:space="0" w:color="auto"/>
            </w:tcBorders>
          </w:tcPr>
          <w:p w14:paraId="236AFF7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27,9</w:t>
            </w:r>
          </w:p>
        </w:tc>
      </w:tr>
      <w:tr w:rsidR="00117C0D" w:rsidRPr="003954D9" w14:paraId="48119948"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7F439FB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4 rok</w:t>
            </w:r>
          </w:p>
        </w:tc>
        <w:tc>
          <w:tcPr>
            <w:tcW w:w="851" w:type="dxa"/>
            <w:tcBorders>
              <w:top w:val="single" w:sz="6" w:space="0" w:color="auto"/>
              <w:left w:val="single" w:sz="6" w:space="0" w:color="auto"/>
              <w:bottom w:val="single" w:sz="6" w:space="0" w:color="auto"/>
              <w:right w:val="single" w:sz="6" w:space="0" w:color="auto"/>
            </w:tcBorders>
          </w:tcPr>
          <w:p w14:paraId="60533021"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21,4</w:t>
            </w:r>
          </w:p>
        </w:tc>
        <w:tc>
          <w:tcPr>
            <w:tcW w:w="992" w:type="dxa"/>
            <w:tcBorders>
              <w:top w:val="single" w:sz="6" w:space="0" w:color="auto"/>
              <w:left w:val="single" w:sz="6" w:space="0" w:color="auto"/>
              <w:bottom w:val="single" w:sz="6" w:space="0" w:color="auto"/>
              <w:right w:val="single" w:sz="6" w:space="0" w:color="auto"/>
            </w:tcBorders>
          </w:tcPr>
          <w:p w14:paraId="726A5D8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30,0</w:t>
            </w:r>
          </w:p>
        </w:tc>
        <w:tc>
          <w:tcPr>
            <w:tcW w:w="850" w:type="dxa"/>
            <w:tcBorders>
              <w:top w:val="single" w:sz="6" w:space="0" w:color="auto"/>
              <w:left w:val="single" w:sz="6" w:space="0" w:color="auto"/>
              <w:bottom w:val="single" w:sz="6" w:space="0" w:color="auto"/>
              <w:right w:val="single" w:sz="6" w:space="0" w:color="auto"/>
            </w:tcBorders>
          </w:tcPr>
          <w:p w14:paraId="75938B7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709" w:type="dxa"/>
            <w:tcBorders>
              <w:top w:val="single" w:sz="6" w:space="0" w:color="auto"/>
              <w:left w:val="single" w:sz="6" w:space="0" w:color="auto"/>
              <w:bottom w:val="single" w:sz="6" w:space="0" w:color="auto"/>
              <w:right w:val="single" w:sz="6" w:space="0" w:color="auto"/>
            </w:tcBorders>
          </w:tcPr>
          <w:p w14:paraId="385B2D2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25,8</w:t>
            </w:r>
          </w:p>
        </w:tc>
        <w:tc>
          <w:tcPr>
            <w:tcW w:w="851" w:type="dxa"/>
            <w:tcBorders>
              <w:top w:val="single" w:sz="6" w:space="0" w:color="auto"/>
              <w:left w:val="single" w:sz="6" w:space="0" w:color="auto"/>
              <w:bottom w:val="single" w:sz="6" w:space="0" w:color="auto"/>
              <w:right w:val="single" w:sz="6" w:space="0" w:color="auto"/>
            </w:tcBorders>
          </w:tcPr>
          <w:p w14:paraId="1CDF021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33,2</w:t>
            </w:r>
          </w:p>
        </w:tc>
        <w:tc>
          <w:tcPr>
            <w:tcW w:w="850" w:type="dxa"/>
            <w:tcBorders>
              <w:top w:val="single" w:sz="6" w:space="0" w:color="auto"/>
              <w:left w:val="single" w:sz="6" w:space="0" w:color="auto"/>
              <w:bottom w:val="single" w:sz="6" w:space="0" w:color="auto"/>
              <w:right w:val="single" w:sz="6" w:space="0" w:color="auto"/>
            </w:tcBorders>
          </w:tcPr>
          <w:p w14:paraId="325EE6B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851" w:type="dxa"/>
            <w:tcBorders>
              <w:top w:val="single" w:sz="6" w:space="0" w:color="auto"/>
              <w:left w:val="single" w:sz="6" w:space="0" w:color="auto"/>
              <w:bottom w:val="single" w:sz="6" w:space="0" w:color="auto"/>
              <w:right w:val="single" w:sz="6" w:space="0" w:color="auto"/>
            </w:tcBorders>
          </w:tcPr>
          <w:p w14:paraId="7DC50E0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24,4</w:t>
            </w:r>
          </w:p>
        </w:tc>
        <w:tc>
          <w:tcPr>
            <w:tcW w:w="850" w:type="dxa"/>
            <w:tcBorders>
              <w:top w:val="single" w:sz="6" w:space="0" w:color="auto"/>
              <w:left w:val="single" w:sz="6" w:space="0" w:color="auto"/>
              <w:bottom w:val="single" w:sz="6" w:space="0" w:color="auto"/>
              <w:right w:val="single" w:sz="6" w:space="0" w:color="auto"/>
            </w:tcBorders>
          </w:tcPr>
          <w:p w14:paraId="0BB935A9"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35,1</w:t>
            </w:r>
          </w:p>
        </w:tc>
        <w:tc>
          <w:tcPr>
            <w:tcW w:w="851" w:type="dxa"/>
            <w:tcBorders>
              <w:top w:val="single" w:sz="6" w:space="0" w:color="auto"/>
              <w:left w:val="single" w:sz="6" w:space="0" w:color="auto"/>
              <w:bottom w:val="single" w:sz="6" w:space="0" w:color="auto"/>
              <w:right w:val="single" w:sz="6" w:space="0" w:color="auto"/>
            </w:tcBorders>
          </w:tcPr>
          <w:p w14:paraId="5B4C509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31,9</w:t>
            </w:r>
          </w:p>
        </w:tc>
        <w:tc>
          <w:tcPr>
            <w:tcW w:w="981" w:type="dxa"/>
            <w:tcBorders>
              <w:top w:val="single" w:sz="6" w:space="0" w:color="auto"/>
              <w:left w:val="single" w:sz="6" w:space="0" w:color="auto"/>
              <w:bottom w:val="single" w:sz="6" w:space="0" w:color="auto"/>
              <w:right w:val="single" w:sz="6" w:space="0" w:color="auto"/>
            </w:tcBorders>
          </w:tcPr>
          <w:p w14:paraId="19BB78A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24,5</w:t>
            </w:r>
          </w:p>
        </w:tc>
      </w:tr>
      <w:tr w:rsidR="00117C0D" w:rsidRPr="003954D9" w14:paraId="0AB5FACF"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6632327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5 - rok</w:t>
            </w:r>
          </w:p>
        </w:tc>
        <w:tc>
          <w:tcPr>
            <w:tcW w:w="851" w:type="dxa"/>
            <w:tcBorders>
              <w:top w:val="single" w:sz="6" w:space="0" w:color="auto"/>
              <w:left w:val="single" w:sz="6" w:space="0" w:color="auto"/>
              <w:bottom w:val="single" w:sz="6" w:space="0" w:color="auto"/>
              <w:right w:val="single" w:sz="6" w:space="0" w:color="auto"/>
            </w:tcBorders>
          </w:tcPr>
          <w:p w14:paraId="2EC74B90" w14:textId="77777777" w:rsidR="00117C0D" w:rsidRPr="003954D9" w:rsidRDefault="00117C0D" w:rsidP="00117C0D">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19,0</w:t>
            </w:r>
          </w:p>
        </w:tc>
        <w:tc>
          <w:tcPr>
            <w:tcW w:w="992" w:type="dxa"/>
            <w:tcBorders>
              <w:top w:val="single" w:sz="6" w:space="0" w:color="auto"/>
              <w:left w:val="single" w:sz="6" w:space="0" w:color="auto"/>
              <w:bottom w:val="single" w:sz="6" w:space="0" w:color="auto"/>
              <w:right w:val="single" w:sz="6" w:space="0" w:color="auto"/>
            </w:tcBorders>
          </w:tcPr>
          <w:p w14:paraId="2EAA939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35,0</w:t>
            </w:r>
          </w:p>
        </w:tc>
        <w:tc>
          <w:tcPr>
            <w:tcW w:w="850" w:type="dxa"/>
            <w:tcBorders>
              <w:top w:val="single" w:sz="6" w:space="0" w:color="auto"/>
              <w:left w:val="single" w:sz="6" w:space="0" w:color="auto"/>
              <w:bottom w:val="single" w:sz="6" w:space="0" w:color="auto"/>
              <w:right w:val="single" w:sz="6" w:space="0" w:color="auto"/>
            </w:tcBorders>
          </w:tcPr>
          <w:p w14:paraId="60ED4E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36,6</w:t>
            </w:r>
          </w:p>
        </w:tc>
        <w:tc>
          <w:tcPr>
            <w:tcW w:w="709" w:type="dxa"/>
            <w:tcBorders>
              <w:top w:val="single" w:sz="6" w:space="0" w:color="auto"/>
              <w:left w:val="single" w:sz="6" w:space="0" w:color="auto"/>
              <w:bottom w:val="single" w:sz="6" w:space="0" w:color="auto"/>
              <w:right w:val="single" w:sz="6" w:space="0" w:color="auto"/>
            </w:tcBorders>
          </w:tcPr>
          <w:p w14:paraId="0AFA3EC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22,9</w:t>
            </w:r>
          </w:p>
        </w:tc>
        <w:tc>
          <w:tcPr>
            <w:tcW w:w="851" w:type="dxa"/>
            <w:tcBorders>
              <w:top w:val="single" w:sz="6" w:space="0" w:color="auto"/>
              <w:left w:val="single" w:sz="6" w:space="0" w:color="auto"/>
              <w:bottom w:val="single" w:sz="6" w:space="0" w:color="auto"/>
              <w:right w:val="single" w:sz="6" w:space="0" w:color="auto"/>
            </w:tcBorders>
          </w:tcPr>
          <w:p w14:paraId="3D474038"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40,1</w:t>
            </w:r>
          </w:p>
        </w:tc>
        <w:tc>
          <w:tcPr>
            <w:tcW w:w="850" w:type="dxa"/>
            <w:tcBorders>
              <w:top w:val="single" w:sz="6" w:space="0" w:color="auto"/>
              <w:left w:val="single" w:sz="6" w:space="0" w:color="auto"/>
              <w:bottom w:val="single" w:sz="6" w:space="0" w:color="auto"/>
              <w:right w:val="single" w:sz="6" w:space="0" w:color="auto"/>
            </w:tcBorders>
          </w:tcPr>
          <w:p w14:paraId="71777BB5"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FD1C70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21,7</w:t>
            </w:r>
          </w:p>
        </w:tc>
        <w:tc>
          <w:tcPr>
            <w:tcW w:w="850" w:type="dxa"/>
            <w:tcBorders>
              <w:top w:val="single" w:sz="6" w:space="0" w:color="auto"/>
              <w:left w:val="single" w:sz="6" w:space="0" w:color="auto"/>
              <w:bottom w:val="single" w:sz="6" w:space="0" w:color="auto"/>
              <w:right w:val="single" w:sz="6" w:space="0" w:color="auto"/>
            </w:tcBorders>
          </w:tcPr>
          <w:p w14:paraId="7DCCAC7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sz w:val="16"/>
                <w:szCs w:val="16"/>
              </w:rPr>
              <w:t>37,5</w:t>
            </w:r>
          </w:p>
        </w:tc>
        <w:tc>
          <w:tcPr>
            <w:tcW w:w="851" w:type="dxa"/>
            <w:tcBorders>
              <w:top w:val="single" w:sz="6" w:space="0" w:color="auto"/>
              <w:left w:val="single" w:sz="6" w:space="0" w:color="auto"/>
              <w:bottom w:val="single" w:sz="6" w:space="0" w:color="auto"/>
              <w:right w:val="single" w:sz="6" w:space="0" w:color="auto"/>
            </w:tcBorders>
          </w:tcPr>
          <w:p w14:paraId="3000F3B3"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981" w:type="dxa"/>
            <w:tcBorders>
              <w:top w:val="single" w:sz="6" w:space="0" w:color="auto"/>
              <w:left w:val="single" w:sz="6" w:space="0" w:color="auto"/>
              <w:bottom w:val="single" w:sz="6" w:space="0" w:color="auto"/>
              <w:right w:val="single" w:sz="6" w:space="0" w:color="auto"/>
            </w:tcBorders>
          </w:tcPr>
          <w:p w14:paraId="2F91E2C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20,5</w:t>
            </w:r>
          </w:p>
        </w:tc>
      </w:tr>
      <w:tr w:rsidR="00117C0D" w:rsidRPr="003954D9" w14:paraId="6AFB8CD4"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02639D1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Alla</w:t>
            </w:r>
          </w:p>
        </w:tc>
        <w:tc>
          <w:tcPr>
            <w:tcW w:w="851" w:type="dxa"/>
            <w:tcBorders>
              <w:top w:val="single" w:sz="6" w:space="0" w:color="auto"/>
              <w:left w:val="single" w:sz="6" w:space="0" w:color="auto"/>
              <w:bottom w:val="single" w:sz="6" w:space="0" w:color="auto"/>
              <w:right w:val="single" w:sz="6" w:space="0" w:color="auto"/>
            </w:tcBorders>
          </w:tcPr>
          <w:p w14:paraId="428F00B5"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24,7</w:t>
            </w:r>
          </w:p>
        </w:tc>
        <w:tc>
          <w:tcPr>
            <w:tcW w:w="992" w:type="dxa"/>
            <w:tcBorders>
              <w:top w:val="single" w:sz="6" w:space="0" w:color="auto"/>
              <w:left w:val="single" w:sz="6" w:space="0" w:color="auto"/>
              <w:bottom w:val="single" w:sz="6" w:space="0" w:color="auto"/>
              <w:right w:val="single" w:sz="6" w:space="0" w:color="auto"/>
            </w:tcBorders>
          </w:tcPr>
          <w:p w14:paraId="031AE8D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33,6</w:t>
            </w:r>
          </w:p>
        </w:tc>
        <w:tc>
          <w:tcPr>
            <w:tcW w:w="850" w:type="dxa"/>
            <w:tcBorders>
              <w:top w:val="single" w:sz="6" w:space="0" w:color="auto"/>
              <w:left w:val="single" w:sz="6" w:space="0" w:color="auto"/>
              <w:bottom w:val="single" w:sz="6" w:space="0" w:color="auto"/>
              <w:right w:val="single" w:sz="6" w:space="0" w:color="auto"/>
            </w:tcBorders>
          </w:tcPr>
          <w:p w14:paraId="3A6241D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34,0</w:t>
            </w:r>
          </w:p>
        </w:tc>
        <w:tc>
          <w:tcPr>
            <w:tcW w:w="709" w:type="dxa"/>
            <w:tcBorders>
              <w:top w:val="single" w:sz="6" w:space="0" w:color="auto"/>
              <w:left w:val="single" w:sz="6" w:space="0" w:color="auto"/>
              <w:bottom w:val="single" w:sz="6" w:space="0" w:color="auto"/>
              <w:right w:val="single" w:sz="6" w:space="0" w:color="auto"/>
            </w:tcBorders>
          </w:tcPr>
          <w:p w14:paraId="66858E0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26,5</w:t>
            </w:r>
          </w:p>
        </w:tc>
        <w:tc>
          <w:tcPr>
            <w:tcW w:w="851" w:type="dxa"/>
            <w:tcBorders>
              <w:top w:val="single" w:sz="6" w:space="0" w:color="auto"/>
              <w:left w:val="single" w:sz="6" w:space="0" w:color="auto"/>
              <w:bottom w:val="single" w:sz="6" w:space="0" w:color="auto"/>
              <w:right w:val="single" w:sz="6" w:space="0" w:color="auto"/>
            </w:tcBorders>
          </w:tcPr>
          <w:p w14:paraId="2CA5C19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35,7</w:t>
            </w:r>
          </w:p>
        </w:tc>
        <w:tc>
          <w:tcPr>
            <w:tcW w:w="850" w:type="dxa"/>
            <w:tcBorders>
              <w:top w:val="single" w:sz="6" w:space="0" w:color="auto"/>
              <w:left w:val="single" w:sz="6" w:space="0" w:color="auto"/>
              <w:bottom w:val="single" w:sz="6" w:space="0" w:color="auto"/>
              <w:right w:val="single" w:sz="6" w:space="0" w:color="auto"/>
            </w:tcBorders>
          </w:tcPr>
          <w:p w14:paraId="6E006FA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29,3</w:t>
            </w:r>
          </w:p>
        </w:tc>
        <w:tc>
          <w:tcPr>
            <w:tcW w:w="851" w:type="dxa"/>
            <w:tcBorders>
              <w:top w:val="single" w:sz="6" w:space="0" w:color="auto"/>
              <w:left w:val="single" w:sz="6" w:space="0" w:color="auto"/>
              <w:bottom w:val="single" w:sz="6" w:space="0" w:color="auto"/>
              <w:right w:val="single" w:sz="6" w:space="0" w:color="auto"/>
            </w:tcBorders>
          </w:tcPr>
          <w:p w14:paraId="21C95E6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26,3</w:t>
            </w:r>
          </w:p>
        </w:tc>
        <w:tc>
          <w:tcPr>
            <w:tcW w:w="850" w:type="dxa"/>
            <w:tcBorders>
              <w:top w:val="single" w:sz="6" w:space="0" w:color="auto"/>
              <w:left w:val="single" w:sz="6" w:space="0" w:color="auto"/>
              <w:bottom w:val="single" w:sz="6" w:space="0" w:color="auto"/>
              <w:right w:val="single" w:sz="6" w:space="0" w:color="auto"/>
            </w:tcBorders>
          </w:tcPr>
          <w:p w14:paraId="4537300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33,8</w:t>
            </w:r>
          </w:p>
        </w:tc>
        <w:tc>
          <w:tcPr>
            <w:tcW w:w="851" w:type="dxa"/>
            <w:tcBorders>
              <w:top w:val="single" w:sz="6" w:space="0" w:color="auto"/>
              <w:left w:val="single" w:sz="6" w:space="0" w:color="auto"/>
              <w:bottom w:val="single" w:sz="6" w:space="0" w:color="auto"/>
              <w:right w:val="single" w:sz="6" w:space="0" w:color="auto"/>
            </w:tcBorders>
          </w:tcPr>
          <w:p w14:paraId="7139F5CC"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36,3</w:t>
            </w:r>
          </w:p>
        </w:tc>
        <w:tc>
          <w:tcPr>
            <w:tcW w:w="981" w:type="dxa"/>
            <w:tcBorders>
              <w:top w:val="single" w:sz="6" w:space="0" w:color="auto"/>
              <w:left w:val="single" w:sz="6" w:space="0" w:color="auto"/>
              <w:bottom w:val="single" w:sz="6" w:space="0" w:color="auto"/>
              <w:right w:val="single" w:sz="6" w:space="0" w:color="auto"/>
            </w:tcBorders>
          </w:tcPr>
          <w:p w14:paraId="579785F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27,7</w:t>
            </w:r>
          </w:p>
        </w:tc>
      </w:tr>
    </w:tbl>
    <w:p w14:paraId="4F568605" w14:textId="77777777" w:rsidR="00117C0D" w:rsidRPr="003954D9" w:rsidRDefault="00117C0D" w:rsidP="00117C0D">
      <w:pPr>
        <w:rPr>
          <w:sz w:val="16"/>
          <w:szCs w:val="16"/>
        </w:rPr>
      </w:pPr>
      <w:r w:rsidRPr="003954D9">
        <w:rPr>
          <w:b/>
          <w:color w:val="FF6600"/>
          <w:sz w:val="16"/>
          <w:szCs w:val="16"/>
        </w:rPr>
        <w:t>Röd färg högsta</w:t>
      </w:r>
      <w:r w:rsidRPr="003954D9">
        <w:rPr>
          <w:color w:val="FF6600"/>
          <w:sz w:val="16"/>
          <w:szCs w:val="16"/>
        </w:rPr>
        <w:t xml:space="preserve"> </w:t>
      </w:r>
      <w:r w:rsidRPr="003954D9">
        <w:rPr>
          <w:sz w:val="16"/>
          <w:szCs w:val="16"/>
        </w:rPr>
        <w:t xml:space="preserve">och </w:t>
      </w:r>
      <w:r w:rsidRPr="003954D9">
        <w:rPr>
          <w:b/>
          <w:color w:val="548DD4" w:themeColor="text2" w:themeTint="99"/>
          <w:sz w:val="16"/>
          <w:szCs w:val="16"/>
        </w:rPr>
        <w:t>blå färg lägsta</w:t>
      </w:r>
      <w:r w:rsidRPr="003954D9">
        <w:rPr>
          <w:sz w:val="16"/>
          <w:szCs w:val="16"/>
        </w:rPr>
        <w:t xml:space="preserve"> värde i grupp.</w:t>
      </w:r>
    </w:p>
    <w:p w14:paraId="29F1CEA6" w14:textId="30A03A69"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6:3: Lägenhetstyp, boendeyta per person och stadsdel</w:t>
      </w:r>
    </w:p>
    <w:tbl>
      <w:tblPr>
        <w:tblW w:w="0" w:type="auto"/>
        <w:tblInd w:w="-38" w:type="dxa"/>
        <w:tblLayout w:type="fixed"/>
        <w:tblLook w:val="0000" w:firstRow="0" w:lastRow="0" w:firstColumn="0" w:lastColumn="0" w:noHBand="0" w:noVBand="0"/>
      </w:tblPr>
      <w:tblGrid>
        <w:gridCol w:w="739"/>
        <w:gridCol w:w="851"/>
        <w:gridCol w:w="992"/>
        <w:gridCol w:w="850"/>
        <w:gridCol w:w="709"/>
        <w:gridCol w:w="851"/>
        <w:gridCol w:w="850"/>
        <w:gridCol w:w="851"/>
        <w:gridCol w:w="850"/>
        <w:gridCol w:w="851"/>
        <w:gridCol w:w="981"/>
      </w:tblGrid>
      <w:tr w:rsidR="00117C0D" w:rsidRPr="003954D9" w14:paraId="7B3FD408"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3C917BE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w:t>
            </w:r>
            <w:proofErr w:type="spellStart"/>
            <w:r w:rsidRPr="003954D9">
              <w:rPr>
                <w:rFonts w:ascii="Calibri" w:hAnsi="Calibri" w:cs="Calibri"/>
                <w:b/>
                <w:bCs/>
                <w:color w:val="000000"/>
                <w:sz w:val="16"/>
                <w:szCs w:val="16"/>
              </w:rPr>
              <w:t>hetstyp</w:t>
            </w:r>
            <w:proofErr w:type="spellEnd"/>
          </w:p>
        </w:tc>
        <w:tc>
          <w:tcPr>
            <w:tcW w:w="851" w:type="dxa"/>
            <w:tcBorders>
              <w:top w:val="single" w:sz="6" w:space="0" w:color="auto"/>
              <w:left w:val="single" w:sz="6" w:space="0" w:color="auto"/>
              <w:bottom w:val="single" w:sz="6" w:space="0" w:color="auto"/>
              <w:right w:val="single" w:sz="6" w:space="0" w:color="auto"/>
            </w:tcBorders>
          </w:tcPr>
          <w:p w14:paraId="344B900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92" w:type="dxa"/>
            <w:tcBorders>
              <w:top w:val="single" w:sz="6" w:space="0" w:color="auto"/>
              <w:left w:val="single" w:sz="6" w:space="0" w:color="auto"/>
              <w:bottom w:val="single" w:sz="6" w:space="0" w:color="auto"/>
              <w:right w:val="single" w:sz="6" w:space="0" w:color="auto"/>
            </w:tcBorders>
          </w:tcPr>
          <w:p w14:paraId="51E15C7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50" w:type="dxa"/>
            <w:tcBorders>
              <w:top w:val="single" w:sz="6" w:space="0" w:color="auto"/>
              <w:left w:val="single" w:sz="6" w:space="0" w:color="auto"/>
              <w:bottom w:val="single" w:sz="6" w:space="0" w:color="auto"/>
              <w:right w:val="single" w:sz="6" w:space="0" w:color="auto"/>
            </w:tcBorders>
          </w:tcPr>
          <w:p w14:paraId="4DA45D9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9" w:type="dxa"/>
            <w:tcBorders>
              <w:top w:val="single" w:sz="6" w:space="0" w:color="auto"/>
              <w:left w:val="single" w:sz="6" w:space="0" w:color="auto"/>
              <w:bottom w:val="single" w:sz="6" w:space="0" w:color="auto"/>
              <w:right w:val="single" w:sz="6" w:space="0" w:color="auto"/>
            </w:tcBorders>
          </w:tcPr>
          <w:p w14:paraId="35A6BA4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51" w:type="dxa"/>
            <w:tcBorders>
              <w:top w:val="single" w:sz="6" w:space="0" w:color="auto"/>
              <w:left w:val="single" w:sz="6" w:space="0" w:color="auto"/>
              <w:bottom w:val="single" w:sz="6" w:space="0" w:color="auto"/>
              <w:right w:val="single" w:sz="6" w:space="0" w:color="auto"/>
            </w:tcBorders>
          </w:tcPr>
          <w:p w14:paraId="5845028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850" w:type="dxa"/>
            <w:tcBorders>
              <w:top w:val="single" w:sz="6" w:space="0" w:color="auto"/>
              <w:left w:val="single" w:sz="6" w:space="0" w:color="auto"/>
              <w:bottom w:val="single" w:sz="6" w:space="0" w:color="auto"/>
              <w:right w:val="single" w:sz="6" w:space="0" w:color="auto"/>
            </w:tcBorders>
          </w:tcPr>
          <w:p w14:paraId="6A7E822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51" w:type="dxa"/>
            <w:tcBorders>
              <w:top w:val="single" w:sz="6" w:space="0" w:color="auto"/>
              <w:left w:val="single" w:sz="6" w:space="0" w:color="auto"/>
              <w:bottom w:val="single" w:sz="6" w:space="0" w:color="auto"/>
              <w:right w:val="single" w:sz="6" w:space="0" w:color="auto"/>
            </w:tcBorders>
          </w:tcPr>
          <w:p w14:paraId="12540A3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50" w:type="dxa"/>
            <w:tcBorders>
              <w:top w:val="single" w:sz="6" w:space="0" w:color="auto"/>
              <w:left w:val="single" w:sz="6" w:space="0" w:color="auto"/>
              <w:bottom w:val="single" w:sz="6" w:space="0" w:color="auto"/>
              <w:right w:val="single" w:sz="6" w:space="0" w:color="auto"/>
            </w:tcBorders>
          </w:tcPr>
          <w:p w14:paraId="3D18464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674D066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81" w:type="dxa"/>
            <w:tcBorders>
              <w:top w:val="single" w:sz="6" w:space="0" w:color="auto"/>
              <w:left w:val="single" w:sz="6" w:space="0" w:color="auto"/>
              <w:bottom w:val="single" w:sz="6" w:space="0" w:color="auto"/>
              <w:right w:val="single" w:sz="6" w:space="0" w:color="auto"/>
            </w:tcBorders>
          </w:tcPr>
          <w:p w14:paraId="10FAA95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117C0D" w:rsidRPr="003954D9" w14:paraId="71F7B9E9"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5AB63E27"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1 rokv</w:t>
            </w:r>
          </w:p>
        </w:tc>
        <w:tc>
          <w:tcPr>
            <w:tcW w:w="851" w:type="dxa"/>
            <w:tcBorders>
              <w:top w:val="single" w:sz="6" w:space="0" w:color="auto"/>
              <w:left w:val="single" w:sz="6" w:space="0" w:color="auto"/>
              <w:bottom w:val="single" w:sz="6" w:space="0" w:color="auto"/>
              <w:right w:val="single" w:sz="6" w:space="0" w:color="auto"/>
            </w:tcBorders>
          </w:tcPr>
          <w:p w14:paraId="1C7B32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22,6</w:t>
            </w:r>
          </w:p>
        </w:tc>
        <w:tc>
          <w:tcPr>
            <w:tcW w:w="992" w:type="dxa"/>
            <w:tcBorders>
              <w:top w:val="single" w:sz="6" w:space="0" w:color="auto"/>
              <w:left w:val="single" w:sz="6" w:space="0" w:color="auto"/>
              <w:bottom w:val="single" w:sz="6" w:space="0" w:color="auto"/>
              <w:right w:val="single" w:sz="6" w:space="0" w:color="auto"/>
            </w:tcBorders>
          </w:tcPr>
          <w:p w14:paraId="3D573F7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25,3</w:t>
            </w:r>
          </w:p>
        </w:tc>
        <w:tc>
          <w:tcPr>
            <w:tcW w:w="850" w:type="dxa"/>
            <w:tcBorders>
              <w:top w:val="single" w:sz="6" w:space="0" w:color="auto"/>
              <w:left w:val="single" w:sz="6" w:space="0" w:color="auto"/>
              <w:bottom w:val="single" w:sz="6" w:space="0" w:color="auto"/>
              <w:right w:val="single" w:sz="6" w:space="0" w:color="auto"/>
            </w:tcBorders>
          </w:tcPr>
          <w:p w14:paraId="572A0C1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23,2</w:t>
            </w:r>
          </w:p>
        </w:tc>
        <w:tc>
          <w:tcPr>
            <w:tcW w:w="709" w:type="dxa"/>
            <w:tcBorders>
              <w:top w:val="single" w:sz="6" w:space="0" w:color="auto"/>
              <w:left w:val="single" w:sz="6" w:space="0" w:color="auto"/>
              <w:bottom w:val="single" w:sz="6" w:space="0" w:color="auto"/>
              <w:right w:val="single" w:sz="6" w:space="0" w:color="auto"/>
            </w:tcBorders>
          </w:tcPr>
          <w:p w14:paraId="031EF57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21,2</w:t>
            </w:r>
          </w:p>
        </w:tc>
        <w:tc>
          <w:tcPr>
            <w:tcW w:w="851" w:type="dxa"/>
            <w:tcBorders>
              <w:top w:val="single" w:sz="6" w:space="0" w:color="auto"/>
              <w:left w:val="single" w:sz="6" w:space="0" w:color="auto"/>
              <w:bottom w:val="single" w:sz="6" w:space="0" w:color="auto"/>
              <w:right w:val="single" w:sz="6" w:space="0" w:color="auto"/>
            </w:tcBorders>
          </w:tcPr>
          <w:p w14:paraId="55BAF28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25,3</w:t>
            </w:r>
          </w:p>
        </w:tc>
        <w:tc>
          <w:tcPr>
            <w:tcW w:w="850" w:type="dxa"/>
            <w:tcBorders>
              <w:top w:val="single" w:sz="6" w:space="0" w:color="auto"/>
              <w:left w:val="single" w:sz="6" w:space="0" w:color="auto"/>
              <w:bottom w:val="single" w:sz="6" w:space="0" w:color="auto"/>
              <w:right w:val="single" w:sz="6" w:space="0" w:color="auto"/>
            </w:tcBorders>
          </w:tcPr>
          <w:p w14:paraId="7FF5FB67" w14:textId="77777777" w:rsidR="00117C0D" w:rsidRPr="003954D9" w:rsidRDefault="00117C0D" w:rsidP="00117C0D">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16,7</w:t>
            </w:r>
          </w:p>
        </w:tc>
        <w:tc>
          <w:tcPr>
            <w:tcW w:w="851" w:type="dxa"/>
            <w:tcBorders>
              <w:top w:val="single" w:sz="6" w:space="0" w:color="auto"/>
              <w:left w:val="single" w:sz="6" w:space="0" w:color="auto"/>
              <w:bottom w:val="single" w:sz="6" w:space="0" w:color="auto"/>
              <w:right w:val="single" w:sz="6" w:space="0" w:color="auto"/>
            </w:tcBorders>
          </w:tcPr>
          <w:p w14:paraId="1ABAACA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c>
          <w:tcPr>
            <w:tcW w:w="850" w:type="dxa"/>
            <w:tcBorders>
              <w:top w:val="single" w:sz="6" w:space="0" w:color="auto"/>
              <w:left w:val="single" w:sz="6" w:space="0" w:color="auto"/>
              <w:bottom w:val="single" w:sz="6" w:space="0" w:color="auto"/>
              <w:right w:val="single" w:sz="6" w:space="0" w:color="auto"/>
            </w:tcBorders>
          </w:tcPr>
          <w:p w14:paraId="067D936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20,3</w:t>
            </w:r>
          </w:p>
        </w:tc>
        <w:tc>
          <w:tcPr>
            <w:tcW w:w="851" w:type="dxa"/>
            <w:tcBorders>
              <w:top w:val="single" w:sz="6" w:space="0" w:color="auto"/>
              <w:left w:val="single" w:sz="6" w:space="0" w:color="auto"/>
              <w:bottom w:val="single" w:sz="6" w:space="0" w:color="auto"/>
              <w:right w:val="single" w:sz="6" w:space="0" w:color="auto"/>
            </w:tcBorders>
          </w:tcPr>
          <w:p w14:paraId="1A8C9403"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36,9</w:t>
            </w:r>
          </w:p>
        </w:tc>
        <w:tc>
          <w:tcPr>
            <w:tcW w:w="981" w:type="dxa"/>
            <w:tcBorders>
              <w:top w:val="single" w:sz="6" w:space="0" w:color="auto"/>
              <w:left w:val="single" w:sz="6" w:space="0" w:color="auto"/>
              <w:bottom w:val="single" w:sz="6" w:space="0" w:color="auto"/>
              <w:right w:val="single" w:sz="6" w:space="0" w:color="auto"/>
            </w:tcBorders>
          </w:tcPr>
          <w:p w14:paraId="1E16F66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18,2</w:t>
            </w:r>
          </w:p>
        </w:tc>
      </w:tr>
      <w:tr w:rsidR="00117C0D" w:rsidRPr="003954D9" w14:paraId="7CDE5B81"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47A4207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w:t>
            </w:r>
          </w:p>
        </w:tc>
        <w:tc>
          <w:tcPr>
            <w:tcW w:w="851" w:type="dxa"/>
            <w:tcBorders>
              <w:top w:val="single" w:sz="6" w:space="0" w:color="auto"/>
              <w:left w:val="single" w:sz="6" w:space="0" w:color="auto"/>
              <w:bottom w:val="single" w:sz="6" w:space="0" w:color="auto"/>
              <w:right w:val="single" w:sz="6" w:space="0" w:color="auto"/>
            </w:tcBorders>
          </w:tcPr>
          <w:p w14:paraId="7E7D988A"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26,5</w:t>
            </w:r>
          </w:p>
        </w:tc>
        <w:tc>
          <w:tcPr>
            <w:tcW w:w="992" w:type="dxa"/>
            <w:tcBorders>
              <w:top w:val="single" w:sz="6" w:space="0" w:color="auto"/>
              <w:left w:val="single" w:sz="6" w:space="0" w:color="auto"/>
              <w:bottom w:val="single" w:sz="6" w:space="0" w:color="auto"/>
              <w:right w:val="single" w:sz="6" w:space="0" w:color="auto"/>
            </w:tcBorders>
          </w:tcPr>
          <w:p w14:paraId="3351F24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30,4</w:t>
            </w:r>
          </w:p>
        </w:tc>
        <w:tc>
          <w:tcPr>
            <w:tcW w:w="850" w:type="dxa"/>
            <w:tcBorders>
              <w:top w:val="single" w:sz="6" w:space="0" w:color="auto"/>
              <w:left w:val="single" w:sz="6" w:space="0" w:color="auto"/>
              <w:bottom w:val="single" w:sz="6" w:space="0" w:color="auto"/>
              <w:right w:val="single" w:sz="6" w:space="0" w:color="auto"/>
            </w:tcBorders>
          </w:tcPr>
          <w:p w14:paraId="69C74E8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29,7</w:t>
            </w:r>
          </w:p>
        </w:tc>
        <w:tc>
          <w:tcPr>
            <w:tcW w:w="709" w:type="dxa"/>
            <w:tcBorders>
              <w:top w:val="single" w:sz="6" w:space="0" w:color="auto"/>
              <w:left w:val="single" w:sz="6" w:space="0" w:color="auto"/>
              <w:bottom w:val="single" w:sz="6" w:space="0" w:color="auto"/>
              <w:right w:val="single" w:sz="6" w:space="0" w:color="auto"/>
            </w:tcBorders>
          </w:tcPr>
          <w:p w14:paraId="1E1B68C2"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38,4</w:t>
            </w:r>
          </w:p>
        </w:tc>
        <w:tc>
          <w:tcPr>
            <w:tcW w:w="851" w:type="dxa"/>
            <w:tcBorders>
              <w:top w:val="single" w:sz="6" w:space="0" w:color="auto"/>
              <w:left w:val="single" w:sz="6" w:space="0" w:color="auto"/>
              <w:bottom w:val="single" w:sz="6" w:space="0" w:color="auto"/>
              <w:right w:val="single" w:sz="6" w:space="0" w:color="auto"/>
            </w:tcBorders>
          </w:tcPr>
          <w:p w14:paraId="1C8E8F4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32,6</w:t>
            </w:r>
          </w:p>
        </w:tc>
        <w:tc>
          <w:tcPr>
            <w:tcW w:w="850" w:type="dxa"/>
            <w:tcBorders>
              <w:top w:val="single" w:sz="6" w:space="0" w:color="auto"/>
              <w:left w:val="single" w:sz="6" w:space="0" w:color="auto"/>
              <w:bottom w:val="single" w:sz="6" w:space="0" w:color="auto"/>
              <w:right w:val="single" w:sz="6" w:space="0" w:color="auto"/>
            </w:tcBorders>
          </w:tcPr>
          <w:p w14:paraId="241C58F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30,3</w:t>
            </w:r>
          </w:p>
        </w:tc>
        <w:tc>
          <w:tcPr>
            <w:tcW w:w="851" w:type="dxa"/>
            <w:tcBorders>
              <w:top w:val="single" w:sz="6" w:space="0" w:color="auto"/>
              <w:left w:val="single" w:sz="6" w:space="0" w:color="auto"/>
              <w:bottom w:val="single" w:sz="6" w:space="0" w:color="auto"/>
              <w:right w:val="single" w:sz="6" w:space="0" w:color="auto"/>
            </w:tcBorders>
          </w:tcPr>
          <w:p w14:paraId="6E8E977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33,2</w:t>
            </w:r>
          </w:p>
        </w:tc>
        <w:tc>
          <w:tcPr>
            <w:tcW w:w="850" w:type="dxa"/>
            <w:tcBorders>
              <w:top w:val="single" w:sz="6" w:space="0" w:color="auto"/>
              <w:left w:val="single" w:sz="6" w:space="0" w:color="auto"/>
              <w:bottom w:val="single" w:sz="6" w:space="0" w:color="auto"/>
              <w:right w:val="single" w:sz="6" w:space="0" w:color="auto"/>
            </w:tcBorders>
          </w:tcPr>
          <w:p w14:paraId="6F56450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28,4</w:t>
            </w:r>
          </w:p>
        </w:tc>
        <w:tc>
          <w:tcPr>
            <w:tcW w:w="851" w:type="dxa"/>
            <w:tcBorders>
              <w:top w:val="single" w:sz="6" w:space="0" w:color="auto"/>
              <w:left w:val="single" w:sz="6" w:space="0" w:color="auto"/>
              <w:bottom w:val="single" w:sz="6" w:space="0" w:color="auto"/>
              <w:right w:val="single" w:sz="6" w:space="0" w:color="auto"/>
            </w:tcBorders>
          </w:tcPr>
          <w:p w14:paraId="5BA283B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30,2</w:t>
            </w:r>
          </w:p>
        </w:tc>
        <w:tc>
          <w:tcPr>
            <w:tcW w:w="981" w:type="dxa"/>
            <w:tcBorders>
              <w:top w:val="single" w:sz="6" w:space="0" w:color="auto"/>
              <w:left w:val="single" w:sz="6" w:space="0" w:color="auto"/>
              <w:bottom w:val="single" w:sz="6" w:space="0" w:color="auto"/>
              <w:right w:val="single" w:sz="6" w:space="0" w:color="auto"/>
            </w:tcBorders>
          </w:tcPr>
          <w:p w14:paraId="04A3040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29,2</w:t>
            </w:r>
          </w:p>
        </w:tc>
      </w:tr>
      <w:tr w:rsidR="00117C0D" w:rsidRPr="003954D9" w14:paraId="3C63B8F9"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7969515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rokv</w:t>
            </w:r>
          </w:p>
        </w:tc>
        <w:tc>
          <w:tcPr>
            <w:tcW w:w="851" w:type="dxa"/>
            <w:tcBorders>
              <w:top w:val="single" w:sz="6" w:space="0" w:color="auto"/>
              <w:left w:val="single" w:sz="6" w:space="0" w:color="auto"/>
              <w:bottom w:val="single" w:sz="6" w:space="0" w:color="auto"/>
              <w:right w:val="single" w:sz="6" w:space="0" w:color="auto"/>
            </w:tcBorders>
          </w:tcPr>
          <w:p w14:paraId="5862124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26,0</w:t>
            </w:r>
          </w:p>
        </w:tc>
        <w:tc>
          <w:tcPr>
            <w:tcW w:w="992" w:type="dxa"/>
            <w:tcBorders>
              <w:top w:val="single" w:sz="6" w:space="0" w:color="auto"/>
              <w:left w:val="single" w:sz="6" w:space="0" w:color="auto"/>
              <w:bottom w:val="single" w:sz="6" w:space="0" w:color="auto"/>
              <w:right w:val="single" w:sz="6" w:space="0" w:color="auto"/>
            </w:tcBorders>
          </w:tcPr>
          <w:p w14:paraId="4563228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30,9</w:t>
            </w:r>
          </w:p>
        </w:tc>
        <w:tc>
          <w:tcPr>
            <w:tcW w:w="850" w:type="dxa"/>
            <w:tcBorders>
              <w:top w:val="single" w:sz="6" w:space="0" w:color="auto"/>
              <w:left w:val="single" w:sz="6" w:space="0" w:color="auto"/>
              <w:bottom w:val="single" w:sz="6" w:space="0" w:color="auto"/>
              <w:right w:val="single" w:sz="6" w:space="0" w:color="auto"/>
            </w:tcBorders>
          </w:tcPr>
          <w:p w14:paraId="072F6F0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sz w:val="16"/>
                <w:szCs w:val="16"/>
              </w:rPr>
              <w:t>35,8</w:t>
            </w:r>
          </w:p>
        </w:tc>
        <w:tc>
          <w:tcPr>
            <w:tcW w:w="709" w:type="dxa"/>
            <w:tcBorders>
              <w:top w:val="single" w:sz="6" w:space="0" w:color="auto"/>
              <w:left w:val="single" w:sz="6" w:space="0" w:color="auto"/>
              <w:bottom w:val="single" w:sz="6" w:space="0" w:color="auto"/>
              <w:right w:val="single" w:sz="6" w:space="0" w:color="auto"/>
            </w:tcBorders>
          </w:tcPr>
          <w:p w14:paraId="41C23F6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26,2</w:t>
            </w:r>
          </w:p>
        </w:tc>
        <w:tc>
          <w:tcPr>
            <w:tcW w:w="851" w:type="dxa"/>
            <w:tcBorders>
              <w:top w:val="single" w:sz="6" w:space="0" w:color="auto"/>
              <w:left w:val="single" w:sz="6" w:space="0" w:color="auto"/>
              <w:bottom w:val="single" w:sz="6" w:space="0" w:color="auto"/>
              <w:right w:val="single" w:sz="6" w:space="0" w:color="auto"/>
            </w:tcBorders>
          </w:tcPr>
          <w:p w14:paraId="5407E5B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sz w:val="16"/>
                <w:szCs w:val="16"/>
              </w:rPr>
              <w:t>35,7</w:t>
            </w:r>
          </w:p>
        </w:tc>
        <w:tc>
          <w:tcPr>
            <w:tcW w:w="850" w:type="dxa"/>
            <w:tcBorders>
              <w:top w:val="single" w:sz="6" w:space="0" w:color="auto"/>
              <w:left w:val="single" w:sz="6" w:space="0" w:color="auto"/>
              <w:bottom w:val="single" w:sz="6" w:space="0" w:color="auto"/>
              <w:right w:val="single" w:sz="6" w:space="0" w:color="auto"/>
            </w:tcBorders>
          </w:tcPr>
          <w:p w14:paraId="4E04119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25,0</w:t>
            </w:r>
          </w:p>
        </w:tc>
        <w:tc>
          <w:tcPr>
            <w:tcW w:w="851" w:type="dxa"/>
            <w:tcBorders>
              <w:top w:val="single" w:sz="6" w:space="0" w:color="auto"/>
              <w:left w:val="single" w:sz="6" w:space="0" w:color="auto"/>
              <w:bottom w:val="single" w:sz="6" w:space="0" w:color="auto"/>
              <w:right w:val="single" w:sz="6" w:space="0" w:color="auto"/>
            </w:tcBorders>
          </w:tcPr>
          <w:p w14:paraId="0D22C617"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0A160EBD"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35,9</w:t>
            </w:r>
          </w:p>
        </w:tc>
        <w:tc>
          <w:tcPr>
            <w:tcW w:w="851" w:type="dxa"/>
            <w:tcBorders>
              <w:top w:val="single" w:sz="6" w:space="0" w:color="auto"/>
              <w:left w:val="single" w:sz="6" w:space="0" w:color="auto"/>
              <w:bottom w:val="single" w:sz="6" w:space="0" w:color="auto"/>
              <w:right w:val="single" w:sz="6" w:space="0" w:color="auto"/>
            </w:tcBorders>
          </w:tcPr>
          <w:p w14:paraId="0B402CD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31,2</w:t>
            </w:r>
          </w:p>
        </w:tc>
        <w:tc>
          <w:tcPr>
            <w:tcW w:w="981" w:type="dxa"/>
            <w:tcBorders>
              <w:top w:val="single" w:sz="6" w:space="0" w:color="auto"/>
              <w:left w:val="single" w:sz="6" w:space="0" w:color="auto"/>
              <w:bottom w:val="single" w:sz="6" w:space="0" w:color="auto"/>
              <w:right w:val="single" w:sz="6" w:space="0" w:color="auto"/>
            </w:tcBorders>
          </w:tcPr>
          <w:p w14:paraId="38053F8C"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24,9</w:t>
            </w:r>
          </w:p>
        </w:tc>
      </w:tr>
      <w:tr w:rsidR="00117C0D" w:rsidRPr="003954D9" w14:paraId="3021B808"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58BBFD8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w:t>
            </w:r>
          </w:p>
        </w:tc>
        <w:tc>
          <w:tcPr>
            <w:tcW w:w="851" w:type="dxa"/>
            <w:tcBorders>
              <w:top w:val="single" w:sz="6" w:space="0" w:color="auto"/>
              <w:left w:val="single" w:sz="6" w:space="0" w:color="auto"/>
              <w:bottom w:val="single" w:sz="6" w:space="0" w:color="auto"/>
              <w:right w:val="single" w:sz="6" w:space="0" w:color="auto"/>
            </w:tcBorders>
          </w:tcPr>
          <w:p w14:paraId="3EF8F78F"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30,2</w:t>
            </w:r>
          </w:p>
        </w:tc>
        <w:tc>
          <w:tcPr>
            <w:tcW w:w="992" w:type="dxa"/>
            <w:tcBorders>
              <w:top w:val="single" w:sz="6" w:space="0" w:color="auto"/>
              <w:left w:val="single" w:sz="6" w:space="0" w:color="auto"/>
              <w:bottom w:val="single" w:sz="6" w:space="0" w:color="auto"/>
              <w:right w:val="single" w:sz="6" w:space="0" w:color="auto"/>
            </w:tcBorders>
          </w:tcPr>
          <w:p w14:paraId="703DFD8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43,7</w:t>
            </w:r>
          </w:p>
        </w:tc>
        <w:tc>
          <w:tcPr>
            <w:tcW w:w="850" w:type="dxa"/>
            <w:tcBorders>
              <w:top w:val="single" w:sz="6" w:space="0" w:color="auto"/>
              <w:left w:val="single" w:sz="6" w:space="0" w:color="auto"/>
              <w:bottom w:val="single" w:sz="6" w:space="0" w:color="auto"/>
              <w:right w:val="single" w:sz="6" w:space="0" w:color="auto"/>
            </w:tcBorders>
          </w:tcPr>
          <w:p w14:paraId="15349A1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37,8</w:t>
            </w:r>
          </w:p>
        </w:tc>
        <w:tc>
          <w:tcPr>
            <w:tcW w:w="709" w:type="dxa"/>
            <w:tcBorders>
              <w:top w:val="single" w:sz="6" w:space="0" w:color="auto"/>
              <w:left w:val="single" w:sz="6" w:space="0" w:color="auto"/>
              <w:bottom w:val="single" w:sz="6" w:space="0" w:color="auto"/>
              <w:right w:val="single" w:sz="6" w:space="0" w:color="auto"/>
            </w:tcBorders>
          </w:tcPr>
          <w:p w14:paraId="1E08EB2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32,6</w:t>
            </w:r>
          </w:p>
        </w:tc>
        <w:tc>
          <w:tcPr>
            <w:tcW w:w="851" w:type="dxa"/>
            <w:tcBorders>
              <w:top w:val="single" w:sz="6" w:space="0" w:color="auto"/>
              <w:left w:val="single" w:sz="6" w:space="0" w:color="auto"/>
              <w:bottom w:val="single" w:sz="6" w:space="0" w:color="auto"/>
              <w:right w:val="single" w:sz="6" w:space="0" w:color="auto"/>
            </w:tcBorders>
          </w:tcPr>
          <w:p w14:paraId="57312B5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38,3</w:t>
            </w:r>
          </w:p>
        </w:tc>
        <w:tc>
          <w:tcPr>
            <w:tcW w:w="850" w:type="dxa"/>
            <w:tcBorders>
              <w:top w:val="single" w:sz="6" w:space="0" w:color="auto"/>
              <w:left w:val="single" w:sz="6" w:space="0" w:color="auto"/>
              <w:bottom w:val="single" w:sz="6" w:space="0" w:color="auto"/>
              <w:right w:val="single" w:sz="6" w:space="0" w:color="auto"/>
            </w:tcBorders>
          </w:tcPr>
          <w:p w14:paraId="1458F7C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39,1</w:t>
            </w:r>
          </w:p>
        </w:tc>
        <w:tc>
          <w:tcPr>
            <w:tcW w:w="851" w:type="dxa"/>
            <w:tcBorders>
              <w:top w:val="single" w:sz="6" w:space="0" w:color="auto"/>
              <w:left w:val="single" w:sz="6" w:space="0" w:color="auto"/>
              <w:bottom w:val="single" w:sz="6" w:space="0" w:color="auto"/>
              <w:right w:val="single" w:sz="6" w:space="0" w:color="auto"/>
            </w:tcBorders>
          </w:tcPr>
          <w:p w14:paraId="3426969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33,3</w:t>
            </w:r>
          </w:p>
        </w:tc>
        <w:tc>
          <w:tcPr>
            <w:tcW w:w="850" w:type="dxa"/>
            <w:tcBorders>
              <w:top w:val="single" w:sz="6" w:space="0" w:color="auto"/>
              <w:left w:val="single" w:sz="6" w:space="0" w:color="auto"/>
              <w:bottom w:val="single" w:sz="6" w:space="0" w:color="auto"/>
              <w:right w:val="single" w:sz="6" w:space="0" w:color="auto"/>
            </w:tcBorders>
          </w:tcPr>
          <w:p w14:paraId="476AE32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36,7</w:t>
            </w:r>
          </w:p>
        </w:tc>
        <w:tc>
          <w:tcPr>
            <w:tcW w:w="851" w:type="dxa"/>
            <w:tcBorders>
              <w:top w:val="single" w:sz="6" w:space="0" w:color="auto"/>
              <w:left w:val="single" w:sz="6" w:space="0" w:color="auto"/>
              <w:bottom w:val="single" w:sz="6" w:space="0" w:color="auto"/>
              <w:right w:val="single" w:sz="6" w:space="0" w:color="auto"/>
            </w:tcBorders>
          </w:tcPr>
          <w:p w14:paraId="6A99755B"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45,2</w:t>
            </w:r>
          </w:p>
        </w:tc>
        <w:tc>
          <w:tcPr>
            <w:tcW w:w="981" w:type="dxa"/>
            <w:tcBorders>
              <w:top w:val="single" w:sz="6" w:space="0" w:color="auto"/>
              <w:left w:val="single" w:sz="6" w:space="0" w:color="auto"/>
              <w:bottom w:val="single" w:sz="6" w:space="0" w:color="auto"/>
              <w:right w:val="single" w:sz="6" w:space="0" w:color="auto"/>
            </w:tcBorders>
          </w:tcPr>
          <w:p w14:paraId="1C381F9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33,1</w:t>
            </w:r>
          </w:p>
        </w:tc>
      </w:tr>
      <w:tr w:rsidR="00117C0D" w:rsidRPr="003954D9" w14:paraId="23C21B8E"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189DD74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3 rok</w:t>
            </w:r>
          </w:p>
        </w:tc>
        <w:tc>
          <w:tcPr>
            <w:tcW w:w="851" w:type="dxa"/>
            <w:tcBorders>
              <w:top w:val="single" w:sz="6" w:space="0" w:color="auto"/>
              <w:left w:val="single" w:sz="6" w:space="0" w:color="auto"/>
              <w:bottom w:val="single" w:sz="6" w:space="0" w:color="auto"/>
              <w:right w:val="single" w:sz="6" w:space="0" w:color="auto"/>
            </w:tcBorders>
          </w:tcPr>
          <w:p w14:paraId="7A57DC5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24,8</w:t>
            </w:r>
          </w:p>
        </w:tc>
        <w:tc>
          <w:tcPr>
            <w:tcW w:w="992" w:type="dxa"/>
            <w:tcBorders>
              <w:top w:val="single" w:sz="6" w:space="0" w:color="auto"/>
              <w:left w:val="single" w:sz="6" w:space="0" w:color="auto"/>
              <w:bottom w:val="single" w:sz="6" w:space="0" w:color="auto"/>
              <w:right w:val="single" w:sz="6" w:space="0" w:color="auto"/>
            </w:tcBorders>
          </w:tcPr>
          <w:p w14:paraId="17ACB58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33,1</w:t>
            </w:r>
          </w:p>
        </w:tc>
        <w:tc>
          <w:tcPr>
            <w:tcW w:w="850" w:type="dxa"/>
            <w:tcBorders>
              <w:top w:val="single" w:sz="6" w:space="0" w:color="auto"/>
              <w:left w:val="single" w:sz="6" w:space="0" w:color="auto"/>
              <w:bottom w:val="single" w:sz="6" w:space="0" w:color="auto"/>
              <w:right w:val="single" w:sz="6" w:space="0" w:color="auto"/>
            </w:tcBorders>
          </w:tcPr>
          <w:p w14:paraId="57BC86E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34,3</w:t>
            </w:r>
          </w:p>
        </w:tc>
        <w:tc>
          <w:tcPr>
            <w:tcW w:w="709" w:type="dxa"/>
            <w:tcBorders>
              <w:top w:val="single" w:sz="6" w:space="0" w:color="auto"/>
              <w:left w:val="single" w:sz="6" w:space="0" w:color="auto"/>
              <w:bottom w:val="single" w:sz="6" w:space="0" w:color="auto"/>
              <w:right w:val="single" w:sz="6" w:space="0" w:color="auto"/>
            </w:tcBorders>
          </w:tcPr>
          <w:p w14:paraId="7690591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35,0</w:t>
            </w:r>
          </w:p>
        </w:tc>
        <w:tc>
          <w:tcPr>
            <w:tcW w:w="851" w:type="dxa"/>
            <w:tcBorders>
              <w:top w:val="single" w:sz="6" w:space="0" w:color="auto"/>
              <w:left w:val="single" w:sz="6" w:space="0" w:color="auto"/>
              <w:bottom w:val="single" w:sz="6" w:space="0" w:color="auto"/>
              <w:right w:val="single" w:sz="6" w:space="0" w:color="auto"/>
            </w:tcBorders>
          </w:tcPr>
          <w:p w14:paraId="1AB65C90"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35,4</w:t>
            </w:r>
          </w:p>
        </w:tc>
        <w:tc>
          <w:tcPr>
            <w:tcW w:w="850" w:type="dxa"/>
            <w:tcBorders>
              <w:top w:val="single" w:sz="6" w:space="0" w:color="auto"/>
              <w:left w:val="single" w:sz="6" w:space="0" w:color="auto"/>
              <w:bottom w:val="single" w:sz="6" w:space="0" w:color="auto"/>
              <w:right w:val="single" w:sz="6" w:space="0" w:color="auto"/>
            </w:tcBorders>
          </w:tcPr>
          <w:p w14:paraId="6109C35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30,5</w:t>
            </w:r>
          </w:p>
        </w:tc>
        <w:tc>
          <w:tcPr>
            <w:tcW w:w="851" w:type="dxa"/>
            <w:tcBorders>
              <w:top w:val="single" w:sz="6" w:space="0" w:color="auto"/>
              <w:left w:val="single" w:sz="6" w:space="0" w:color="auto"/>
              <w:bottom w:val="single" w:sz="6" w:space="0" w:color="auto"/>
              <w:right w:val="single" w:sz="6" w:space="0" w:color="auto"/>
            </w:tcBorders>
          </w:tcPr>
          <w:p w14:paraId="4E990328"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23,2</w:t>
            </w:r>
          </w:p>
        </w:tc>
        <w:tc>
          <w:tcPr>
            <w:tcW w:w="850" w:type="dxa"/>
            <w:tcBorders>
              <w:top w:val="single" w:sz="6" w:space="0" w:color="auto"/>
              <w:left w:val="single" w:sz="6" w:space="0" w:color="auto"/>
              <w:bottom w:val="single" w:sz="6" w:space="0" w:color="auto"/>
              <w:right w:val="single" w:sz="6" w:space="0" w:color="auto"/>
            </w:tcBorders>
          </w:tcPr>
          <w:p w14:paraId="5F1AE1B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34,9</w:t>
            </w:r>
          </w:p>
        </w:tc>
        <w:tc>
          <w:tcPr>
            <w:tcW w:w="851" w:type="dxa"/>
            <w:tcBorders>
              <w:top w:val="single" w:sz="6" w:space="0" w:color="auto"/>
              <w:left w:val="single" w:sz="6" w:space="0" w:color="auto"/>
              <w:bottom w:val="single" w:sz="6" w:space="0" w:color="auto"/>
              <w:right w:val="single" w:sz="6" w:space="0" w:color="auto"/>
            </w:tcBorders>
          </w:tcPr>
          <w:p w14:paraId="2552B8B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33,4</w:t>
            </w:r>
          </w:p>
        </w:tc>
        <w:tc>
          <w:tcPr>
            <w:tcW w:w="981" w:type="dxa"/>
            <w:tcBorders>
              <w:top w:val="single" w:sz="6" w:space="0" w:color="auto"/>
              <w:left w:val="single" w:sz="6" w:space="0" w:color="auto"/>
              <w:bottom w:val="single" w:sz="6" w:space="0" w:color="auto"/>
              <w:right w:val="single" w:sz="6" w:space="0" w:color="auto"/>
            </w:tcBorders>
          </w:tcPr>
          <w:p w14:paraId="7185595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27,9</w:t>
            </w:r>
          </w:p>
        </w:tc>
      </w:tr>
      <w:tr w:rsidR="00117C0D" w:rsidRPr="003954D9" w14:paraId="5F59A550"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68A7D73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4 rok</w:t>
            </w:r>
          </w:p>
        </w:tc>
        <w:tc>
          <w:tcPr>
            <w:tcW w:w="851" w:type="dxa"/>
            <w:tcBorders>
              <w:top w:val="single" w:sz="6" w:space="0" w:color="auto"/>
              <w:left w:val="single" w:sz="6" w:space="0" w:color="auto"/>
              <w:bottom w:val="single" w:sz="6" w:space="0" w:color="auto"/>
              <w:right w:val="single" w:sz="6" w:space="0" w:color="auto"/>
            </w:tcBorders>
          </w:tcPr>
          <w:p w14:paraId="09F982BA"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21,4</w:t>
            </w:r>
          </w:p>
        </w:tc>
        <w:tc>
          <w:tcPr>
            <w:tcW w:w="992" w:type="dxa"/>
            <w:tcBorders>
              <w:top w:val="single" w:sz="6" w:space="0" w:color="auto"/>
              <w:left w:val="single" w:sz="6" w:space="0" w:color="auto"/>
              <w:bottom w:val="single" w:sz="6" w:space="0" w:color="auto"/>
              <w:right w:val="single" w:sz="6" w:space="0" w:color="auto"/>
            </w:tcBorders>
          </w:tcPr>
          <w:p w14:paraId="4418D03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30,0</w:t>
            </w:r>
          </w:p>
        </w:tc>
        <w:tc>
          <w:tcPr>
            <w:tcW w:w="850" w:type="dxa"/>
            <w:tcBorders>
              <w:top w:val="single" w:sz="6" w:space="0" w:color="auto"/>
              <w:left w:val="single" w:sz="6" w:space="0" w:color="auto"/>
              <w:bottom w:val="single" w:sz="6" w:space="0" w:color="auto"/>
              <w:right w:val="single" w:sz="6" w:space="0" w:color="auto"/>
            </w:tcBorders>
          </w:tcPr>
          <w:p w14:paraId="06F7D19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709" w:type="dxa"/>
            <w:tcBorders>
              <w:top w:val="single" w:sz="6" w:space="0" w:color="auto"/>
              <w:left w:val="single" w:sz="6" w:space="0" w:color="auto"/>
              <w:bottom w:val="single" w:sz="6" w:space="0" w:color="auto"/>
              <w:right w:val="single" w:sz="6" w:space="0" w:color="auto"/>
            </w:tcBorders>
          </w:tcPr>
          <w:p w14:paraId="6C30C6B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25,8</w:t>
            </w:r>
          </w:p>
        </w:tc>
        <w:tc>
          <w:tcPr>
            <w:tcW w:w="851" w:type="dxa"/>
            <w:tcBorders>
              <w:top w:val="single" w:sz="6" w:space="0" w:color="auto"/>
              <w:left w:val="single" w:sz="6" w:space="0" w:color="auto"/>
              <w:bottom w:val="single" w:sz="6" w:space="0" w:color="auto"/>
              <w:right w:val="single" w:sz="6" w:space="0" w:color="auto"/>
            </w:tcBorders>
          </w:tcPr>
          <w:p w14:paraId="2643C55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33,2</w:t>
            </w:r>
          </w:p>
        </w:tc>
        <w:tc>
          <w:tcPr>
            <w:tcW w:w="850" w:type="dxa"/>
            <w:tcBorders>
              <w:top w:val="single" w:sz="6" w:space="0" w:color="auto"/>
              <w:left w:val="single" w:sz="6" w:space="0" w:color="auto"/>
              <w:bottom w:val="single" w:sz="6" w:space="0" w:color="auto"/>
              <w:right w:val="single" w:sz="6" w:space="0" w:color="auto"/>
            </w:tcBorders>
          </w:tcPr>
          <w:p w14:paraId="10F6DF2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851" w:type="dxa"/>
            <w:tcBorders>
              <w:top w:val="single" w:sz="6" w:space="0" w:color="auto"/>
              <w:left w:val="single" w:sz="6" w:space="0" w:color="auto"/>
              <w:bottom w:val="single" w:sz="6" w:space="0" w:color="auto"/>
              <w:right w:val="single" w:sz="6" w:space="0" w:color="auto"/>
            </w:tcBorders>
          </w:tcPr>
          <w:p w14:paraId="69DB52E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24,4</w:t>
            </w:r>
          </w:p>
        </w:tc>
        <w:tc>
          <w:tcPr>
            <w:tcW w:w="850" w:type="dxa"/>
            <w:tcBorders>
              <w:top w:val="single" w:sz="6" w:space="0" w:color="auto"/>
              <w:left w:val="single" w:sz="6" w:space="0" w:color="auto"/>
              <w:bottom w:val="single" w:sz="6" w:space="0" w:color="auto"/>
              <w:right w:val="single" w:sz="6" w:space="0" w:color="auto"/>
            </w:tcBorders>
          </w:tcPr>
          <w:p w14:paraId="1E0928B0"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35,1</w:t>
            </w:r>
          </w:p>
        </w:tc>
        <w:tc>
          <w:tcPr>
            <w:tcW w:w="851" w:type="dxa"/>
            <w:tcBorders>
              <w:top w:val="single" w:sz="6" w:space="0" w:color="auto"/>
              <w:left w:val="single" w:sz="6" w:space="0" w:color="auto"/>
              <w:bottom w:val="single" w:sz="6" w:space="0" w:color="auto"/>
              <w:right w:val="single" w:sz="6" w:space="0" w:color="auto"/>
            </w:tcBorders>
          </w:tcPr>
          <w:p w14:paraId="606AB29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31,9</w:t>
            </w:r>
          </w:p>
        </w:tc>
        <w:tc>
          <w:tcPr>
            <w:tcW w:w="981" w:type="dxa"/>
            <w:tcBorders>
              <w:top w:val="single" w:sz="6" w:space="0" w:color="auto"/>
              <w:left w:val="single" w:sz="6" w:space="0" w:color="auto"/>
              <w:bottom w:val="single" w:sz="6" w:space="0" w:color="auto"/>
              <w:right w:val="single" w:sz="6" w:space="0" w:color="auto"/>
            </w:tcBorders>
          </w:tcPr>
          <w:p w14:paraId="78513B3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24,5</w:t>
            </w:r>
          </w:p>
        </w:tc>
      </w:tr>
      <w:tr w:rsidR="00117C0D" w:rsidRPr="003954D9" w14:paraId="72359115"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0D27E37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5 - rok</w:t>
            </w:r>
          </w:p>
        </w:tc>
        <w:tc>
          <w:tcPr>
            <w:tcW w:w="851" w:type="dxa"/>
            <w:tcBorders>
              <w:top w:val="single" w:sz="6" w:space="0" w:color="auto"/>
              <w:left w:val="single" w:sz="6" w:space="0" w:color="auto"/>
              <w:bottom w:val="single" w:sz="6" w:space="0" w:color="auto"/>
              <w:right w:val="single" w:sz="6" w:space="0" w:color="auto"/>
            </w:tcBorders>
          </w:tcPr>
          <w:p w14:paraId="4E4E8AFF" w14:textId="77777777" w:rsidR="00117C0D" w:rsidRPr="003954D9" w:rsidRDefault="00117C0D" w:rsidP="00117C0D">
            <w:pPr>
              <w:autoSpaceDE w:val="0"/>
              <w:autoSpaceDN w:val="0"/>
              <w:adjustRightInd w:val="0"/>
              <w:jc w:val="right"/>
              <w:rPr>
                <w:rFonts w:ascii="Calibri" w:hAnsi="Calibri" w:cs="Calibri"/>
                <w:b/>
                <w:color w:val="0070C0"/>
                <w:sz w:val="16"/>
                <w:szCs w:val="16"/>
              </w:rPr>
            </w:pPr>
            <w:r w:rsidRPr="003954D9">
              <w:rPr>
                <w:rFonts w:ascii="Calibri" w:hAnsi="Calibri" w:cs="Calibri"/>
                <w:b/>
                <w:color w:val="0070C0"/>
                <w:sz w:val="16"/>
                <w:szCs w:val="16"/>
              </w:rPr>
              <w:t>19,0</w:t>
            </w:r>
          </w:p>
        </w:tc>
        <w:tc>
          <w:tcPr>
            <w:tcW w:w="992" w:type="dxa"/>
            <w:tcBorders>
              <w:top w:val="single" w:sz="6" w:space="0" w:color="auto"/>
              <w:left w:val="single" w:sz="6" w:space="0" w:color="auto"/>
              <w:bottom w:val="single" w:sz="6" w:space="0" w:color="auto"/>
              <w:right w:val="single" w:sz="6" w:space="0" w:color="auto"/>
            </w:tcBorders>
          </w:tcPr>
          <w:p w14:paraId="3637440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35,0</w:t>
            </w:r>
          </w:p>
        </w:tc>
        <w:tc>
          <w:tcPr>
            <w:tcW w:w="850" w:type="dxa"/>
            <w:tcBorders>
              <w:top w:val="single" w:sz="6" w:space="0" w:color="auto"/>
              <w:left w:val="single" w:sz="6" w:space="0" w:color="auto"/>
              <w:bottom w:val="single" w:sz="6" w:space="0" w:color="auto"/>
              <w:right w:val="single" w:sz="6" w:space="0" w:color="auto"/>
            </w:tcBorders>
          </w:tcPr>
          <w:p w14:paraId="0138E5B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36,6</w:t>
            </w:r>
          </w:p>
        </w:tc>
        <w:tc>
          <w:tcPr>
            <w:tcW w:w="709" w:type="dxa"/>
            <w:tcBorders>
              <w:top w:val="single" w:sz="6" w:space="0" w:color="auto"/>
              <w:left w:val="single" w:sz="6" w:space="0" w:color="auto"/>
              <w:bottom w:val="single" w:sz="6" w:space="0" w:color="auto"/>
              <w:right w:val="single" w:sz="6" w:space="0" w:color="auto"/>
            </w:tcBorders>
          </w:tcPr>
          <w:p w14:paraId="7ED20B1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22,9</w:t>
            </w:r>
          </w:p>
        </w:tc>
        <w:tc>
          <w:tcPr>
            <w:tcW w:w="851" w:type="dxa"/>
            <w:tcBorders>
              <w:top w:val="single" w:sz="6" w:space="0" w:color="auto"/>
              <w:left w:val="single" w:sz="6" w:space="0" w:color="auto"/>
              <w:bottom w:val="single" w:sz="6" w:space="0" w:color="auto"/>
              <w:right w:val="single" w:sz="6" w:space="0" w:color="auto"/>
            </w:tcBorders>
          </w:tcPr>
          <w:p w14:paraId="5AFFD76E"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40,1</w:t>
            </w:r>
          </w:p>
        </w:tc>
        <w:tc>
          <w:tcPr>
            <w:tcW w:w="850" w:type="dxa"/>
            <w:tcBorders>
              <w:top w:val="single" w:sz="6" w:space="0" w:color="auto"/>
              <w:left w:val="single" w:sz="6" w:space="0" w:color="auto"/>
              <w:bottom w:val="single" w:sz="6" w:space="0" w:color="auto"/>
              <w:right w:val="single" w:sz="6" w:space="0" w:color="auto"/>
            </w:tcBorders>
          </w:tcPr>
          <w:p w14:paraId="23F8822F"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FA71C2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21,7</w:t>
            </w:r>
          </w:p>
        </w:tc>
        <w:tc>
          <w:tcPr>
            <w:tcW w:w="850" w:type="dxa"/>
            <w:tcBorders>
              <w:top w:val="single" w:sz="6" w:space="0" w:color="auto"/>
              <w:left w:val="single" w:sz="6" w:space="0" w:color="auto"/>
              <w:bottom w:val="single" w:sz="6" w:space="0" w:color="auto"/>
              <w:right w:val="single" w:sz="6" w:space="0" w:color="auto"/>
            </w:tcBorders>
          </w:tcPr>
          <w:p w14:paraId="18EF6D7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sz w:val="16"/>
                <w:szCs w:val="16"/>
              </w:rPr>
              <w:t>37,5</w:t>
            </w:r>
          </w:p>
        </w:tc>
        <w:tc>
          <w:tcPr>
            <w:tcW w:w="851" w:type="dxa"/>
            <w:tcBorders>
              <w:top w:val="single" w:sz="6" w:space="0" w:color="auto"/>
              <w:left w:val="single" w:sz="6" w:space="0" w:color="auto"/>
              <w:bottom w:val="single" w:sz="6" w:space="0" w:color="auto"/>
              <w:right w:val="single" w:sz="6" w:space="0" w:color="auto"/>
            </w:tcBorders>
          </w:tcPr>
          <w:p w14:paraId="344746A6" w14:textId="77777777" w:rsidR="00117C0D" w:rsidRPr="003954D9" w:rsidRDefault="00117C0D" w:rsidP="00117C0D">
            <w:pPr>
              <w:autoSpaceDE w:val="0"/>
              <w:autoSpaceDN w:val="0"/>
              <w:adjustRightInd w:val="0"/>
              <w:jc w:val="right"/>
              <w:rPr>
                <w:rFonts w:ascii="Calibri" w:hAnsi="Calibri" w:cs="Calibri"/>
                <w:color w:val="000000"/>
                <w:sz w:val="16"/>
                <w:szCs w:val="16"/>
              </w:rPr>
            </w:pPr>
          </w:p>
        </w:tc>
        <w:tc>
          <w:tcPr>
            <w:tcW w:w="981" w:type="dxa"/>
            <w:tcBorders>
              <w:top w:val="single" w:sz="6" w:space="0" w:color="auto"/>
              <w:left w:val="single" w:sz="6" w:space="0" w:color="auto"/>
              <w:bottom w:val="single" w:sz="6" w:space="0" w:color="auto"/>
              <w:right w:val="single" w:sz="6" w:space="0" w:color="auto"/>
            </w:tcBorders>
          </w:tcPr>
          <w:p w14:paraId="2D6E0EA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20,5</w:t>
            </w:r>
          </w:p>
        </w:tc>
      </w:tr>
      <w:tr w:rsidR="00117C0D" w:rsidRPr="003954D9" w14:paraId="15FC8933" w14:textId="77777777" w:rsidTr="00117C0D">
        <w:trPr>
          <w:trHeight w:val="227"/>
        </w:trPr>
        <w:tc>
          <w:tcPr>
            <w:tcW w:w="739" w:type="dxa"/>
            <w:tcBorders>
              <w:top w:val="single" w:sz="6" w:space="0" w:color="auto"/>
              <w:left w:val="single" w:sz="6" w:space="0" w:color="auto"/>
              <w:bottom w:val="single" w:sz="6" w:space="0" w:color="auto"/>
              <w:right w:val="single" w:sz="6" w:space="0" w:color="auto"/>
            </w:tcBorders>
          </w:tcPr>
          <w:p w14:paraId="0C0BC01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Alla</w:t>
            </w:r>
          </w:p>
        </w:tc>
        <w:tc>
          <w:tcPr>
            <w:tcW w:w="851" w:type="dxa"/>
            <w:tcBorders>
              <w:top w:val="single" w:sz="6" w:space="0" w:color="auto"/>
              <w:left w:val="single" w:sz="6" w:space="0" w:color="auto"/>
              <w:bottom w:val="single" w:sz="6" w:space="0" w:color="auto"/>
              <w:right w:val="single" w:sz="6" w:space="0" w:color="auto"/>
            </w:tcBorders>
          </w:tcPr>
          <w:p w14:paraId="39D56775"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70C0"/>
                <w:sz w:val="16"/>
                <w:szCs w:val="16"/>
              </w:rPr>
              <w:t>24,7</w:t>
            </w:r>
          </w:p>
        </w:tc>
        <w:tc>
          <w:tcPr>
            <w:tcW w:w="992" w:type="dxa"/>
            <w:tcBorders>
              <w:top w:val="single" w:sz="6" w:space="0" w:color="auto"/>
              <w:left w:val="single" w:sz="6" w:space="0" w:color="auto"/>
              <w:bottom w:val="single" w:sz="6" w:space="0" w:color="auto"/>
              <w:right w:val="single" w:sz="6" w:space="0" w:color="auto"/>
            </w:tcBorders>
          </w:tcPr>
          <w:p w14:paraId="4AEECE5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33,6</w:t>
            </w:r>
          </w:p>
        </w:tc>
        <w:tc>
          <w:tcPr>
            <w:tcW w:w="850" w:type="dxa"/>
            <w:tcBorders>
              <w:top w:val="single" w:sz="6" w:space="0" w:color="auto"/>
              <w:left w:val="single" w:sz="6" w:space="0" w:color="auto"/>
              <w:bottom w:val="single" w:sz="6" w:space="0" w:color="auto"/>
              <w:right w:val="single" w:sz="6" w:space="0" w:color="auto"/>
            </w:tcBorders>
          </w:tcPr>
          <w:p w14:paraId="466DD8F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34,0</w:t>
            </w:r>
          </w:p>
        </w:tc>
        <w:tc>
          <w:tcPr>
            <w:tcW w:w="709" w:type="dxa"/>
            <w:tcBorders>
              <w:top w:val="single" w:sz="6" w:space="0" w:color="auto"/>
              <w:left w:val="single" w:sz="6" w:space="0" w:color="auto"/>
              <w:bottom w:val="single" w:sz="6" w:space="0" w:color="auto"/>
              <w:right w:val="single" w:sz="6" w:space="0" w:color="auto"/>
            </w:tcBorders>
          </w:tcPr>
          <w:p w14:paraId="7F291F8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26,5</w:t>
            </w:r>
          </w:p>
        </w:tc>
        <w:tc>
          <w:tcPr>
            <w:tcW w:w="851" w:type="dxa"/>
            <w:tcBorders>
              <w:top w:val="single" w:sz="6" w:space="0" w:color="auto"/>
              <w:left w:val="single" w:sz="6" w:space="0" w:color="auto"/>
              <w:bottom w:val="single" w:sz="6" w:space="0" w:color="auto"/>
              <w:right w:val="single" w:sz="6" w:space="0" w:color="auto"/>
            </w:tcBorders>
          </w:tcPr>
          <w:p w14:paraId="67AC10F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35,7</w:t>
            </w:r>
          </w:p>
        </w:tc>
        <w:tc>
          <w:tcPr>
            <w:tcW w:w="850" w:type="dxa"/>
            <w:tcBorders>
              <w:top w:val="single" w:sz="6" w:space="0" w:color="auto"/>
              <w:left w:val="single" w:sz="6" w:space="0" w:color="auto"/>
              <w:bottom w:val="single" w:sz="6" w:space="0" w:color="auto"/>
              <w:right w:val="single" w:sz="6" w:space="0" w:color="auto"/>
            </w:tcBorders>
          </w:tcPr>
          <w:p w14:paraId="4F134B6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29,3</w:t>
            </w:r>
          </w:p>
        </w:tc>
        <w:tc>
          <w:tcPr>
            <w:tcW w:w="851" w:type="dxa"/>
            <w:tcBorders>
              <w:top w:val="single" w:sz="6" w:space="0" w:color="auto"/>
              <w:left w:val="single" w:sz="6" w:space="0" w:color="auto"/>
              <w:bottom w:val="single" w:sz="6" w:space="0" w:color="auto"/>
              <w:right w:val="single" w:sz="6" w:space="0" w:color="auto"/>
            </w:tcBorders>
          </w:tcPr>
          <w:p w14:paraId="3240F52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26,3</w:t>
            </w:r>
          </w:p>
        </w:tc>
        <w:tc>
          <w:tcPr>
            <w:tcW w:w="850" w:type="dxa"/>
            <w:tcBorders>
              <w:top w:val="single" w:sz="6" w:space="0" w:color="auto"/>
              <w:left w:val="single" w:sz="6" w:space="0" w:color="auto"/>
              <w:bottom w:val="single" w:sz="6" w:space="0" w:color="auto"/>
              <w:right w:val="single" w:sz="6" w:space="0" w:color="auto"/>
            </w:tcBorders>
          </w:tcPr>
          <w:p w14:paraId="0108C1B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33,8</w:t>
            </w:r>
          </w:p>
        </w:tc>
        <w:tc>
          <w:tcPr>
            <w:tcW w:w="851" w:type="dxa"/>
            <w:tcBorders>
              <w:top w:val="single" w:sz="6" w:space="0" w:color="auto"/>
              <w:left w:val="single" w:sz="6" w:space="0" w:color="auto"/>
              <w:bottom w:val="single" w:sz="6" w:space="0" w:color="auto"/>
              <w:right w:val="single" w:sz="6" w:space="0" w:color="auto"/>
            </w:tcBorders>
          </w:tcPr>
          <w:p w14:paraId="47FD45D4"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36,3</w:t>
            </w:r>
          </w:p>
        </w:tc>
        <w:tc>
          <w:tcPr>
            <w:tcW w:w="981" w:type="dxa"/>
            <w:tcBorders>
              <w:top w:val="single" w:sz="6" w:space="0" w:color="auto"/>
              <w:left w:val="single" w:sz="6" w:space="0" w:color="auto"/>
              <w:bottom w:val="single" w:sz="6" w:space="0" w:color="auto"/>
              <w:right w:val="single" w:sz="6" w:space="0" w:color="auto"/>
            </w:tcBorders>
          </w:tcPr>
          <w:p w14:paraId="5A6CAB8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27,7</w:t>
            </w:r>
          </w:p>
        </w:tc>
      </w:tr>
    </w:tbl>
    <w:p w14:paraId="14281D61" w14:textId="77777777" w:rsidR="00117C0D" w:rsidRPr="003954D9" w:rsidRDefault="00117C0D" w:rsidP="00117C0D">
      <w:pPr>
        <w:rPr>
          <w:sz w:val="16"/>
          <w:szCs w:val="16"/>
        </w:rPr>
      </w:pPr>
      <w:r w:rsidRPr="003954D9">
        <w:rPr>
          <w:b/>
          <w:color w:val="FF6600"/>
          <w:sz w:val="16"/>
          <w:szCs w:val="16"/>
        </w:rPr>
        <w:t>Röd färg högsta</w:t>
      </w:r>
      <w:r w:rsidRPr="003954D9">
        <w:rPr>
          <w:color w:val="FF6600"/>
          <w:sz w:val="16"/>
          <w:szCs w:val="16"/>
        </w:rPr>
        <w:t xml:space="preserve"> </w:t>
      </w:r>
      <w:r w:rsidRPr="003954D9">
        <w:rPr>
          <w:sz w:val="16"/>
          <w:szCs w:val="16"/>
        </w:rPr>
        <w:t xml:space="preserve">och </w:t>
      </w:r>
      <w:r w:rsidRPr="00AE13ED">
        <w:rPr>
          <w:b/>
          <w:color w:val="0070C0"/>
          <w:sz w:val="16"/>
          <w:szCs w:val="16"/>
        </w:rPr>
        <w:t>blå färg lägsta</w:t>
      </w:r>
      <w:r w:rsidRPr="00AE13ED">
        <w:rPr>
          <w:color w:val="0070C0"/>
          <w:sz w:val="16"/>
          <w:szCs w:val="16"/>
        </w:rPr>
        <w:t xml:space="preserve"> </w:t>
      </w:r>
      <w:r w:rsidRPr="003954D9">
        <w:rPr>
          <w:sz w:val="16"/>
          <w:szCs w:val="16"/>
        </w:rPr>
        <w:t>värde i grupp.</w:t>
      </w:r>
    </w:p>
    <w:p w14:paraId="61FBE063" w14:textId="77777777" w:rsidR="00117C0D" w:rsidRPr="003954D9" w:rsidRDefault="00117C0D" w:rsidP="00117C0D">
      <w:pPr>
        <w:rPr>
          <w:sz w:val="23"/>
        </w:rPr>
      </w:pPr>
    </w:p>
    <w:p w14:paraId="16DC211D"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6:4: Lägenhetstyp, antal boende per lägenhet och stadsdel</w:t>
      </w:r>
    </w:p>
    <w:tbl>
      <w:tblPr>
        <w:tblW w:w="0" w:type="auto"/>
        <w:tblInd w:w="-38" w:type="dxa"/>
        <w:tblLayout w:type="fixed"/>
        <w:tblLook w:val="0000" w:firstRow="0" w:lastRow="0" w:firstColumn="0" w:lastColumn="0" w:noHBand="0" w:noVBand="0"/>
      </w:tblPr>
      <w:tblGrid>
        <w:gridCol w:w="881"/>
        <w:gridCol w:w="800"/>
        <w:gridCol w:w="901"/>
        <w:gridCol w:w="850"/>
        <w:gridCol w:w="709"/>
        <w:gridCol w:w="851"/>
        <w:gridCol w:w="850"/>
        <w:gridCol w:w="851"/>
        <w:gridCol w:w="850"/>
        <w:gridCol w:w="851"/>
        <w:gridCol w:w="992"/>
      </w:tblGrid>
      <w:tr w:rsidR="00117C0D" w:rsidRPr="003954D9" w14:paraId="50C81331" w14:textId="77777777" w:rsidTr="00117C0D">
        <w:trPr>
          <w:trHeight w:val="227"/>
        </w:trPr>
        <w:tc>
          <w:tcPr>
            <w:tcW w:w="881" w:type="dxa"/>
            <w:tcBorders>
              <w:top w:val="single" w:sz="6" w:space="0" w:color="auto"/>
              <w:left w:val="single" w:sz="6" w:space="0" w:color="auto"/>
              <w:bottom w:val="single" w:sz="6" w:space="0" w:color="auto"/>
              <w:right w:val="single" w:sz="6" w:space="0" w:color="auto"/>
            </w:tcBorders>
          </w:tcPr>
          <w:p w14:paraId="15EF25A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w:t>
            </w:r>
            <w:proofErr w:type="spellStart"/>
            <w:r w:rsidRPr="003954D9">
              <w:rPr>
                <w:rFonts w:ascii="Calibri" w:hAnsi="Calibri" w:cs="Calibri"/>
                <w:b/>
                <w:bCs/>
                <w:color w:val="000000"/>
                <w:sz w:val="16"/>
                <w:szCs w:val="16"/>
              </w:rPr>
              <w:t>hetstyp</w:t>
            </w:r>
            <w:proofErr w:type="spellEnd"/>
          </w:p>
        </w:tc>
        <w:tc>
          <w:tcPr>
            <w:tcW w:w="800" w:type="dxa"/>
            <w:tcBorders>
              <w:top w:val="single" w:sz="6" w:space="0" w:color="auto"/>
              <w:left w:val="single" w:sz="6" w:space="0" w:color="auto"/>
              <w:bottom w:val="single" w:sz="6" w:space="0" w:color="auto"/>
              <w:right w:val="single" w:sz="6" w:space="0" w:color="auto"/>
            </w:tcBorders>
          </w:tcPr>
          <w:p w14:paraId="1283985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01" w:type="dxa"/>
            <w:tcBorders>
              <w:top w:val="single" w:sz="6" w:space="0" w:color="auto"/>
              <w:left w:val="single" w:sz="6" w:space="0" w:color="auto"/>
              <w:bottom w:val="single" w:sz="6" w:space="0" w:color="auto"/>
              <w:right w:val="single" w:sz="6" w:space="0" w:color="auto"/>
            </w:tcBorders>
          </w:tcPr>
          <w:p w14:paraId="5D78D97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850" w:type="dxa"/>
            <w:tcBorders>
              <w:top w:val="single" w:sz="6" w:space="0" w:color="auto"/>
              <w:left w:val="single" w:sz="6" w:space="0" w:color="auto"/>
              <w:bottom w:val="single" w:sz="6" w:space="0" w:color="auto"/>
              <w:right w:val="single" w:sz="6" w:space="0" w:color="auto"/>
            </w:tcBorders>
          </w:tcPr>
          <w:p w14:paraId="003B6E1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709" w:type="dxa"/>
            <w:tcBorders>
              <w:top w:val="single" w:sz="6" w:space="0" w:color="auto"/>
              <w:left w:val="single" w:sz="6" w:space="0" w:color="auto"/>
              <w:bottom w:val="single" w:sz="6" w:space="0" w:color="auto"/>
              <w:right w:val="single" w:sz="6" w:space="0" w:color="auto"/>
            </w:tcBorders>
          </w:tcPr>
          <w:p w14:paraId="02FC3E1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51" w:type="dxa"/>
            <w:tcBorders>
              <w:top w:val="single" w:sz="6" w:space="0" w:color="auto"/>
              <w:left w:val="single" w:sz="6" w:space="0" w:color="auto"/>
              <w:bottom w:val="single" w:sz="6" w:space="0" w:color="auto"/>
              <w:right w:val="single" w:sz="6" w:space="0" w:color="auto"/>
            </w:tcBorders>
          </w:tcPr>
          <w:p w14:paraId="21E7570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850" w:type="dxa"/>
            <w:tcBorders>
              <w:top w:val="single" w:sz="6" w:space="0" w:color="auto"/>
              <w:left w:val="single" w:sz="6" w:space="0" w:color="auto"/>
              <w:bottom w:val="single" w:sz="6" w:space="0" w:color="auto"/>
              <w:right w:val="single" w:sz="6" w:space="0" w:color="auto"/>
            </w:tcBorders>
          </w:tcPr>
          <w:p w14:paraId="430322E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851" w:type="dxa"/>
            <w:tcBorders>
              <w:top w:val="single" w:sz="6" w:space="0" w:color="auto"/>
              <w:left w:val="single" w:sz="6" w:space="0" w:color="auto"/>
              <w:bottom w:val="single" w:sz="6" w:space="0" w:color="auto"/>
              <w:right w:val="single" w:sz="6" w:space="0" w:color="auto"/>
            </w:tcBorders>
          </w:tcPr>
          <w:p w14:paraId="6A5F547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850" w:type="dxa"/>
            <w:tcBorders>
              <w:top w:val="single" w:sz="6" w:space="0" w:color="auto"/>
              <w:left w:val="single" w:sz="6" w:space="0" w:color="auto"/>
              <w:bottom w:val="single" w:sz="6" w:space="0" w:color="auto"/>
              <w:right w:val="single" w:sz="6" w:space="0" w:color="auto"/>
            </w:tcBorders>
          </w:tcPr>
          <w:p w14:paraId="66385F8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851" w:type="dxa"/>
            <w:tcBorders>
              <w:top w:val="single" w:sz="6" w:space="0" w:color="auto"/>
              <w:left w:val="single" w:sz="6" w:space="0" w:color="auto"/>
              <w:bottom w:val="single" w:sz="6" w:space="0" w:color="auto"/>
              <w:right w:val="single" w:sz="6" w:space="0" w:color="auto"/>
            </w:tcBorders>
          </w:tcPr>
          <w:p w14:paraId="1BB49E8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92" w:type="dxa"/>
            <w:tcBorders>
              <w:top w:val="single" w:sz="6" w:space="0" w:color="auto"/>
              <w:left w:val="single" w:sz="6" w:space="0" w:color="auto"/>
              <w:bottom w:val="single" w:sz="6" w:space="0" w:color="auto"/>
              <w:right w:val="single" w:sz="6" w:space="0" w:color="auto"/>
            </w:tcBorders>
          </w:tcPr>
          <w:p w14:paraId="7B32392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r>
      <w:tr w:rsidR="00117C0D" w:rsidRPr="003954D9" w14:paraId="4CA1356A" w14:textId="77777777" w:rsidTr="00117C0D">
        <w:trPr>
          <w:trHeight w:val="227"/>
        </w:trPr>
        <w:tc>
          <w:tcPr>
            <w:tcW w:w="881" w:type="dxa"/>
            <w:tcBorders>
              <w:top w:val="single" w:sz="6" w:space="0" w:color="auto"/>
              <w:left w:val="single" w:sz="6" w:space="0" w:color="auto"/>
              <w:bottom w:val="single" w:sz="6" w:space="0" w:color="auto"/>
              <w:right w:val="single" w:sz="6" w:space="0" w:color="auto"/>
            </w:tcBorders>
          </w:tcPr>
          <w:p w14:paraId="2695204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rokv</w:t>
            </w:r>
          </w:p>
        </w:tc>
        <w:tc>
          <w:tcPr>
            <w:tcW w:w="800" w:type="dxa"/>
            <w:tcBorders>
              <w:top w:val="single" w:sz="6" w:space="0" w:color="auto"/>
              <w:left w:val="single" w:sz="6" w:space="0" w:color="auto"/>
              <w:bottom w:val="single" w:sz="6" w:space="0" w:color="auto"/>
              <w:right w:val="single" w:sz="6" w:space="0" w:color="auto"/>
            </w:tcBorders>
          </w:tcPr>
          <w:p w14:paraId="4204500F"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1,69</w:t>
            </w:r>
          </w:p>
        </w:tc>
        <w:tc>
          <w:tcPr>
            <w:tcW w:w="901" w:type="dxa"/>
            <w:tcBorders>
              <w:top w:val="single" w:sz="6" w:space="0" w:color="auto"/>
              <w:left w:val="single" w:sz="6" w:space="0" w:color="auto"/>
              <w:bottom w:val="single" w:sz="6" w:space="0" w:color="auto"/>
              <w:right w:val="single" w:sz="6" w:space="0" w:color="auto"/>
            </w:tcBorders>
          </w:tcPr>
          <w:p w14:paraId="3A802A7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850" w:type="dxa"/>
            <w:tcBorders>
              <w:top w:val="single" w:sz="6" w:space="0" w:color="auto"/>
              <w:left w:val="single" w:sz="6" w:space="0" w:color="auto"/>
              <w:bottom w:val="single" w:sz="6" w:space="0" w:color="auto"/>
              <w:right w:val="single" w:sz="6" w:space="0" w:color="auto"/>
            </w:tcBorders>
          </w:tcPr>
          <w:p w14:paraId="61EACB7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1,19</w:t>
            </w:r>
          </w:p>
        </w:tc>
        <w:tc>
          <w:tcPr>
            <w:tcW w:w="709" w:type="dxa"/>
            <w:tcBorders>
              <w:top w:val="single" w:sz="6" w:space="0" w:color="auto"/>
              <w:left w:val="single" w:sz="6" w:space="0" w:color="auto"/>
              <w:bottom w:val="single" w:sz="6" w:space="0" w:color="auto"/>
              <w:right w:val="single" w:sz="6" w:space="0" w:color="auto"/>
            </w:tcBorders>
          </w:tcPr>
          <w:p w14:paraId="078D383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1,33</w:t>
            </w:r>
          </w:p>
        </w:tc>
        <w:tc>
          <w:tcPr>
            <w:tcW w:w="851" w:type="dxa"/>
            <w:tcBorders>
              <w:top w:val="single" w:sz="6" w:space="0" w:color="auto"/>
              <w:left w:val="single" w:sz="6" w:space="0" w:color="auto"/>
              <w:bottom w:val="single" w:sz="6" w:space="0" w:color="auto"/>
              <w:right w:val="single" w:sz="6" w:space="0" w:color="auto"/>
            </w:tcBorders>
          </w:tcPr>
          <w:p w14:paraId="4FB2DD4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850" w:type="dxa"/>
            <w:tcBorders>
              <w:top w:val="single" w:sz="6" w:space="0" w:color="auto"/>
              <w:left w:val="single" w:sz="6" w:space="0" w:color="auto"/>
              <w:bottom w:val="single" w:sz="6" w:space="0" w:color="auto"/>
              <w:right w:val="single" w:sz="6" w:space="0" w:color="auto"/>
            </w:tcBorders>
          </w:tcPr>
          <w:p w14:paraId="1BE0400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c>
          <w:tcPr>
            <w:tcW w:w="851" w:type="dxa"/>
            <w:tcBorders>
              <w:top w:val="single" w:sz="6" w:space="0" w:color="auto"/>
              <w:left w:val="single" w:sz="6" w:space="0" w:color="auto"/>
              <w:bottom w:val="single" w:sz="6" w:space="0" w:color="auto"/>
              <w:right w:val="single" w:sz="6" w:space="0" w:color="auto"/>
            </w:tcBorders>
          </w:tcPr>
          <w:p w14:paraId="0504B50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1,28</w:t>
            </w:r>
          </w:p>
        </w:tc>
        <w:tc>
          <w:tcPr>
            <w:tcW w:w="850" w:type="dxa"/>
            <w:tcBorders>
              <w:top w:val="single" w:sz="6" w:space="0" w:color="auto"/>
              <w:left w:val="single" w:sz="6" w:space="0" w:color="auto"/>
              <w:bottom w:val="single" w:sz="6" w:space="0" w:color="auto"/>
              <w:right w:val="single" w:sz="6" w:space="0" w:color="auto"/>
            </w:tcBorders>
          </w:tcPr>
          <w:p w14:paraId="20A132F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1,32</w:t>
            </w:r>
          </w:p>
        </w:tc>
        <w:tc>
          <w:tcPr>
            <w:tcW w:w="851" w:type="dxa"/>
            <w:tcBorders>
              <w:top w:val="single" w:sz="6" w:space="0" w:color="auto"/>
              <w:left w:val="single" w:sz="6" w:space="0" w:color="auto"/>
              <w:bottom w:val="single" w:sz="6" w:space="0" w:color="auto"/>
              <w:right w:val="single" w:sz="6" w:space="0" w:color="auto"/>
            </w:tcBorders>
          </w:tcPr>
          <w:p w14:paraId="632C353E"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1,05</w:t>
            </w:r>
          </w:p>
        </w:tc>
        <w:tc>
          <w:tcPr>
            <w:tcW w:w="992" w:type="dxa"/>
            <w:tcBorders>
              <w:top w:val="single" w:sz="6" w:space="0" w:color="auto"/>
              <w:left w:val="single" w:sz="6" w:space="0" w:color="auto"/>
              <w:bottom w:val="single" w:sz="6" w:space="0" w:color="auto"/>
              <w:right w:val="single" w:sz="6" w:space="0" w:color="auto"/>
            </w:tcBorders>
          </w:tcPr>
          <w:p w14:paraId="320388B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1,60</w:t>
            </w:r>
          </w:p>
        </w:tc>
      </w:tr>
      <w:tr w:rsidR="00117C0D" w:rsidRPr="003954D9" w14:paraId="1C254256" w14:textId="77777777" w:rsidTr="00117C0D">
        <w:trPr>
          <w:trHeight w:val="227"/>
        </w:trPr>
        <w:tc>
          <w:tcPr>
            <w:tcW w:w="881" w:type="dxa"/>
            <w:tcBorders>
              <w:top w:val="single" w:sz="6" w:space="0" w:color="auto"/>
              <w:left w:val="single" w:sz="6" w:space="0" w:color="auto"/>
              <w:bottom w:val="single" w:sz="6" w:space="0" w:color="auto"/>
              <w:right w:val="single" w:sz="6" w:space="0" w:color="auto"/>
            </w:tcBorders>
          </w:tcPr>
          <w:p w14:paraId="5F8B084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w:t>
            </w:r>
          </w:p>
        </w:tc>
        <w:tc>
          <w:tcPr>
            <w:tcW w:w="800" w:type="dxa"/>
            <w:tcBorders>
              <w:top w:val="single" w:sz="6" w:space="0" w:color="auto"/>
              <w:left w:val="single" w:sz="6" w:space="0" w:color="auto"/>
              <w:bottom w:val="single" w:sz="6" w:space="0" w:color="auto"/>
              <w:right w:val="single" w:sz="6" w:space="0" w:color="auto"/>
            </w:tcBorders>
          </w:tcPr>
          <w:p w14:paraId="73C9BE1F"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1,59</w:t>
            </w:r>
          </w:p>
        </w:tc>
        <w:tc>
          <w:tcPr>
            <w:tcW w:w="901" w:type="dxa"/>
            <w:tcBorders>
              <w:top w:val="single" w:sz="6" w:space="0" w:color="auto"/>
              <w:left w:val="single" w:sz="6" w:space="0" w:color="auto"/>
              <w:bottom w:val="single" w:sz="6" w:space="0" w:color="auto"/>
              <w:right w:val="single" w:sz="6" w:space="0" w:color="auto"/>
            </w:tcBorders>
          </w:tcPr>
          <w:p w14:paraId="1D8F90C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1,47</w:t>
            </w:r>
          </w:p>
        </w:tc>
        <w:tc>
          <w:tcPr>
            <w:tcW w:w="850" w:type="dxa"/>
            <w:tcBorders>
              <w:top w:val="single" w:sz="6" w:space="0" w:color="auto"/>
              <w:left w:val="single" w:sz="6" w:space="0" w:color="auto"/>
              <w:bottom w:val="single" w:sz="6" w:space="0" w:color="auto"/>
              <w:right w:val="single" w:sz="6" w:space="0" w:color="auto"/>
            </w:tcBorders>
          </w:tcPr>
          <w:p w14:paraId="27B2740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1,25</w:t>
            </w:r>
          </w:p>
        </w:tc>
        <w:tc>
          <w:tcPr>
            <w:tcW w:w="709" w:type="dxa"/>
            <w:tcBorders>
              <w:top w:val="single" w:sz="6" w:space="0" w:color="auto"/>
              <w:left w:val="single" w:sz="6" w:space="0" w:color="auto"/>
              <w:bottom w:val="single" w:sz="6" w:space="0" w:color="auto"/>
              <w:right w:val="single" w:sz="6" w:space="0" w:color="auto"/>
            </w:tcBorders>
          </w:tcPr>
          <w:p w14:paraId="0419A71B"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1,18</w:t>
            </w:r>
          </w:p>
        </w:tc>
        <w:tc>
          <w:tcPr>
            <w:tcW w:w="851" w:type="dxa"/>
            <w:tcBorders>
              <w:top w:val="single" w:sz="6" w:space="0" w:color="auto"/>
              <w:left w:val="single" w:sz="6" w:space="0" w:color="auto"/>
              <w:bottom w:val="single" w:sz="6" w:space="0" w:color="auto"/>
              <w:right w:val="single" w:sz="6" w:space="0" w:color="auto"/>
            </w:tcBorders>
          </w:tcPr>
          <w:p w14:paraId="672C6EA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1,22</w:t>
            </w:r>
          </w:p>
        </w:tc>
        <w:tc>
          <w:tcPr>
            <w:tcW w:w="850" w:type="dxa"/>
            <w:tcBorders>
              <w:top w:val="single" w:sz="6" w:space="0" w:color="auto"/>
              <w:left w:val="single" w:sz="6" w:space="0" w:color="auto"/>
              <w:bottom w:val="single" w:sz="6" w:space="0" w:color="auto"/>
              <w:right w:val="single" w:sz="6" w:space="0" w:color="auto"/>
            </w:tcBorders>
          </w:tcPr>
          <w:p w14:paraId="2E9CFCB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1,33</w:t>
            </w:r>
          </w:p>
        </w:tc>
        <w:tc>
          <w:tcPr>
            <w:tcW w:w="851" w:type="dxa"/>
            <w:tcBorders>
              <w:top w:val="single" w:sz="6" w:space="0" w:color="auto"/>
              <w:left w:val="single" w:sz="6" w:space="0" w:color="auto"/>
              <w:bottom w:val="single" w:sz="6" w:space="0" w:color="auto"/>
              <w:right w:val="single" w:sz="6" w:space="0" w:color="auto"/>
            </w:tcBorders>
          </w:tcPr>
          <w:p w14:paraId="5796E2D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1,39</w:t>
            </w:r>
          </w:p>
        </w:tc>
        <w:tc>
          <w:tcPr>
            <w:tcW w:w="850" w:type="dxa"/>
            <w:tcBorders>
              <w:top w:val="single" w:sz="6" w:space="0" w:color="auto"/>
              <w:left w:val="single" w:sz="6" w:space="0" w:color="auto"/>
              <w:bottom w:val="single" w:sz="6" w:space="0" w:color="auto"/>
              <w:right w:val="single" w:sz="6" w:space="0" w:color="auto"/>
            </w:tcBorders>
          </w:tcPr>
          <w:p w14:paraId="528982C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1,30</w:t>
            </w:r>
          </w:p>
        </w:tc>
        <w:tc>
          <w:tcPr>
            <w:tcW w:w="851" w:type="dxa"/>
            <w:tcBorders>
              <w:top w:val="single" w:sz="6" w:space="0" w:color="auto"/>
              <w:left w:val="single" w:sz="6" w:space="0" w:color="auto"/>
              <w:bottom w:val="single" w:sz="6" w:space="0" w:color="auto"/>
              <w:right w:val="single" w:sz="6" w:space="0" w:color="auto"/>
            </w:tcBorders>
          </w:tcPr>
          <w:p w14:paraId="006B3EB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1,29</w:t>
            </w:r>
          </w:p>
        </w:tc>
        <w:tc>
          <w:tcPr>
            <w:tcW w:w="992" w:type="dxa"/>
            <w:tcBorders>
              <w:top w:val="single" w:sz="6" w:space="0" w:color="auto"/>
              <w:left w:val="single" w:sz="6" w:space="0" w:color="auto"/>
              <w:bottom w:val="single" w:sz="6" w:space="0" w:color="auto"/>
              <w:right w:val="single" w:sz="6" w:space="0" w:color="auto"/>
            </w:tcBorders>
          </w:tcPr>
          <w:p w14:paraId="2D511F2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1,46</w:t>
            </w:r>
          </w:p>
        </w:tc>
      </w:tr>
      <w:tr w:rsidR="00117C0D" w:rsidRPr="003954D9" w14:paraId="76582046" w14:textId="77777777" w:rsidTr="00117C0D">
        <w:trPr>
          <w:trHeight w:val="227"/>
        </w:trPr>
        <w:tc>
          <w:tcPr>
            <w:tcW w:w="881" w:type="dxa"/>
            <w:tcBorders>
              <w:top w:val="single" w:sz="6" w:space="0" w:color="auto"/>
              <w:left w:val="single" w:sz="6" w:space="0" w:color="auto"/>
              <w:bottom w:val="single" w:sz="6" w:space="0" w:color="auto"/>
              <w:right w:val="single" w:sz="6" w:space="0" w:color="auto"/>
            </w:tcBorders>
          </w:tcPr>
          <w:p w14:paraId="5C6EA56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rokv</w:t>
            </w:r>
          </w:p>
        </w:tc>
        <w:tc>
          <w:tcPr>
            <w:tcW w:w="800" w:type="dxa"/>
            <w:tcBorders>
              <w:top w:val="single" w:sz="6" w:space="0" w:color="auto"/>
              <w:left w:val="single" w:sz="6" w:space="0" w:color="auto"/>
              <w:bottom w:val="single" w:sz="6" w:space="0" w:color="auto"/>
              <w:right w:val="single" w:sz="6" w:space="0" w:color="auto"/>
            </w:tcBorders>
          </w:tcPr>
          <w:p w14:paraId="1BCD80C2" w14:textId="77777777" w:rsidR="00117C0D" w:rsidRPr="003954D9" w:rsidRDefault="00117C0D" w:rsidP="00117C0D">
            <w:pPr>
              <w:autoSpaceDE w:val="0"/>
              <w:autoSpaceDN w:val="0"/>
              <w:adjustRightInd w:val="0"/>
              <w:jc w:val="right"/>
              <w:rPr>
                <w:rFonts w:ascii="Calibri" w:hAnsi="Calibri" w:cs="Calibri"/>
                <w:bCs/>
                <w:color w:val="FF0000"/>
                <w:sz w:val="16"/>
                <w:szCs w:val="16"/>
              </w:rPr>
            </w:pPr>
            <w:r w:rsidRPr="003954D9">
              <w:rPr>
                <w:rFonts w:ascii="Calibri" w:hAnsi="Calibri" w:cs="Calibri"/>
                <w:bCs/>
                <w:sz w:val="16"/>
                <w:szCs w:val="16"/>
              </w:rPr>
              <w:t>1,98</w:t>
            </w:r>
          </w:p>
        </w:tc>
        <w:tc>
          <w:tcPr>
            <w:tcW w:w="901" w:type="dxa"/>
            <w:tcBorders>
              <w:top w:val="single" w:sz="6" w:space="0" w:color="auto"/>
              <w:left w:val="single" w:sz="6" w:space="0" w:color="auto"/>
              <w:bottom w:val="single" w:sz="6" w:space="0" w:color="auto"/>
              <w:right w:val="single" w:sz="6" w:space="0" w:color="auto"/>
            </w:tcBorders>
          </w:tcPr>
          <w:p w14:paraId="35D1642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1,47</w:t>
            </w:r>
          </w:p>
        </w:tc>
        <w:tc>
          <w:tcPr>
            <w:tcW w:w="850" w:type="dxa"/>
            <w:tcBorders>
              <w:top w:val="single" w:sz="6" w:space="0" w:color="auto"/>
              <w:left w:val="single" w:sz="6" w:space="0" w:color="auto"/>
              <w:bottom w:val="single" w:sz="6" w:space="0" w:color="auto"/>
              <w:right w:val="single" w:sz="6" w:space="0" w:color="auto"/>
            </w:tcBorders>
          </w:tcPr>
          <w:p w14:paraId="3CFBDF3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1,35</w:t>
            </w:r>
          </w:p>
        </w:tc>
        <w:tc>
          <w:tcPr>
            <w:tcW w:w="709" w:type="dxa"/>
            <w:tcBorders>
              <w:top w:val="single" w:sz="6" w:space="0" w:color="auto"/>
              <w:left w:val="single" w:sz="6" w:space="0" w:color="auto"/>
              <w:bottom w:val="single" w:sz="6" w:space="0" w:color="auto"/>
              <w:right w:val="single" w:sz="6" w:space="0" w:color="auto"/>
            </w:tcBorders>
          </w:tcPr>
          <w:p w14:paraId="25AE4F6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1,58</w:t>
            </w:r>
          </w:p>
        </w:tc>
        <w:tc>
          <w:tcPr>
            <w:tcW w:w="851" w:type="dxa"/>
            <w:tcBorders>
              <w:top w:val="single" w:sz="6" w:space="0" w:color="auto"/>
              <w:left w:val="single" w:sz="6" w:space="0" w:color="auto"/>
              <w:bottom w:val="single" w:sz="6" w:space="0" w:color="auto"/>
              <w:right w:val="single" w:sz="6" w:space="0" w:color="auto"/>
            </w:tcBorders>
          </w:tcPr>
          <w:p w14:paraId="2B287B1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1,37</w:t>
            </w:r>
          </w:p>
        </w:tc>
        <w:tc>
          <w:tcPr>
            <w:tcW w:w="850" w:type="dxa"/>
            <w:tcBorders>
              <w:top w:val="single" w:sz="6" w:space="0" w:color="auto"/>
              <w:left w:val="single" w:sz="6" w:space="0" w:color="auto"/>
              <w:bottom w:val="single" w:sz="6" w:space="0" w:color="auto"/>
              <w:right w:val="single" w:sz="6" w:space="0" w:color="auto"/>
            </w:tcBorders>
          </w:tcPr>
          <w:p w14:paraId="4B06A09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1,47</w:t>
            </w:r>
          </w:p>
        </w:tc>
        <w:tc>
          <w:tcPr>
            <w:tcW w:w="851" w:type="dxa"/>
            <w:tcBorders>
              <w:top w:val="single" w:sz="6" w:space="0" w:color="auto"/>
              <w:left w:val="single" w:sz="6" w:space="0" w:color="auto"/>
              <w:bottom w:val="single" w:sz="6" w:space="0" w:color="auto"/>
              <w:right w:val="single" w:sz="6" w:space="0" w:color="auto"/>
            </w:tcBorders>
          </w:tcPr>
          <w:p w14:paraId="584C3B3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w:t>
            </w:r>
          </w:p>
        </w:tc>
        <w:tc>
          <w:tcPr>
            <w:tcW w:w="850" w:type="dxa"/>
            <w:tcBorders>
              <w:top w:val="single" w:sz="6" w:space="0" w:color="auto"/>
              <w:left w:val="single" w:sz="6" w:space="0" w:color="auto"/>
              <w:bottom w:val="single" w:sz="6" w:space="0" w:color="auto"/>
              <w:right w:val="single" w:sz="6" w:space="0" w:color="auto"/>
            </w:tcBorders>
          </w:tcPr>
          <w:p w14:paraId="7F879B51"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1,34</w:t>
            </w:r>
          </w:p>
        </w:tc>
        <w:tc>
          <w:tcPr>
            <w:tcW w:w="851" w:type="dxa"/>
            <w:tcBorders>
              <w:top w:val="single" w:sz="6" w:space="0" w:color="auto"/>
              <w:left w:val="single" w:sz="6" w:space="0" w:color="auto"/>
              <w:bottom w:val="single" w:sz="6" w:space="0" w:color="auto"/>
              <w:right w:val="single" w:sz="6" w:space="0" w:color="auto"/>
            </w:tcBorders>
          </w:tcPr>
          <w:p w14:paraId="105E6E6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1,67</w:t>
            </w:r>
          </w:p>
        </w:tc>
        <w:tc>
          <w:tcPr>
            <w:tcW w:w="992" w:type="dxa"/>
            <w:tcBorders>
              <w:top w:val="single" w:sz="6" w:space="0" w:color="auto"/>
              <w:left w:val="single" w:sz="6" w:space="0" w:color="auto"/>
              <w:bottom w:val="single" w:sz="6" w:space="0" w:color="auto"/>
              <w:right w:val="single" w:sz="6" w:space="0" w:color="auto"/>
            </w:tcBorders>
          </w:tcPr>
          <w:p w14:paraId="11BF637B"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FF0000"/>
                <w:sz w:val="16"/>
                <w:szCs w:val="16"/>
              </w:rPr>
              <w:t>1,99</w:t>
            </w:r>
          </w:p>
        </w:tc>
      </w:tr>
      <w:tr w:rsidR="00117C0D" w:rsidRPr="003954D9" w14:paraId="56F08B67" w14:textId="77777777" w:rsidTr="00117C0D">
        <w:trPr>
          <w:trHeight w:val="227"/>
        </w:trPr>
        <w:tc>
          <w:tcPr>
            <w:tcW w:w="881" w:type="dxa"/>
            <w:tcBorders>
              <w:top w:val="single" w:sz="6" w:space="0" w:color="auto"/>
              <w:left w:val="single" w:sz="6" w:space="0" w:color="auto"/>
              <w:bottom w:val="single" w:sz="6" w:space="0" w:color="auto"/>
              <w:right w:val="single" w:sz="6" w:space="0" w:color="auto"/>
            </w:tcBorders>
          </w:tcPr>
          <w:p w14:paraId="2DDB1F4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w:t>
            </w:r>
          </w:p>
        </w:tc>
        <w:tc>
          <w:tcPr>
            <w:tcW w:w="800" w:type="dxa"/>
            <w:tcBorders>
              <w:top w:val="single" w:sz="6" w:space="0" w:color="auto"/>
              <w:left w:val="single" w:sz="6" w:space="0" w:color="auto"/>
              <w:bottom w:val="single" w:sz="6" w:space="0" w:color="auto"/>
              <w:right w:val="single" w:sz="6" w:space="0" w:color="auto"/>
            </w:tcBorders>
          </w:tcPr>
          <w:p w14:paraId="4A4BDEC1"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2,09</w:t>
            </w:r>
          </w:p>
        </w:tc>
        <w:tc>
          <w:tcPr>
            <w:tcW w:w="901" w:type="dxa"/>
            <w:tcBorders>
              <w:top w:val="single" w:sz="6" w:space="0" w:color="auto"/>
              <w:left w:val="single" w:sz="6" w:space="0" w:color="auto"/>
              <w:bottom w:val="single" w:sz="6" w:space="0" w:color="auto"/>
              <w:right w:val="single" w:sz="6" w:space="0" w:color="auto"/>
            </w:tcBorders>
          </w:tcPr>
          <w:p w14:paraId="5BAD6488"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1,39</w:t>
            </w:r>
          </w:p>
        </w:tc>
        <w:tc>
          <w:tcPr>
            <w:tcW w:w="850" w:type="dxa"/>
            <w:tcBorders>
              <w:top w:val="single" w:sz="6" w:space="0" w:color="auto"/>
              <w:left w:val="single" w:sz="6" w:space="0" w:color="auto"/>
              <w:bottom w:val="single" w:sz="6" w:space="0" w:color="auto"/>
              <w:right w:val="single" w:sz="6" w:space="0" w:color="auto"/>
            </w:tcBorders>
          </w:tcPr>
          <w:p w14:paraId="25F6AE1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1,44</w:t>
            </w:r>
          </w:p>
        </w:tc>
        <w:tc>
          <w:tcPr>
            <w:tcW w:w="709" w:type="dxa"/>
            <w:tcBorders>
              <w:top w:val="single" w:sz="6" w:space="0" w:color="auto"/>
              <w:left w:val="single" w:sz="6" w:space="0" w:color="auto"/>
              <w:bottom w:val="single" w:sz="6" w:space="0" w:color="auto"/>
              <w:right w:val="single" w:sz="6" w:space="0" w:color="auto"/>
            </w:tcBorders>
          </w:tcPr>
          <w:p w14:paraId="0382804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1,59</w:t>
            </w:r>
          </w:p>
        </w:tc>
        <w:tc>
          <w:tcPr>
            <w:tcW w:w="851" w:type="dxa"/>
            <w:tcBorders>
              <w:top w:val="single" w:sz="6" w:space="0" w:color="auto"/>
              <w:left w:val="single" w:sz="6" w:space="0" w:color="auto"/>
              <w:bottom w:val="single" w:sz="6" w:space="0" w:color="auto"/>
              <w:right w:val="single" w:sz="6" w:space="0" w:color="auto"/>
            </w:tcBorders>
          </w:tcPr>
          <w:p w14:paraId="407FF34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1,50</w:t>
            </w:r>
          </w:p>
        </w:tc>
        <w:tc>
          <w:tcPr>
            <w:tcW w:w="850" w:type="dxa"/>
            <w:tcBorders>
              <w:top w:val="single" w:sz="6" w:space="0" w:color="auto"/>
              <w:left w:val="single" w:sz="6" w:space="0" w:color="auto"/>
              <w:bottom w:val="single" w:sz="6" w:space="0" w:color="auto"/>
              <w:right w:val="single" w:sz="6" w:space="0" w:color="auto"/>
            </w:tcBorders>
          </w:tcPr>
          <w:p w14:paraId="07A5536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1,57</w:t>
            </w:r>
          </w:p>
        </w:tc>
        <w:tc>
          <w:tcPr>
            <w:tcW w:w="851" w:type="dxa"/>
            <w:tcBorders>
              <w:top w:val="single" w:sz="6" w:space="0" w:color="auto"/>
              <w:left w:val="single" w:sz="6" w:space="0" w:color="auto"/>
              <w:bottom w:val="single" w:sz="6" w:space="0" w:color="auto"/>
              <w:right w:val="single" w:sz="6" w:space="0" w:color="auto"/>
            </w:tcBorders>
          </w:tcPr>
          <w:p w14:paraId="6C7C362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1,80</w:t>
            </w:r>
          </w:p>
        </w:tc>
        <w:tc>
          <w:tcPr>
            <w:tcW w:w="850" w:type="dxa"/>
            <w:tcBorders>
              <w:top w:val="single" w:sz="6" w:space="0" w:color="auto"/>
              <w:left w:val="single" w:sz="6" w:space="0" w:color="auto"/>
              <w:bottom w:val="single" w:sz="6" w:space="0" w:color="auto"/>
              <w:right w:val="single" w:sz="6" w:space="0" w:color="auto"/>
            </w:tcBorders>
          </w:tcPr>
          <w:p w14:paraId="743683C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1,47</w:t>
            </w:r>
          </w:p>
        </w:tc>
        <w:tc>
          <w:tcPr>
            <w:tcW w:w="851" w:type="dxa"/>
            <w:tcBorders>
              <w:top w:val="single" w:sz="6" w:space="0" w:color="auto"/>
              <w:left w:val="single" w:sz="6" w:space="0" w:color="auto"/>
              <w:bottom w:val="single" w:sz="6" w:space="0" w:color="auto"/>
              <w:right w:val="single" w:sz="6" w:space="0" w:color="auto"/>
            </w:tcBorders>
          </w:tcPr>
          <w:p w14:paraId="6A6A752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1,41</w:t>
            </w:r>
          </w:p>
        </w:tc>
        <w:tc>
          <w:tcPr>
            <w:tcW w:w="992" w:type="dxa"/>
            <w:tcBorders>
              <w:top w:val="single" w:sz="6" w:space="0" w:color="auto"/>
              <w:left w:val="single" w:sz="6" w:space="0" w:color="auto"/>
              <w:bottom w:val="single" w:sz="6" w:space="0" w:color="auto"/>
              <w:right w:val="single" w:sz="6" w:space="0" w:color="auto"/>
            </w:tcBorders>
          </w:tcPr>
          <w:p w14:paraId="111E6AB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1,73</w:t>
            </w:r>
          </w:p>
        </w:tc>
      </w:tr>
      <w:tr w:rsidR="00117C0D" w:rsidRPr="003954D9" w14:paraId="01EDE130" w14:textId="77777777" w:rsidTr="00117C0D">
        <w:trPr>
          <w:trHeight w:val="227"/>
        </w:trPr>
        <w:tc>
          <w:tcPr>
            <w:tcW w:w="881" w:type="dxa"/>
            <w:tcBorders>
              <w:top w:val="single" w:sz="6" w:space="0" w:color="auto"/>
              <w:left w:val="single" w:sz="6" w:space="0" w:color="auto"/>
              <w:bottom w:val="single" w:sz="6" w:space="0" w:color="auto"/>
              <w:right w:val="single" w:sz="6" w:space="0" w:color="auto"/>
            </w:tcBorders>
          </w:tcPr>
          <w:p w14:paraId="6520CC9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3 rok</w:t>
            </w:r>
          </w:p>
        </w:tc>
        <w:tc>
          <w:tcPr>
            <w:tcW w:w="800" w:type="dxa"/>
            <w:tcBorders>
              <w:top w:val="single" w:sz="6" w:space="0" w:color="auto"/>
              <w:left w:val="single" w:sz="6" w:space="0" w:color="auto"/>
              <w:bottom w:val="single" w:sz="6" w:space="0" w:color="auto"/>
              <w:right w:val="single" w:sz="6" w:space="0" w:color="auto"/>
            </w:tcBorders>
          </w:tcPr>
          <w:p w14:paraId="36561626"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3,21</w:t>
            </w:r>
          </w:p>
        </w:tc>
        <w:tc>
          <w:tcPr>
            <w:tcW w:w="901" w:type="dxa"/>
            <w:tcBorders>
              <w:top w:val="single" w:sz="6" w:space="0" w:color="auto"/>
              <w:left w:val="single" w:sz="6" w:space="0" w:color="auto"/>
              <w:bottom w:val="single" w:sz="6" w:space="0" w:color="auto"/>
              <w:right w:val="single" w:sz="6" w:space="0" w:color="auto"/>
            </w:tcBorders>
          </w:tcPr>
          <w:p w14:paraId="1F9C805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2,33</w:t>
            </w:r>
          </w:p>
        </w:tc>
        <w:tc>
          <w:tcPr>
            <w:tcW w:w="850" w:type="dxa"/>
            <w:tcBorders>
              <w:top w:val="single" w:sz="6" w:space="0" w:color="auto"/>
              <w:left w:val="single" w:sz="6" w:space="0" w:color="auto"/>
              <w:bottom w:val="single" w:sz="6" w:space="0" w:color="auto"/>
              <w:right w:val="single" w:sz="6" w:space="0" w:color="auto"/>
            </w:tcBorders>
          </w:tcPr>
          <w:p w14:paraId="51F4E0A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709" w:type="dxa"/>
            <w:tcBorders>
              <w:top w:val="single" w:sz="6" w:space="0" w:color="auto"/>
              <w:left w:val="single" w:sz="6" w:space="0" w:color="auto"/>
              <w:bottom w:val="single" w:sz="6" w:space="0" w:color="auto"/>
              <w:right w:val="single" w:sz="6" w:space="0" w:color="auto"/>
            </w:tcBorders>
          </w:tcPr>
          <w:p w14:paraId="3A5B25FC"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1,81</w:t>
            </w:r>
          </w:p>
        </w:tc>
        <w:tc>
          <w:tcPr>
            <w:tcW w:w="851" w:type="dxa"/>
            <w:tcBorders>
              <w:top w:val="single" w:sz="6" w:space="0" w:color="auto"/>
              <w:left w:val="single" w:sz="6" w:space="0" w:color="auto"/>
              <w:bottom w:val="single" w:sz="6" w:space="0" w:color="auto"/>
              <w:right w:val="single" w:sz="6" w:space="0" w:color="auto"/>
            </w:tcBorders>
          </w:tcPr>
          <w:p w14:paraId="55CCFAA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2,09</w:t>
            </w:r>
          </w:p>
        </w:tc>
        <w:tc>
          <w:tcPr>
            <w:tcW w:w="850" w:type="dxa"/>
            <w:tcBorders>
              <w:top w:val="single" w:sz="6" w:space="0" w:color="auto"/>
              <w:left w:val="single" w:sz="6" w:space="0" w:color="auto"/>
              <w:bottom w:val="single" w:sz="6" w:space="0" w:color="auto"/>
              <w:right w:val="single" w:sz="6" w:space="0" w:color="auto"/>
            </w:tcBorders>
          </w:tcPr>
          <w:p w14:paraId="33B9BFA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2,39</w:t>
            </w:r>
          </w:p>
        </w:tc>
        <w:tc>
          <w:tcPr>
            <w:tcW w:w="851" w:type="dxa"/>
            <w:tcBorders>
              <w:top w:val="single" w:sz="6" w:space="0" w:color="auto"/>
              <w:left w:val="single" w:sz="6" w:space="0" w:color="auto"/>
              <w:bottom w:val="single" w:sz="6" w:space="0" w:color="auto"/>
              <w:right w:val="single" w:sz="6" w:space="0" w:color="auto"/>
            </w:tcBorders>
          </w:tcPr>
          <w:p w14:paraId="77FA265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3,08</w:t>
            </w:r>
          </w:p>
        </w:tc>
        <w:tc>
          <w:tcPr>
            <w:tcW w:w="850" w:type="dxa"/>
            <w:tcBorders>
              <w:top w:val="single" w:sz="6" w:space="0" w:color="auto"/>
              <w:left w:val="single" w:sz="6" w:space="0" w:color="auto"/>
              <w:bottom w:val="single" w:sz="6" w:space="0" w:color="auto"/>
              <w:right w:val="single" w:sz="6" w:space="0" w:color="auto"/>
            </w:tcBorders>
          </w:tcPr>
          <w:p w14:paraId="529E763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851" w:type="dxa"/>
            <w:tcBorders>
              <w:top w:val="single" w:sz="6" w:space="0" w:color="auto"/>
              <w:left w:val="single" w:sz="6" w:space="0" w:color="auto"/>
              <w:bottom w:val="single" w:sz="6" w:space="0" w:color="auto"/>
              <w:right w:val="single" w:sz="6" w:space="0" w:color="auto"/>
            </w:tcBorders>
          </w:tcPr>
          <w:p w14:paraId="2429A08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2,58</w:t>
            </w:r>
          </w:p>
        </w:tc>
        <w:tc>
          <w:tcPr>
            <w:tcW w:w="992" w:type="dxa"/>
            <w:tcBorders>
              <w:top w:val="single" w:sz="6" w:space="0" w:color="auto"/>
              <w:left w:val="single" w:sz="6" w:space="0" w:color="auto"/>
              <w:bottom w:val="single" w:sz="6" w:space="0" w:color="auto"/>
              <w:right w:val="single" w:sz="6" w:space="0" w:color="auto"/>
            </w:tcBorders>
          </w:tcPr>
          <w:p w14:paraId="6C011E2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2,80</w:t>
            </w:r>
          </w:p>
        </w:tc>
      </w:tr>
      <w:tr w:rsidR="00117C0D" w:rsidRPr="003954D9" w14:paraId="5ACC90F4" w14:textId="77777777" w:rsidTr="00117C0D">
        <w:trPr>
          <w:trHeight w:val="227"/>
        </w:trPr>
        <w:tc>
          <w:tcPr>
            <w:tcW w:w="881" w:type="dxa"/>
            <w:tcBorders>
              <w:top w:val="single" w:sz="6" w:space="0" w:color="auto"/>
              <w:left w:val="single" w:sz="6" w:space="0" w:color="auto"/>
              <w:bottom w:val="single" w:sz="6" w:space="0" w:color="auto"/>
              <w:right w:val="single" w:sz="6" w:space="0" w:color="auto"/>
            </w:tcBorders>
          </w:tcPr>
          <w:p w14:paraId="1DE4920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4 rok</w:t>
            </w:r>
          </w:p>
        </w:tc>
        <w:tc>
          <w:tcPr>
            <w:tcW w:w="800" w:type="dxa"/>
            <w:tcBorders>
              <w:top w:val="single" w:sz="6" w:space="0" w:color="auto"/>
              <w:left w:val="single" w:sz="6" w:space="0" w:color="auto"/>
              <w:bottom w:val="single" w:sz="6" w:space="0" w:color="auto"/>
              <w:right w:val="single" w:sz="6" w:space="0" w:color="auto"/>
            </w:tcBorders>
          </w:tcPr>
          <w:p w14:paraId="64C2FB19"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4,64</w:t>
            </w:r>
          </w:p>
        </w:tc>
        <w:tc>
          <w:tcPr>
            <w:tcW w:w="901" w:type="dxa"/>
            <w:tcBorders>
              <w:top w:val="single" w:sz="6" w:space="0" w:color="auto"/>
              <w:left w:val="single" w:sz="6" w:space="0" w:color="auto"/>
              <w:bottom w:val="single" w:sz="6" w:space="0" w:color="auto"/>
              <w:right w:val="single" w:sz="6" w:space="0" w:color="auto"/>
            </w:tcBorders>
          </w:tcPr>
          <w:p w14:paraId="2727D5C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3,00</w:t>
            </w:r>
          </w:p>
        </w:tc>
        <w:tc>
          <w:tcPr>
            <w:tcW w:w="850" w:type="dxa"/>
            <w:tcBorders>
              <w:top w:val="single" w:sz="6" w:space="0" w:color="auto"/>
              <w:left w:val="single" w:sz="6" w:space="0" w:color="auto"/>
              <w:bottom w:val="single" w:sz="6" w:space="0" w:color="auto"/>
              <w:right w:val="single" w:sz="6" w:space="0" w:color="auto"/>
            </w:tcBorders>
          </w:tcPr>
          <w:p w14:paraId="3E41427B"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AE13ED">
              <w:rPr>
                <w:rFonts w:ascii="Calibri" w:hAnsi="Calibri" w:cs="Calibri"/>
                <w:b/>
                <w:bCs/>
                <w:color w:val="0070C0"/>
                <w:sz w:val="16"/>
                <w:szCs w:val="16"/>
              </w:rPr>
              <w:t>2,81</w:t>
            </w:r>
          </w:p>
        </w:tc>
        <w:tc>
          <w:tcPr>
            <w:tcW w:w="709" w:type="dxa"/>
            <w:tcBorders>
              <w:top w:val="single" w:sz="6" w:space="0" w:color="auto"/>
              <w:left w:val="single" w:sz="6" w:space="0" w:color="auto"/>
              <w:bottom w:val="single" w:sz="6" w:space="0" w:color="auto"/>
              <w:right w:val="single" w:sz="6" w:space="0" w:color="auto"/>
            </w:tcBorders>
          </w:tcPr>
          <w:p w14:paraId="68A046F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3,22</w:t>
            </w:r>
          </w:p>
        </w:tc>
        <w:tc>
          <w:tcPr>
            <w:tcW w:w="851" w:type="dxa"/>
            <w:tcBorders>
              <w:top w:val="single" w:sz="6" w:space="0" w:color="auto"/>
              <w:left w:val="single" w:sz="6" w:space="0" w:color="auto"/>
              <w:bottom w:val="single" w:sz="6" w:space="0" w:color="auto"/>
              <w:right w:val="single" w:sz="6" w:space="0" w:color="auto"/>
            </w:tcBorders>
          </w:tcPr>
          <w:p w14:paraId="67CE78B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2,82</w:t>
            </w:r>
          </w:p>
        </w:tc>
        <w:tc>
          <w:tcPr>
            <w:tcW w:w="850" w:type="dxa"/>
            <w:tcBorders>
              <w:top w:val="single" w:sz="6" w:space="0" w:color="auto"/>
              <w:left w:val="single" w:sz="6" w:space="0" w:color="auto"/>
              <w:bottom w:val="single" w:sz="6" w:space="0" w:color="auto"/>
              <w:right w:val="single" w:sz="6" w:space="0" w:color="auto"/>
            </w:tcBorders>
          </w:tcPr>
          <w:p w14:paraId="76FA1DA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3,58</w:t>
            </w:r>
          </w:p>
        </w:tc>
        <w:tc>
          <w:tcPr>
            <w:tcW w:w="851" w:type="dxa"/>
            <w:tcBorders>
              <w:top w:val="single" w:sz="6" w:space="0" w:color="auto"/>
              <w:left w:val="single" w:sz="6" w:space="0" w:color="auto"/>
              <w:bottom w:val="single" w:sz="6" w:space="0" w:color="auto"/>
              <w:right w:val="single" w:sz="6" w:space="0" w:color="auto"/>
            </w:tcBorders>
          </w:tcPr>
          <w:p w14:paraId="744FB42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3,30</w:t>
            </w:r>
          </w:p>
        </w:tc>
        <w:tc>
          <w:tcPr>
            <w:tcW w:w="850" w:type="dxa"/>
            <w:tcBorders>
              <w:top w:val="single" w:sz="6" w:space="0" w:color="auto"/>
              <w:left w:val="single" w:sz="6" w:space="0" w:color="auto"/>
              <w:bottom w:val="single" w:sz="6" w:space="0" w:color="auto"/>
              <w:right w:val="single" w:sz="6" w:space="0" w:color="auto"/>
            </w:tcBorders>
          </w:tcPr>
          <w:p w14:paraId="30C02AF1"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2,81</w:t>
            </w:r>
          </w:p>
        </w:tc>
        <w:tc>
          <w:tcPr>
            <w:tcW w:w="851" w:type="dxa"/>
            <w:tcBorders>
              <w:top w:val="single" w:sz="6" w:space="0" w:color="auto"/>
              <w:left w:val="single" w:sz="6" w:space="0" w:color="auto"/>
              <w:bottom w:val="single" w:sz="6" w:space="0" w:color="auto"/>
              <w:right w:val="single" w:sz="6" w:space="0" w:color="auto"/>
            </w:tcBorders>
          </w:tcPr>
          <w:p w14:paraId="573C3E7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3,35</w:t>
            </w:r>
          </w:p>
        </w:tc>
        <w:tc>
          <w:tcPr>
            <w:tcW w:w="992" w:type="dxa"/>
            <w:tcBorders>
              <w:top w:val="single" w:sz="6" w:space="0" w:color="auto"/>
              <w:left w:val="single" w:sz="6" w:space="0" w:color="auto"/>
              <w:bottom w:val="single" w:sz="6" w:space="0" w:color="auto"/>
              <w:right w:val="single" w:sz="6" w:space="0" w:color="auto"/>
            </w:tcBorders>
          </w:tcPr>
          <w:p w14:paraId="3D35FA3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3,84</w:t>
            </w:r>
          </w:p>
        </w:tc>
      </w:tr>
      <w:tr w:rsidR="00117C0D" w:rsidRPr="003954D9" w14:paraId="0AE96226" w14:textId="77777777" w:rsidTr="00117C0D">
        <w:trPr>
          <w:trHeight w:val="227"/>
        </w:trPr>
        <w:tc>
          <w:tcPr>
            <w:tcW w:w="881" w:type="dxa"/>
            <w:tcBorders>
              <w:top w:val="single" w:sz="6" w:space="0" w:color="auto"/>
              <w:left w:val="single" w:sz="6" w:space="0" w:color="auto"/>
              <w:bottom w:val="single" w:sz="6" w:space="0" w:color="auto"/>
              <w:right w:val="single" w:sz="6" w:space="0" w:color="auto"/>
            </w:tcBorders>
          </w:tcPr>
          <w:p w14:paraId="74E1C85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5 - rok</w:t>
            </w:r>
          </w:p>
        </w:tc>
        <w:tc>
          <w:tcPr>
            <w:tcW w:w="800" w:type="dxa"/>
            <w:tcBorders>
              <w:top w:val="single" w:sz="6" w:space="0" w:color="auto"/>
              <w:left w:val="single" w:sz="6" w:space="0" w:color="auto"/>
              <w:bottom w:val="single" w:sz="6" w:space="0" w:color="auto"/>
              <w:right w:val="single" w:sz="6" w:space="0" w:color="auto"/>
            </w:tcBorders>
          </w:tcPr>
          <w:p w14:paraId="14CF9A6F"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6,15</w:t>
            </w:r>
          </w:p>
        </w:tc>
        <w:tc>
          <w:tcPr>
            <w:tcW w:w="901" w:type="dxa"/>
            <w:tcBorders>
              <w:top w:val="single" w:sz="6" w:space="0" w:color="auto"/>
              <w:left w:val="single" w:sz="6" w:space="0" w:color="auto"/>
              <w:bottom w:val="single" w:sz="6" w:space="0" w:color="auto"/>
              <w:right w:val="single" w:sz="6" w:space="0" w:color="auto"/>
            </w:tcBorders>
          </w:tcPr>
          <w:p w14:paraId="7B644C4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3,43</w:t>
            </w:r>
          </w:p>
        </w:tc>
        <w:tc>
          <w:tcPr>
            <w:tcW w:w="850" w:type="dxa"/>
            <w:tcBorders>
              <w:top w:val="single" w:sz="6" w:space="0" w:color="auto"/>
              <w:left w:val="single" w:sz="6" w:space="0" w:color="auto"/>
              <w:bottom w:val="single" w:sz="6" w:space="0" w:color="auto"/>
              <w:right w:val="single" w:sz="6" w:space="0" w:color="auto"/>
            </w:tcBorders>
          </w:tcPr>
          <w:p w14:paraId="51CFCD6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3,04</w:t>
            </w:r>
          </w:p>
        </w:tc>
        <w:tc>
          <w:tcPr>
            <w:tcW w:w="709" w:type="dxa"/>
            <w:tcBorders>
              <w:top w:val="single" w:sz="6" w:space="0" w:color="auto"/>
              <w:left w:val="single" w:sz="6" w:space="0" w:color="auto"/>
              <w:bottom w:val="single" w:sz="6" w:space="0" w:color="auto"/>
              <w:right w:val="single" w:sz="6" w:space="0" w:color="auto"/>
            </w:tcBorders>
          </w:tcPr>
          <w:p w14:paraId="2C07176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3,64</w:t>
            </w:r>
          </w:p>
        </w:tc>
        <w:tc>
          <w:tcPr>
            <w:tcW w:w="851" w:type="dxa"/>
            <w:tcBorders>
              <w:top w:val="single" w:sz="6" w:space="0" w:color="auto"/>
              <w:left w:val="single" w:sz="6" w:space="0" w:color="auto"/>
              <w:bottom w:val="single" w:sz="6" w:space="0" w:color="auto"/>
              <w:right w:val="single" w:sz="6" w:space="0" w:color="auto"/>
            </w:tcBorders>
          </w:tcPr>
          <w:p w14:paraId="271A5683" w14:textId="77777777" w:rsidR="00117C0D" w:rsidRPr="003954D9" w:rsidRDefault="00117C0D" w:rsidP="00117C0D">
            <w:pPr>
              <w:autoSpaceDE w:val="0"/>
              <w:autoSpaceDN w:val="0"/>
              <w:adjustRightInd w:val="0"/>
              <w:jc w:val="right"/>
              <w:rPr>
                <w:rFonts w:ascii="Calibri" w:hAnsi="Calibri" w:cs="Calibri"/>
                <w:b/>
                <w:bCs/>
                <w:color w:val="0066CC"/>
                <w:sz w:val="16"/>
                <w:szCs w:val="16"/>
              </w:rPr>
            </w:pPr>
            <w:r w:rsidRPr="003954D9">
              <w:rPr>
                <w:rFonts w:ascii="Calibri" w:hAnsi="Calibri" w:cs="Calibri"/>
                <w:b/>
                <w:bCs/>
                <w:color w:val="0066CC"/>
                <w:sz w:val="16"/>
                <w:szCs w:val="16"/>
              </w:rPr>
              <w:t>2,90</w:t>
            </w:r>
          </w:p>
        </w:tc>
        <w:tc>
          <w:tcPr>
            <w:tcW w:w="850" w:type="dxa"/>
            <w:tcBorders>
              <w:top w:val="single" w:sz="6" w:space="0" w:color="auto"/>
              <w:left w:val="single" w:sz="6" w:space="0" w:color="auto"/>
              <w:bottom w:val="single" w:sz="6" w:space="0" w:color="auto"/>
              <w:right w:val="single" w:sz="6" w:space="0" w:color="auto"/>
            </w:tcBorders>
          </w:tcPr>
          <w:p w14:paraId="3875B5FC"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tcPr>
          <w:p w14:paraId="16D3489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3,95</w:t>
            </w:r>
          </w:p>
        </w:tc>
        <w:tc>
          <w:tcPr>
            <w:tcW w:w="850" w:type="dxa"/>
            <w:tcBorders>
              <w:top w:val="single" w:sz="6" w:space="0" w:color="auto"/>
              <w:left w:val="single" w:sz="6" w:space="0" w:color="auto"/>
              <w:bottom w:val="single" w:sz="6" w:space="0" w:color="auto"/>
              <w:right w:val="single" w:sz="6" w:space="0" w:color="auto"/>
            </w:tcBorders>
          </w:tcPr>
          <w:p w14:paraId="4294534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3,36</w:t>
            </w:r>
          </w:p>
        </w:tc>
        <w:tc>
          <w:tcPr>
            <w:tcW w:w="851" w:type="dxa"/>
            <w:tcBorders>
              <w:top w:val="single" w:sz="6" w:space="0" w:color="auto"/>
              <w:left w:val="single" w:sz="6" w:space="0" w:color="auto"/>
              <w:bottom w:val="single" w:sz="6" w:space="0" w:color="auto"/>
              <w:right w:val="single" w:sz="6" w:space="0" w:color="auto"/>
            </w:tcBorders>
          </w:tcPr>
          <w:p w14:paraId="4F4B616C"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992" w:type="dxa"/>
            <w:tcBorders>
              <w:top w:val="single" w:sz="6" w:space="0" w:color="auto"/>
              <w:left w:val="single" w:sz="6" w:space="0" w:color="auto"/>
              <w:bottom w:val="single" w:sz="6" w:space="0" w:color="auto"/>
              <w:right w:val="single" w:sz="6" w:space="0" w:color="auto"/>
            </w:tcBorders>
          </w:tcPr>
          <w:p w14:paraId="19E5408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5,91</w:t>
            </w:r>
          </w:p>
        </w:tc>
      </w:tr>
      <w:tr w:rsidR="00117C0D" w:rsidRPr="003954D9" w14:paraId="3685EC6B" w14:textId="77777777" w:rsidTr="00117C0D">
        <w:trPr>
          <w:trHeight w:val="227"/>
        </w:trPr>
        <w:tc>
          <w:tcPr>
            <w:tcW w:w="881" w:type="dxa"/>
            <w:tcBorders>
              <w:top w:val="single" w:sz="6" w:space="0" w:color="auto"/>
              <w:left w:val="single" w:sz="6" w:space="0" w:color="auto"/>
              <w:bottom w:val="single" w:sz="6" w:space="0" w:color="auto"/>
              <w:right w:val="single" w:sz="6" w:space="0" w:color="auto"/>
            </w:tcBorders>
          </w:tcPr>
          <w:p w14:paraId="3666FCE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Alla</w:t>
            </w:r>
          </w:p>
        </w:tc>
        <w:tc>
          <w:tcPr>
            <w:tcW w:w="800" w:type="dxa"/>
            <w:tcBorders>
              <w:top w:val="single" w:sz="6" w:space="0" w:color="auto"/>
              <w:left w:val="single" w:sz="6" w:space="0" w:color="auto"/>
              <w:bottom w:val="single" w:sz="6" w:space="0" w:color="auto"/>
              <w:right w:val="single" w:sz="6" w:space="0" w:color="auto"/>
            </w:tcBorders>
          </w:tcPr>
          <w:p w14:paraId="280042F8" w14:textId="77777777" w:rsidR="00117C0D" w:rsidRPr="003954D9" w:rsidRDefault="00117C0D" w:rsidP="00117C0D">
            <w:pPr>
              <w:autoSpaceDE w:val="0"/>
              <w:autoSpaceDN w:val="0"/>
              <w:adjustRightInd w:val="0"/>
              <w:jc w:val="right"/>
              <w:rPr>
                <w:rFonts w:ascii="Calibri" w:hAnsi="Calibri" w:cs="Calibri"/>
                <w:b/>
                <w:bCs/>
                <w:color w:val="FF0000"/>
                <w:sz w:val="16"/>
                <w:szCs w:val="16"/>
              </w:rPr>
            </w:pPr>
            <w:r w:rsidRPr="003954D9">
              <w:rPr>
                <w:rFonts w:ascii="Calibri" w:hAnsi="Calibri" w:cs="Calibri"/>
                <w:b/>
                <w:bCs/>
                <w:color w:val="FF0000"/>
                <w:sz w:val="16"/>
                <w:szCs w:val="16"/>
              </w:rPr>
              <w:t>2,98</w:t>
            </w:r>
          </w:p>
        </w:tc>
        <w:tc>
          <w:tcPr>
            <w:tcW w:w="901" w:type="dxa"/>
            <w:tcBorders>
              <w:top w:val="single" w:sz="6" w:space="0" w:color="auto"/>
              <w:left w:val="single" w:sz="6" w:space="0" w:color="auto"/>
              <w:bottom w:val="single" w:sz="6" w:space="0" w:color="auto"/>
              <w:right w:val="single" w:sz="6" w:space="0" w:color="auto"/>
            </w:tcBorders>
          </w:tcPr>
          <w:p w14:paraId="2D15E7E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2,08</w:t>
            </w:r>
          </w:p>
        </w:tc>
        <w:tc>
          <w:tcPr>
            <w:tcW w:w="850" w:type="dxa"/>
            <w:tcBorders>
              <w:top w:val="single" w:sz="6" w:space="0" w:color="auto"/>
              <w:left w:val="single" w:sz="6" w:space="0" w:color="auto"/>
              <w:bottom w:val="single" w:sz="6" w:space="0" w:color="auto"/>
              <w:right w:val="single" w:sz="6" w:space="0" w:color="auto"/>
            </w:tcBorders>
          </w:tcPr>
          <w:p w14:paraId="3C6E7185" w14:textId="77777777" w:rsidR="00117C0D" w:rsidRPr="003954D9" w:rsidRDefault="00117C0D" w:rsidP="00117C0D">
            <w:pPr>
              <w:autoSpaceDE w:val="0"/>
              <w:autoSpaceDN w:val="0"/>
              <w:adjustRightInd w:val="0"/>
              <w:jc w:val="right"/>
              <w:rPr>
                <w:rFonts w:ascii="Calibri" w:hAnsi="Calibri" w:cs="Calibri"/>
                <w:b/>
                <w:bCs/>
                <w:sz w:val="16"/>
                <w:szCs w:val="16"/>
              </w:rPr>
            </w:pPr>
            <w:r w:rsidRPr="003954D9">
              <w:rPr>
                <w:rFonts w:ascii="Calibri" w:hAnsi="Calibri" w:cs="Calibri"/>
                <w:b/>
                <w:bCs/>
                <w:color w:val="0070C0"/>
                <w:sz w:val="16"/>
                <w:szCs w:val="16"/>
              </w:rPr>
              <w:t>1,68</w:t>
            </w:r>
          </w:p>
        </w:tc>
        <w:tc>
          <w:tcPr>
            <w:tcW w:w="709" w:type="dxa"/>
            <w:tcBorders>
              <w:top w:val="single" w:sz="6" w:space="0" w:color="auto"/>
              <w:left w:val="single" w:sz="6" w:space="0" w:color="auto"/>
              <w:bottom w:val="single" w:sz="6" w:space="0" w:color="auto"/>
              <w:right w:val="single" w:sz="6" w:space="0" w:color="auto"/>
            </w:tcBorders>
          </w:tcPr>
          <w:p w14:paraId="7405C4A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1,77</w:t>
            </w:r>
          </w:p>
        </w:tc>
        <w:tc>
          <w:tcPr>
            <w:tcW w:w="851" w:type="dxa"/>
            <w:tcBorders>
              <w:top w:val="single" w:sz="6" w:space="0" w:color="auto"/>
              <w:left w:val="single" w:sz="6" w:space="0" w:color="auto"/>
              <w:bottom w:val="single" w:sz="6" w:space="0" w:color="auto"/>
              <w:right w:val="single" w:sz="6" w:space="0" w:color="auto"/>
            </w:tcBorders>
          </w:tcPr>
          <w:p w14:paraId="1C56CDA8" w14:textId="77777777" w:rsidR="00117C0D" w:rsidRPr="003954D9" w:rsidRDefault="00117C0D" w:rsidP="00117C0D">
            <w:pPr>
              <w:autoSpaceDE w:val="0"/>
              <w:autoSpaceDN w:val="0"/>
              <w:adjustRightInd w:val="0"/>
              <w:jc w:val="right"/>
              <w:rPr>
                <w:rFonts w:ascii="Calibri" w:hAnsi="Calibri" w:cs="Calibri"/>
                <w:bCs/>
                <w:color w:val="0066CC"/>
                <w:sz w:val="16"/>
                <w:szCs w:val="16"/>
              </w:rPr>
            </w:pPr>
            <w:r w:rsidRPr="003954D9">
              <w:rPr>
                <w:rFonts w:ascii="Calibri" w:hAnsi="Calibri" w:cs="Calibri"/>
                <w:bCs/>
                <w:sz w:val="16"/>
                <w:szCs w:val="16"/>
              </w:rPr>
              <w:t>1,73</w:t>
            </w:r>
          </w:p>
        </w:tc>
        <w:tc>
          <w:tcPr>
            <w:tcW w:w="850" w:type="dxa"/>
            <w:tcBorders>
              <w:top w:val="single" w:sz="6" w:space="0" w:color="auto"/>
              <w:left w:val="single" w:sz="6" w:space="0" w:color="auto"/>
              <w:bottom w:val="single" w:sz="6" w:space="0" w:color="auto"/>
              <w:right w:val="single" w:sz="6" w:space="0" w:color="auto"/>
            </w:tcBorders>
          </w:tcPr>
          <w:p w14:paraId="491C717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851" w:type="dxa"/>
            <w:tcBorders>
              <w:top w:val="single" w:sz="6" w:space="0" w:color="auto"/>
              <w:left w:val="single" w:sz="6" w:space="0" w:color="auto"/>
              <w:bottom w:val="single" w:sz="6" w:space="0" w:color="auto"/>
              <w:right w:val="single" w:sz="6" w:space="0" w:color="auto"/>
            </w:tcBorders>
          </w:tcPr>
          <w:p w14:paraId="633A788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2,50</w:t>
            </w:r>
          </w:p>
        </w:tc>
        <w:tc>
          <w:tcPr>
            <w:tcW w:w="850" w:type="dxa"/>
            <w:tcBorders>
              <w:top w:val="single" w:sz="6" w:space="0" w:color="auto"/>
              <w:left w:val="single" w:sz="6" w:space="0" w:color="auto"/>
              <w:bottom w:val="single" w:sz="6" w:space="0" w:color="auto"/>
              <w:right w:val="single" w:sz="6" w:space="0" w:color="auto"/>
            </w:tcBorders>
          </w:tcPr>
          <w:p w14:paraId="552E2AF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1,88</w:t>
            </w:r>
          </w:p>
        </w:tc>
        <w:tc>
          <w:tcPr>
            <w:tcW w:w="851" w:type="dxa"/>
            <w:tcBorders>
              <w:top w:val="single" w:sz="6" w:space="0" w:color="auto"/>
              <w:left w:val="single" w:sz="6" w:space="0" w:color="auto"/>
              <w:bottom w:val="single" w:sz="6" w:space="0" w:color="auto"/>
              <w:right w:val="single" w:sz="6" w:space="0" w:color="auto"/>
            </w:tcBorders>
          </w:tcPr>
          <w:p w14:paraId="6732CC0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2,09</w:t>
            </w:r>
          </w:p>
        </w:tc>
        <w:tc>
          <w:tcPr>
            <w:tcW w:w="992" w:type="dxa"/>
            <w:tcBorders>
              <w:top w:val="single" w:sz="6" w:space="0" w:color="auto"/>
              <w:left w:val="single" w:sz="6" w:space="0" w:color="auto"/>
              <w:bottom w:val="single" w:sz="6" w:space="0" w:color="auto"/>
              <w:right w:val="single" w:sz="6" w:space="0" w:color="auto"/>
            </w:tcBorders>
          </w:tcPr>
          <w:p w14:paraId="22C9E5E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r>
    </w:tbl>
    <w:p w14:paraId="4ACB975E" w14:textId="77777777" w:rsidR="00117C0D" w:rsidRPr="003954D9" w:rsidRDefault="00117C0D" w:rsidP="00117C0D">
      <w:pPr>
        <w:rPr>
          <w:sz w:val="16"/>
          <w:szCs w:val="16"/>
        </w:rPr>
      </w:pPr>
      <w:r w:rsidRPr="003954D9">
        <w:rPr>
          <w:b/>
          <w:color w:val="FF6600"/>
          <w:sz w:val="16"/>
          <w:szCs w:val="16"/>
        </w:rPr>
        <w:t>Röd färg högsta</w:t>
      </w:r>
      <w:r w:rsidRPr="003954D9">
        <w:rPr>
          <w:color w:val="FF6600"/>
          <w:sz w:val="16"/>
          <w:szCs w:val="16"/>
        </w:rPr>
        <w:t xml:space="preserve"> </w:t>
      </w:r>
      <w:r w:rsidRPr="003954D9">
        <w:rPr>
          <w:sz w:val="16"/>
          <w:szCs w:val="16"/>
        </w:rPr>
        <w:t xml:space="preserve">och </w:t>
      </w:r>
      <w:r w:rsidRPr="00AE13ED">
        <w:rPr>
          <w:b/>
          <w:color w:val="0070C0"/>
          <w:sz w:val="16"/>
          <w:szCs w:val="16"/>
        </w:rPr>
        <w:t>blå färg lägsta</w:t>
      </w:r>
      <w:r w:rsidRPr="00AE13ED">
        <w:rPr>
          <w:color w:val="0070C0"/>
          <w:sz w:val="16"/>
          <w:szCs w:val="16"/>
        </w:rPr>
        <w:t xml:space="preserve"> </w:t>
      </w:r>
      <w:r w:rsidRPr="003954D9">
        <w:rPr>
          <w:sz w:val="16"/>
          <w:szCs w:val="16"/>
        </w:rPr>
        <w:t>värde i grupp.</w:t>
      </w:r>
    </w:p>
    <w:p w14:paraId="7F7ACA76"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 xml:space="preserve">Tabell 6:5: Andel i riskzonen vid en hyreshöjning på 50 procent - lägenhetstyp och stadsdel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850"/>
        <w:gridCol w:w="851"/>
        <w:gridCol w:w="850"/>
        <w:gridCol w:w="708"/>
        <w:gridCol w:w="885"/>
        <w:gridCol w:w="838"/>
        <w:gridCol w:w="830"/>
        <w:gridCol w:w="850"/>
        <w:gridCol w:w="883"/>
        <w:gridCol w:w="871"/>
      </w:tblGrid>
      <w:tr w:rsidR="00117C0D" w:rsidRPr="003954D9" w14:paraId="62825E32" w14:textId="77777777" w:rsidTr="00117C0D">
        <w:trPr>
          <w:trHeight w:val="227"/>
        </w:trPr>
        <w:tc>
          <w:tcPr>
            <w:tcW w:w="910" w:type="dxa"/>
          </w:tcPr>
          <w:p w14:paraId="24B5FE7D"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Lägenhets-typ</w:t>
            </w:r>
          </w:p>
        </w:tc>
        <w:tc>
          <w:tcPr>
            <w:tcW w:w="850" w:type="dxa"/>
          </w:tcPr>
          <w:p w14:paraId="74F0D15B"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51" w:type="dxa"/>
          </w:tcPr>
          <w:p w14:paraId="559C88FE"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Askim-Frölunda- Högsbo</w:t>
            </w:r>
          </w:p>
        </w:tc>
        <w:tc>
          <w:tcPr>
            <w:tcW w:w="850" w:type="dxa"/>
          </w:tcPr>
          <w:p w14:paraId="714058B4"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08" w:type="dxa"/>
          </w:tcPr>
          <w:p w14:paraId="4C97E8D3"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85" w:type="dxa"/>
          </w:tcPr>
          <w:p w14:paraId="7ACBD52B"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 Linné</w:t>
            </w:r>
          </w:p>
        </w:tc>
        <w:tc>
          <w:tcPr>
            <w:tcW w:w="838" w:type="dxa"/>
          </w:tcPr>
          <w:p w14:paraId="78BDCFC0"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830" w:type="dxa"/>
          </w:tcPr>
          <w:p w14:paraId="24D7DFC7"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850" w:type="dxa"/>
          </w:tcPr>
          <w:p w14:paraId="08B0A5D8"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Örgryte-Härlanda</w:t>
            </w:r>
          </w:p>
        </w:tc>
        <w:tc>
          <w:tcPr>
            <w:tcW w:w="883" w:type="dxa"/>
          </w:tcPr>
          <w:p w14:paraId="7BD70D0E"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871" w:type="dxa"/>
          </w:tcPr>
          <w:p w14:paraId="041CDE22"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117C0D" w:rsidRPr="003954D9" w14:paraId="1FFDA473" w14:textId="77777777" w:rsidTr="00117C0D">
        <w:trPr>
          <w:trHeight w:val="227"/>
        </w:trPr>
        <w:tc>
          <w:tcPr>
            <w:tcW w:w="910" w:type="dxa"/>
          </w:tcPr>
          <w:p w14:paraId="3E648592"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rokv</w:t>
            </w:r>
          </w:p>
        </w:tc>
        <w:tc>
          <w:tcPr>
            <w:tcW w:w="850" w:type="dxa"/>
          </w:tcPr>
          <w:p w14:paraId="316510F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28,0</w:t>
            </w:r>
          </w:p>
        </w:tc>
        <w:tc>
          <w:tcPr>
            <w:tcW w:w="851" w:type="dxa"/>
          </w:tcPr>
          <w:p w14:paraId="0D48FF9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33,2</w:t>
            </w:r>
          </w:p>
        </w:tc>
        <w:tc>
          <w:tcPr>
            <w:tcW w:w="850" w:type="dxa"/>
          </w:tcPr>
          <w:p w14:paraId="44831E1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32,4</w:t>
            </w:r>
          </w:p>
        </w:tc>
        <w:tc>
          <w:tcPr>
            <w:tcW w:w="708" w:type="dxa"/>
          </w:tcPr>
          <w:p w14:paraId="75268CC8"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23,9</w:t>
            </w:r>
          </w:p>
        </w:tc>
        <w:tc>
          <w:tcPr>
            <w:tcW w:w="885" w:type="dxa"/>
          </w:tcPr>
          <w:p w14:paraId="62F3BD7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29,0</w:t>
            </w:r>
          </w:p>
        </w:tc>
        <w:tc>
          <w:tcPr>
            <w:tcW w:w="838" w:type="dxa"/>
          </w:tcPr>
          <w:p w14:paraId="3BB8F60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24,1</w:t>
            </w:r>
          </w:p>
        </w:tc>
        <w:tc>
          <w:tcPr>
            <w:tcW w:w="830" w:type="dxa"/>
          </w:tcPr>
          <w:p w14:paraId="41C2EB9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30,9</w:t>
            </w:r>
          </w:p>
        </w:tc>
        <w:tc>
          <w:tcPr>
            <w:tcW w:w="850" w:type="dxa"/>
          </w:tcPr>
          <w:p w14:paraId="6DD4EE8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33,6</w:t>
            </w:r>
          </w:p>
        </w:tc>
        <w:tc>
          <w:tcPr>
            <w:tcW w:w="883" w:type="dxa"/>
          </w:tcPr>
          <w:p w14:paraId="1CCF6F6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71" w:type="dxa"/>
          </w:tcPr>
          <w:p w14:paraId="5CF0E13C" w14:textId="77777777" w:rsidR="00117C0D" w:rsidRPr="003954D9" w:rsidRDefault="00117C0D" w:rsidP="00117C0D">
            <w:pPr>
              <w:autoSpaceDE w:val="0"/>
              <w:autoSpaceDN w:val="0"/>
              <w:adjustRightInd w:val="0"/>
              <w:jc w:val="right"/>
              <w:rPr>
                <w:rFonts w:ascii="Calibri" w:eastAsiaTheme="minorHAnsi" w:hAnsi="Calibri" w:cs="Calibri"/>
                <w:color w:val="FF0000"/>
                <w:sz w:val="16"/>
                <w:szCs w:val="16"/>
                <w:lang w:eastAsia="en-US"/>
              </w:rPr>
            </w:pPr>
            <w:r w:rsidRPr="00AE13ED">
              <w:rPr>
                <w:rFonts w:ascii="Calibri" w:eastAsiaTheme="minorHAnsi" w:hAnsi="Calibri" w:cs="Calibri"/>
                <w:b/>
                <w:color w:val="FF0000"/>
                <w:sz w:val="16"/>
                <w:szCs w:val="16"/>
                <w:lang w:eastAsia="en-US"/>
              </w:rPr>
              <w:t>37,</w:t>
            </w:r>
            <w:r w:rsidRPr="003954D9">
              <w:rPr>
                <w:rFonts w:ascii="Calibri" w:eastAsiaTheme="minorHAnsi" w:hAnsi="Calibri" w:cs="Calibri"/>
                <w:color w:val="FF0000"/>
                <w:sz w:val="16"/>
                <w:szCs w:val="16"/>
                <w:lang w:eastAsia="en-US"/>
              </w:rPr>
              <w:t>7</w:t>
            </w:r>
          </w:p>
        </w:tc>
      </w:tr>
      <w:tr w:rsidR="00117C0D" w:rsidRPr="003954D9" w14:paraId="0EDDD4FF" w14:textId="77777777" w:rsidTr="00117C0D">
        <w:trPr>
          <w:trHeight w:val="227"/>
        </w:trPr>
        <w:tc>
          <w:tcPr>
            <w:tcW w:w="910" w:type="dxa"/>
          </w:tcPr>
          <w:p w14:paraId="609A8799"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rok</w:t>
            </w:r>
          </w:p>
        </w:tc>
        <w:tc>
          <w:tcPr>
            <w:tcW w:w="850" w:type="dxa"/>
          </w:tcPr>
          <w:p w14:paraId="2350DEC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33,3</w:t>
            </w:r>
          </w:p>
        </w:tc>
        <w:tc>
          <w:tcPr>
            <w:tcW w:w="851" w:type="dxa"/>
          </w:tcPr>
          <w:p w14:paraId="707F959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29,4</w:t>
            </w:r>
          </w:p>
        </w:tc>
        <w:tc>
          <w:tcPr>
            <w:tcW w:w="850" w:type="dxa"/>
          </w:tcPr>
          <w:p w14:paraId="6999BFA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18,8</w:t>
            </w:r>
          </w:p>
        </w:tc>
        <w:tc>
          <w:tcPr>
            <w:tcW w:w="708" w:type="dxa"/>
          </w:tcPr>
          <w:p w14:paraId="4A59695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85" w:type="dxa"/>
          </w:tcPr>
          <w:p w14:paraId="632A1C7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26,7</w:t>
            </w:r>
          </w:p>
        </w:tc>
        <w:tc>
          <w:tcPr>
            <w:tcW w:w="838" w:type="dxa"/>
          </w:tcPr>
          <w:p w14:paraId="6194065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27,4</w:t>
            </w:r>
          </w:p>
        </w:tc>
        <w:tc>
          <w:tcPr>
            <w:tcW w:w="830" w:type="dxa"/>
          </w:tcPr>
          <w:p w14:paraId="06C3CEB0" w14:textId="77777777" w:rsidR="00117C0D" w:rsidRPr="003954D9" w:rsidRDefault="00117C0D" w:rsidP="00117C0D">
            <w:pPr>
              <w:autoSpaceDE w:val="0"/>
              <w:autoSpaceDN w:val="0"/>
              <w:adjustRightInd w:val="0"/>
              <w:jc w:val="right"/>
              <w:rPr>
                <w:rFonts w:ascii="Calibri" w:eastAsiaTheme="minorHAnsi" w:hAnsi="Calibri" w:cs="Calibri"/>
                <w:color w:val="FF0000"/>
                <w:sz w:val="16"/>
                <w:szCs w:val="16"/>
                <w:lang w:eastAsia="en-US"/>
              </w:rPr>
            </w:pPr>
            <w:r w:rsidRPr="00AE13ED">
              <w:rPr>
                <w:rFonts w:ascii="Calibri" w:eastAsiaTheme="minorHAnsi" w:hAnsi="Calibri" w:cs="Calibri"/>
                <w:b/>
                <w:color w:val="FF0000"/>
                <w:sz w:val="16"/>
                <w:szCs w:val="16"/>
                <w:lang w:eastAsia="en-US"/>
              </w:rPr>
              <w:t>48,</w:t>
            </w:r>
            <w:r w:rsidRPr="003954D9">
              <w:rPr>
                <w:rFonts w:ascii="Calibri" w:eastAsiaTheme="minorHAnsi" w:hAnsi="Calibri" w:cs="Calibri"/>
                <w:color w:val="FF0000"/>
                <w:sz w:val="16"/>
                <w:szCs w:val="16"/>
                <w:lang w:eastAsia="en-US"/>
              </w:rPr>
              <w:t>4</w:t>
            </w:r>
          </w:p>
        </w:tc>
        <w:tc>
          <w:tcPr>
            <w:tcW w:w="850" w:type="dxa"/>
          </w:tcPr>
          <w:p w14:paraId="20DCE75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21,4</w:t>
            </w:r>
          </w:p>
        </w:tc>
        <w:tc>
          <w:tcPr>
            <w:tcW w:w="883" w:type="dxa"/>
          </w:tcPr>
          <w:p w14:paraId="55A2DCCD"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0,0</w:t>
            </w:r>
          </w:p>
        </w:tc>
        <w:tc>
          <w:tcPr>
            <w:tcW w:w="871" w:type="dxa"/>
          </w:tcPr>
          <w:p w14:paraId="63FD7E2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35,0</w:t>
            </w:r>
          </w:p>
        </w:tc>
      </w:tr>
      <w:tr w:rsidR="00117C0D" w:rsidRPr="003954D9" w14:paraId="768C3690" w14:textId="77777777" w:rsidTr="00117C0D">
        <w:trPr>
          <w:trHeight w:val="227"/>
        </w:trPr>
        <w:tc>
          <w:tcPr>
            <w:tcW w:w="910" w:type="dxa"/>
          </w:tcPr>
          <w:p w14:paraId="6F40F5E7" w14:textId="77777777" w:rsidR="00117C0D" w:rsidRPr="003954D9" w:rsidRDefault="00117C0D" w:rsidP="00117C0D">
            <w:pPr>
              <w:autoSpaceDE w:val="0"/>
              <w:autoSpaceDN w:val="0"/>
              <w:adjustRightInd w:val="0"/>
              <w:rPr>
                <w:rFonts w:ascii="Calibri" w:eastAsiaTheme="minorHAnsi" w:hAnsi="Calibri" w:cs="Calibri"/>
                <w:bCs/>
                <w:color w:val="000000"/>
                <w:sz w:val="16"/>
                <w:szCs w:val="16"/>
                <w:lang w:eastAsia="en-US"/>
              </w:rPr>
            </w:pPr>
            <w:r w:rsidRPr="003954D9">
              <w:rPr>
                <w:rFonts w:ascii="Calibri" w:eastAsiaTheme="minorHAnsi" w:hAnsi="Calibri" w:cs="Calibri"/>
                <w:bCs/>
                <w:color w:val="000000"/>
                <w:sz w:val="16"/>
                <w:szCs w:val="16"/>
                <w:lang w:eastAsia="en-US"/>
              </w:rPr>
              <w:t>2 rokv</w:t>
            </w:r>
          </w:p>
        </w:tc>
        <w:tc>
          <w:tcPr>
            <w:tcW w:w="850" w:type="dxa"/>
          </w:tcPr>
          <w:p w14:paraId="2A2692C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42,6</w:t>
            </w:r>
          </w:p>
        </w:tc>
        <w:tc>
          <w:tcPr>
            <w:tcW w:w="851" w:type="dxa"/>
          </w:tcPr>
          <w:p w14:paraId="24D8EF6D"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58,8</w:t>
            </w:r>
          </w:p>
        </w:tc>
        <w:tc>
          <w:tcPr>
            <w:tcW w:w="850" w:type="dxa"/>
          </w:tcPr>
          <w:p w14:paraId="3165DEF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31,3</w:t>
            </w:r>
          </w:p>
        </w:tc>
        <w:tc>
          <w:tcPr>
            <w:tcW w:w="708" w:type="dxa"/>
          </w:tcPr>
          <w:p w14:paraId="2C28B18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27,5</w:t>
            </w:r>
          </w:p>
        </w:tc>
        <w:tc>
          <w:tcPr>
            <w:tcW w:w="885" w:type="dxa"/>
          </w:tcPr>
          <w:p w14:paraId="302F808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20,3</w:t>
            </w:r>
          </w:p>
        </w:tc>
        <w:tc>
          <w:tcPr>
            <w:tcW w:w="838" w:type="dxa"/>
          </w:tcPr>
          <w:p w14:paraId="296297E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33,7</w:t>
            </w:r>
          </w:p>
        </w:tc>
        <w:tc>
          <w:tcPr>
            <w:tcW w:w="830" w:type="dxa"/>
          </w:tcPr>
          <w:p w14:paraId="46696E9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0" w:type="dxa"/>
          </w:tcPr>
          <w:p w14:paraId="55C4D7F2"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14,3</w:t>
            </w:r>
          </w:p>
        </w:tc>
        <w:tc>
          <w:tcPr>
            <w:tcW w:w="883" w:type="dxa"/>
          </w:tcPr>
          <w:p w14:paraId="7B9D3C1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71" w:type="dxa"/>
          </w:tcPr>
          <w:p w14:paraId="5A186FF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40,0</w:t>
            </w:r>
          </w:p>
        </w:tc>
      </w:tr>
      <w:tr w:rsidR="00117C0D" w:rsidRPr="003954D9" w14:paraId="599FF4FD" w14:textId="77777777" w:rsidTr="00117C0D">
        <w:trPr>
          <w:trHeight w:val="227"/>
        </w:trPr>
        <w:tc>
          <w:tcPr>
            <w:tcW w:w="910" w:type="dxa"/>
          </w:tcPr>
          <w:p w14:paraId="7C16185D"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rok</w:t>
            </w:r>
          </w:p>
        </w:tc>
        <w:tc>
          <w:tcPr>
            <w:tcW w:w="850" w:type="dxa"/>
          </w:tcPr>
          <w:p w14:paraId="76B190E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42,2</w:t>
            </w:r>
          </w:p>
        </w:tc>
        <w:tc>
          <w:tcPr>
            <w:tcW w:w="851" w:type="dxa"/>
          </w:tcPr>
          <w:p w14:paraId="15110E7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33,0</w:t>
            </w:r>
          </w:p>
        </w:tc>
        <w:tc>
          <w:tcPr>
            <w:tcW w:w="850" w:type="dxa"/>
          </w:tcPr>
          <w:p w14:paraId="4A65B52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27,1</w:t>
            </w:r>
          </w:p>
        </w:tc>
        <w:tc>
          <w:tcPr>
            <w:tcW w:w="708" w:type="dxa"/>
          </w:tcPr>
          <w:p w14:paraId="3AE2F6DA"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20,8</w:t>
            </w:r>
          </w:p>
        </w:tc>
        <w:tc>
          <w:tcPr>
            <w:tcW w:w="885" w:type="dxa"/>
          </w:tcPr>
          <w:p w14:paraId="3024DBB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25,6</w:t>
            </w:r>
          </w:p>
        </w:tc>
        <w:tc>
          <w:tcPr>
            <w:tcW w:w="838" w:type="dxa"/>
          </w:tcPr>
          <w:p w14:paraId="110CEE9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34,4</w:t>
            </w:r>
          </w:p>
        </w:tc>
        <w:tc>
          <w:tcPr>
            <w:tcW w:w="830" w:type="dxa"/>
          </w:tcPr>
          <w:p w14:paraId="382AEAA8" w14:textId="77777777" w:rsidR="00117C0D" w:rsidRPr="003954D9" w:rsidRDefault="00117C0D" w:rsidP="00117C0D">
            <w:pPr>
              <w:autoSpaceDE w:val="0"/>
              <w:autoSpaceDN w:val="0"/>
              <w:adjustRightInd w:val="0"/>
              <w:jc w:val="right"/>
              <w:rPr>
                <w:rFonts w:ascii="Calibri" w:eastAsiaTheme="minorHAnsi" w:hAnsi="Calibri" w:cs="Calibri"/>
                <w:color w:val="FF0000"/>
                <w:sz w:val="16"/>
                <w:szCs w:val="16"/>
                <w:lang w:eastAsia="en-US"/>
              </w:rPr>
            </w:pPr>
            <w:r w:rsidRPr="00AE13ED">
              <w:rPr>
                <w:rFonts w:ascii="Calibri" w:eastAsiaTheme="minorHAnsi" w:hAnsi="Calibri" w:cs="Calibri"/>
                <w:b/>
                <w:color w:val="FF0000"/>
                <w:sz w:val="16"/>
                <w:szCs w:val="16"/>
                <w:lang w:eastAsia="en-US"/>
              </w:rPr>
              <w:t>42,</w:t>
            </w:r>
            <w:r w:rsidRPr="003954D9">
              <w:rPr>
                <w:rFonts w:ascii="Calibri" w:eastAsiaTheme="minorHAnsi" w:hAnsi="Calibri" w:cs="Calibri"/>
                <w:color w:val="FF0000"/>
                <w:sz w:val="16"/>
                <w:szCs w:val="16"/>
                <w:lang w:eastAsia="en-US"/>
              </w:rPr>
              <w:t>5</w:t>
            </w:r>
          </w:p>
        </w:tc>
        <w:tc>
          <w:tcPr>
            <w:tcW w:w="850" w:type="dxa"/>
          </w:tcPr>
          <w:p w14:paraId="6178FEE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27,9</w:t>
            </w:r>
          </w:p>
        </w:tc>
        <w:tc>
          <w:tcPr>
            <w:tcW w:w="883" w:type="dxa"/>
          </w:tcPr>
          <w:p w14:paraId="79D7D5E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27,1</w:t>
            </w:r>
          </w:p>
        </w:tc>
        <w:tc>
          <w:tcPr>
            <w:tcW w:w="871" w:type="dxa"/>
          </w:tcPr>
          <w:p w14:paraId="6835238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38,0</w:t>
            </w:r>
          </w:p>
        </w:tc>
      </w:tr>
      <w:tr w:rsidR="00117C0D" w:rsidRPr="003954D9" w14:paraId="6F841766" w14:textId="77777777" w:rsidTr="00117C0D">
        <w:trPr>
          <w:trHeight w:val="227"/>
        </w:trPr>
        <w:tc>
          <w:tcPr>
            <w:tcW w:w="910" w:type="dxa"/>
          </w:tcPr>
          <w:p w14:paraId="688661AE"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 rok</w:t>
            </w:r>
          </w:p>
        </w:tc>
        <w:tc>
          <w:tcPr>
            <w:tcW w:w="850" w:type="dxa"/>
          </w:tcPr>
          <w:p w14:paraId="065E2CE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43,1</w:t>
            </w:r>
          </w:p>
        </w:tc>
        <w:tc>
          <w:tcPr>
            <w:tcW w:w="851" w:type="dxa"/>
          </w:tcPr>
          <w:p w14:paraId="65ED417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38,7</w:t>
            </w:r>
          </w:p>
        </w:tc>
        <w:tc>
          <w:tcPr>
            <w:tcW w:w="850" w:type="dxa"/>
          </w:tcPr>
          <w:p w14:paraId="59F5E1E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24,2</w:t>
            </w:r>
          </w:p>
        </w:tc>
        <w:tc>
          <w:tcPr>
            <w:tcW w:w="708" w:type="dxa"/>
          </w:tcPr>
          <w:p w14:paraId="48E91D8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31,9</w:t>
            </w:r>
          </w:p>
        </w:tc>
        <w:tc>
          <w:tcPr>
            <w:tcW w:w="885" w:type="dxa"/>
          </w:tcPr>
          <w:p w14:paraId="321FD65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27,4</w:t>
            </w:r>
          </w:p>
        </w:tc>
        <w:tc>
          <w:tcPr>
            <w:tcW w:w="838" w:type="dxa"/>
          </w:tcPr>
          <w:p w14:paraId="0A6E5D7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30,5</w:t>
            </w:r>
          </w:p>
        </w:tc>
        <w:tc>
          <w:tcPr>
            <w:tcW w:w="830" w:type="dxa"/>
          </w:tcPr>
          <w:p w14:paraId="4705396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38,7</w:t>
            </w:r>
          </w:p>
        </w:tc>
        <w:tc>
          <w:tcPr>
            <w:tcW w:w="850" w:type="dxa"/>
          </w:tcPr>
          <w:p w14:paraId="2E774E8D"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22,4</w:t>
            </w:r>
          </w:p>
        </w:tc>
        <w:tc>
          <w:tcPr>
            <w:tcW w:w="883" w:type="dxa"/>
          </w:tcPr>
          <w:p w14:paraId="320D4AE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26,0</w:t>
            </w:r>
          </w:p>
        </w:tc>
        <w:tc>
          <w:tcPr>
            <w:tcW w:w="871" w:type="dxa"/>
          </w:tcPr>
          <w:p w14:paraId="42FFEF17" w14:textId="77777777" w:rsidR="00117C0D" w:rsidRPr="003954D9" w:rsidRDefault="00117C0D" w:rsidP="00117C0D">
            <w:pPr>
              <w:autoSpaceDE w:val="0"/>
              <w:autoSpaceDN w:val="0"/>
              <w:adjustRightInd w:val="0"/>
              <w:jc w:val="right"/>
              <w:rPr>
                <w:rFonts w:ascii="Calibri" w:eastAsiaTheme="minorHAnsi" w:hAnsi="Calibri" w:cs="Calibri"/>
                <w:color w:val="FF0000"/>
                <w:sz w:val="16"/>
                <w:szCs w:val="16"/>
                <w:lang w:eastAsia="en-US"/>
              </w:rPr>
            </w:pPr>
            <w:r w:rsidRPr="00AE13ED">
              <w:rPr>
                <w:rFonts w:ascii="Calibri" w:eastAsiaTheme="minorHAnsi" w:hAnsi="Calibri" w:cs="Calibri"/>
                <w:b/>
                <w:color w:val="FF0000"/>
                <w:sz w:val="16"/>
                <w:szCs w:val="16"/>
                <w:lang w:eastAsia="en-US"/>
              </w:rPr>
              <w:t>44,</w:t>
            </w:r>
            <w:r w:rsidRPr="003954D9">
              <w:rPr>
                <w:rFonts w:ascii="Calibri" w:eastAsiaTheme="minorHAnsi" w:hAnsi="Calibri" w:cs="Calibri"/>
                <w:color w:val="FF0000"/>
                <w:sz w:val="16"/>
                <w:szCs w:val="16"/>
                <w:lang w:eastAsia="en-US"/>
              </w:rPr>
              <w:t>7</w:t>
            </w:r>
          </w:p>
        </w:tc>
      </w:tr>
      <w:tr w:rsidR="00117C0D" w:rsidRPr="003954D9" w14:paraId="2D4BAE22" w14:textId="77777777" w:rsidTr="00117C0D">
        <w:trPr>
          <w:trHeight w:val="227"/>
        </w:trPr>
        <w:tc>
          <w:tcPr>
            <w:tcW w:w="910" w:type="dxa"/>
          </w:tcPr>
          <w:p w14:paraId="3982A049"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 rok</w:t>
            </w:r>
          </w:p>
        </w:tc>
        <w:tc>
          <w:tcPr>
            <w:tcW w:w="850" w:type="dxa"/>
          </w:tcPr>
          <w:p w14:paraId="634BF0A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35,4</w:t>
            </w:r>
          </w:p>
        </w:tc>
        <w:tc>
          <w:tcPr>
            <w:tcW w:w="851" w:type="dxa"/>
          </w:tcPr>
          <w:p w14:paraId="735C123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24,2</w:t>
            </w:r>
          </w:p>
        </w:tc>
        <w:tc>
          <w:tcPr>
            <w:tcW w:w="850" w:type="dxa"/>
          </w:tcPr>
          <w:p w14:paraId="2E3439E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20,0</w:t>
            </w:r>
          </w:p>
        </w:tc>
        <w:tc>
          <w:tcPr>
            <w:tcW w:w="708" w:type="dxa"/>
          </w:tcPr>
          <w:p w14:paraId="249F0082"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39,1</w:t>
            </w:r>
          </w:p>
        </w:tc>
        <w:tc>
          <w:tcPr>
            <w:tcW w:w="885" w:type="dxa"/>
          </w:tcPr>
          <w:p w14:paraId="02E332A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16,1</w:t>
            </w:r>
          </w:p>
        </w:tc>
        <w:tc>
          <w:tcPr>
            <w:tcW w:w="838" w:type="dxa"/>
          </w:tcPr>
          <w:p w14:paraId="611BDA3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27,4</w:t>
            </w:r>
          </w:p>
        </w:tc>
        <w:tc>
          <w:tcPr>
            <w:tcW w:w="830" w:type="dxa"/>
          </w:tcPr>
          <w:p w14:paraId="048F086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24,3</w:t>
            </w:r>
          </w:p>
        </w:tc>
        <w:tc>
          <w:tcPr>
            <w:tcW w:w="850" w:type="dxa"/>
          </w:tcPr>
          <w:p w14:paraId="7E4276D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15,3</w:t>
            </w:r>
          </w:p>
        </w:tc>
        <w:tc>
          <w:tcPr>
            <w:tcW w:w="883" w:type="dxa"/>
          </w:tcPr>
          <w:p w14:paraId="56D6EA81"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11,5</w:t>
            </w:r>
          </w:p>
        </w:tc>
        <w:tc>
          <w:tcPr>
            <w:tcW w:w="871" w:type="dxa"/>
          </w:tcPr>
          <w:p w14:paraId="0DEF383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33,5</w:t>
            </w:r>
          </w:p>
        </w:tc>
      </w:tr>
      <w:tr w:rsidR="00117C0D" w:rsidRPr="003954D9" w14:paraId="560C553E" w14:textId="77777777" w:rsidTr="00117C0D">
        <w:trPr>
          <w:trHeight w:val="227"/>
        </w:trPr>
        <w:tc>
          <w:tcPr>
            <w:tcW w:w="910" w:type="dxa"/>
          </w:tcPr>
          <w:p w14:paraId="4B640B45"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5 - rok</w:t>
            </w:r>
          </w:p>
        </w:tc>
        <w:tc>
          <w:tcPr>
            <w:tcW w:w="850" w:type="dxa"/>
          </w:tcPr>
          <w:p w14:paraId="5811236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47,9</w:t>
            </w:r>
          </w:p>
        </w:tc>
        <w:tc>
          <w:tcPr>
            <w:tcW w:w="851" w:type="dxa"/>
          </w:tcPr>
          <w:p w14:paraId="24879E8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31,5</w:t>
            </w:r>
          </w:p>
        </w:tc>
        <w:tc>
          <w:tcPr>
            <w:tcW w:w="850" w:type="dxa"/>
          </w:tcPr>
          <w:p w14:paraId="01DA5E4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22,8</w:t>
            </w:r>
          </w:p>
        </w:tc>
        <w:tc>
          <w:tcPr>
            <w:tcW w:w="708" w:type="dxa"/>
          </w:tcPr>
          <w:p w14:paraId="3160194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22,7</w:t>
            </w:r>
          </w:p>
        </w:tc>
        <w:tc>
          <w:tcPr>
            <w:tcW w:w="885" w:type="dxa"/>
          </w:tcPr>
          <w:p w14:paraId="4EB6447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22,3</w:t>
            </w:r>
          </w:p>
        </w:tc>
        <w:tc>
          <w:tcPr>
            <w:tcW w:w="838" w:type="dxa"/>
          </w:tcPr>
          <w:p w14:paraId="416E206A"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30" w:type="dxa"/>
          </w:tcPr>
          <w:p w14:paraId="38DE546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27,1</w:t>
            </w:r>
          </w:p>
        </w:tc>
        <w:tc>
          <w:tcPr>
            <w:tcW w:w="850" w:type="dxa"/>
          </w:tcPr>
          <w:p w14:paraId="4458E1B6"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11,4</w:t>
            </w:r>
          </w:p>
        </w:tc>
        <w:tc>
          <w:tcPr>
            <w:tcW w:w="883" w:type="dxa"/>
          </w:tcPr>
          <w:p w14:paraId="20D7EB5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71" w:type="dxa"/>
          </w:tcPr>
          <w:p w14:paraId="166C5BD9"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63,6</w:t>
            </w:r>
          </w:p>
        </w:tc>
      </w:tr>
      <w:tr w:rsidR="00117C0D" w:rsidRPr="003954D9" w14:paraId="22DB4124" w14:textId="77777777" w:rsidTr="00117C0D">
        <w:trPr>
          <w:trHeight w:val="227"/>
        </w:trPr>
        <w:tc>
          <w:tcPr>
            <w:tcW w:w="910" w:type="dxa"/>
          </w:tcPr>
          <w:p w14:paraId="322F1B51"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Alla</w:t>
            </w:r>
          </w:p>
        </w:tc>
        <w:tc>
          <w:tcPr>
            <w:tcW w:w="850" w:type="dxa"/>
          </w:tcPr>
          <w:p w14:paraId="5437CC90" w14:textId="77777777" w:rsidR="00117C0D" w:rsidRPr="003954D9" w:rsidRDefault="00117C0D" w:rsidP="00117C0D">
            <w:pPr>
              <w:autoSpaceDE w:val="0"/>
              <w:autoSpaceDN w:val="0"/>
              <w:adjustRightInd w:val="0"/>
              <w:jc w:val="right"/>
              <w:rPr>
                <w:rFonts w:ascii="Calibri" w:eastAsiaTheme="minorHAnsi" w:hAnsi="Calibri" w:cs="Calibri"/>
                <w:color w:val="FF0000"/>
                <w:sz w:val="16"/>
                <w:szCs w:val="16"/>
                <w:lang w:eastAsia="en-US"/>
              </w:rPr>
            </w:pPr>
            <w:r w:rsidRPr="00AE13ED">
              <w:rPr>
                <w:rFonts w:ascii="Calibri" w:eastAsiaTheme="minorHAnsi" w:hAnsi="Calibri" w:cs="Calibri"/>
                <w:b/>
                <w:color w:val="FF0000"/>
                <w:sz w:val="16"/>
                <w:szCs w:val="16"/>
                <w:lang w:eastAsia="en-US"/>
              </w:rPr>
              <w:t>40,</w:t>
            </w:r>
            <w:r w:rsidRPr="003954D9">
              <w:rPr>
                <w:rFonts w:ascii="Calibri" w:eastAsiaTheme="minorHAnsi" w:hAnsi="Calibri" w:cs="Calibri"/>
                <w:color w:val="FF0000"/>
                <w:sz w:val="16"/>
                <w:szCs w:val="16"/>
                <w:lang w:eastAsia="en-US"/>
              </w:rPr>
              <w:t>6</w:t>
            </w:r>
          </w:p>
        </w:tc>
        <w:tc>
          <w:tcPr>
            <w:tcW w:w="851" w:type="dxa"/>
          </w:tcPr>
          <w:p w14:paraId="7BAF9DD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34,0</w:t>
            </w:r>
          </w:p>
        </w:tc>
        <w:tc>
          <w:tcPr>
            <w:tcW w:w="850" w:type="dxa"/>
          </w:tcPr>
          <w:p w14:paraId="1B47C9D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26,8</w:t>
            </w:r>
          </w:p>
        </w:tc>
        <w:tc>
          <w:tcPr>
            <w:tcW w:w="708" w:type="dxa"/>
          </w:tcPr>
          <w:p w14:paraId="2C1699D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26,2</w:t>
            </w:r>
          </w:p>
        </w:tc>
        <w:tc>
          <w:tcPr>
            <w:tcW w:w="885" w:type="dxa"/>
          </w:tcPr>
          <w:p w14:paraId="7A17AB8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25,0</w:t>
            </w:r>
          </w:p>
        </w:tc>
        <w:tc>
          <w:tcPr>
            <w:tcW w:w="838" w:type="dxa"/>
          </w:tcPr>
          <w:p w14:paraId="791D757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30,7</w:t>
            </w:r>
          </w:p>
        </w:tc>
        <w:tc>
          <w:tcPr>
            <w:tcW w:w="830" w:type="dxa"/>
          </w:tcPr>
          <w:p w14:paraId="7A308BC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37,1</w:t>
            </w:r>
          </w:p>
        </w:tc>
        <w:tc>
          <w:tcPr>
            <w:tcW w:w="850" w:type="dxa"/>
          </w:tcPr>
          <w:p w14:paraId="336F55F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23,1</w:t>
            </w:r>
          </w:p>
        </w:tc>
        <w:tc>
          <w:tcPr>
            <w:tcW w:w="883" w:type="dxa"/>
          </w:tcPr>
          <w:p w14:paraId="5142BF20"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23,0</w:t>
            </w:r>
          </w:p>
        </w:tc>
        <w:tc>
          <w:tcPr>
            <w:tcW w:w="871" w:type="dxa"/>
          </w:tcPr>
          <w:p w14:paraId="08AAFDE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39,7</w:t>
            </w:r>
          </w:p>
        </w:tc>
      </w:tr>
      <w:tr w:rsidR="00117C0D" w:rsidRPr="003954D9" w14:paraId="486C9290" w14:textId="77777777" w:rsidTr="00117C0D">
        <w:trPr>
          <w:trHeight w:val="227"/>
        </w:trPr>
        <w:tc>
          <w:tcPr>
            <w:tcW w:w="910" w:type="dxa"/>
          </w:tcPr>
          <w:p w14:paraId="505EBAB9"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Antal</w:t>
            </w:r>
          </w:p>
        </w:tc>
        <w:tc>
          <w:tcPr>
            <w:tcW w:w="850" w:type="dxa"/>
          </w:tcPr>
          <w:p w14:paraId="5D2E315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1 821</w:t>
            </w:r>
          </w:p>
        </w:tc>
        <w:tc>
          <w:tcPr>
            <w:tcW w:w="851" w:type="dxa"/>
          </w:tcPr>
          <w:p w14:paraId="502779D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813</w:t>
            </w:r>
          </w:p>
        </w:tc>
        <w:tc>
          <w:tcPr>
            <w:tcW w:w="850" w:type="dxa"/>
          </w:tcPr>
          <w:p w14:paraId="1579555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553</w:t>
            </w:r>
          </w:p>
        </w:tc>
        <w:tc>
          <w:tcPr>
            <w:tcW w:w="708" w:type="dxa"/>
          </w:tcPr>
          <w:p w14:paraId="6ACCB61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238</w:t>
            </w:r>
          </w:p>
        </w:tc>
        <w:tc>
          <w:tcPr>
            <w:tcW w:w="885" w:type="dxa"/>
          </w:tcPr>
          <w:p w14:paraId="4A725A0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662</w:t>
            </w:r>
          </w:p>
        </w:tc>
        <w:tc>
          <w:tcPr>
            <w:tcW w:w="838" w:type="dxa"/>
          </w:tcPr>
          <w:p w14:paraId="1FF3EDD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425</w:t>
            </w:r>
          </w:p>
        </w:tc>
        <w:tc>
          <w:tcPr>
            <w:tcW w:w="830" w:type="dxa"/>
          </w:tcPr>
          <w:p w14:paraId="6BF85F9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1 035</w:t>
            </w:r>
          </w:p>
        </w:tc>
        <w:tc>
          <w:tcPr>
            <w:tcW w:w="850" w:type="dxa"/>
          </w:tcPr>
          <w:p w14:paraId="32791CA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597</w:t>
            </w:r>
          </w:p>
        </w:tc>
        <w:tc>
          <w:tcPr>
            <w:tcW w:w="883" w:type="dxa"/>
          </w:tcPr>
          <w:p w14:paraId="6B4DB81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73</w:t>
            </w:r>
          </w:p>
        </w:tc>
        <w:tc>
          <w:tcPr>
            <w:tcW w:w="871" w:type="dxa"/>
          </w:tcPr>
          <w:p w14:paraId="1F9C40B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1 384</w:t>
            </w:r>
          </w:p>
        </w:tc>
      </w:tr>
    </w:tbl>
    <w:p w14:paraId="083F7A7A" w14:textId="77777777" w:rsidR="00117C0D" w:rsidRPr="003954D9" w:rsidRDefault="00117C0D" w:rsidP="00117C0D">
      <w:pPr>
        <w:rPr>
          <w:sz w:val="16"/>
          <w:szCs w:val="16"/>
        </w:rPr>
      </w:pPr>
      <w:r w:rsidRPr="00AE13ED">
        <w:rPr>
          <w:b/>
          <w:color w:val="FF6600"/>
          <w:sz w:val="16"/>
          <w:szCs w:val="16"/>
        </w:rPr>
        <w:t>Röd färg högsta</w:t>
      </w:r>
      <w:r w:rsidRPr="003954D9">
        <w:rPr>
          <w:color w:val="FF6600"/>
          <w:sz w:val="16"/>
          <w:szCs w:val="16"/>
        </w:rPr>
        <w:t xml:space="preserve"> </w:t>
      </w:r>
      <w:r w:rsidRPr="003954D9">
        <w:rPr>
          <w:sz w:val="16"/>
          <w:szCs w:val="16"/>
        </w:rPr>
        <w:t xml:space="preserve">och </w:t>
      </w:r>
      <w:r w:rsidRPr="00AE13ED">
        <w:rPr>
          <w:b/>
          <w:color w:val="0070C0"/>
          <w:sz w:val="16"/>
          <w:szCs w:val="16"/>
        </w:rPr>
        <w:t>blå färg lägsta</w:t>
      </w:r>
      <w:r w:rsidRPr="00AE13ED">
        <w:rPr>
          <w:color w:val="0070C0"/>
          <w:sz w:val="16"/>
          <w:szCs w:val="16"/>
        </w:rPr>
        <w:t xml:space="preserve"> </w:t>
      </w:r>
      <w:r w:rsidRPr="003954D9">
        <w:rPr>
          <w:sz w:val="16"/>
          <w:szCs w:val="16"/>
        </w:rPr>
        <w:t>värde i gruppen.</w:t>
      </w:r>
    </w:p>
    <w:p w14:paraId="57ABC2A6"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6:6: Andel och antal hushåll i riskzonen vid hyreshöjning på 25 procent, lägenhetstyp och stadsdel</w:t>
      </w:r>
    </w:p>
    <w:tbl>
      <w:tblPr>
        <w:tblW w:w="9084" w:type="dxa"/>
        <w:tblInd w:w="-38" w:type="dxa"/>
        <w:tblLayout w:type="fixed"/>
        <w:tblCellMar>
          <w:left w:w="70" w:type="dxa"/>
          <w:right w:w="70" w:type="dxa"/>
        </w:tblCellMar>
        <w:tblLook w:val="0000" w:firstRow="0" w:lastRow="0" w:firstColumn="0" w:lastColumn="0" w:noHBand="0" w:noVBand="0"/>
      </w:tblPr>
      <w:tblGrid>
        <w:gridCol w:w="841"/>
        <w:gridCol w:w="814"/>
        <w:gridCol w:w="814"/>
        <w:gridCol w:w="817"/>
        <w:gridCol w:w="814"/>
        <w:gridCol w:w="814"/>
        <w:gridCol w:w="814"/>
        <w:gridCol w:w="814"/>
        <w:gridCol w:w="833"/>
        <w:gridCol w:w="847"/>
        <w:gridCol w:w="862"/>
      </w:tblGrid>
      <w:tr w:rsidR="00117C0D" w:rsidRPr="003954D9" w14:paraId="7AE1013F" w14:textId="77777777" w:rsidTr="00117C0D">
        <w:trPr>
          <w:trHeight w:val="227"/>
        </w:trPr>
        <w:tc>
          <w:tcPr>
            <w:tcW w:w="881" w:type="dxa"/>
            <w:tcBorders>
              <w:top w:val="single" w:sz="6" w:space="0" w:color="auto"/>
              <w:left w:val="single" w:sz="6" w:space="0" w:color="auto"/>
              <w:bottom w:val="single" w:sz="6" w:space="0" w:color="auto"/>
              <w:right w:val="single" w:sz="6" w:space="0" w:color="auto"/>
            </w:tcBorders>
            <w:vAlign w:val="center"/>
          </w:tcPr>
          <w:p w14:paraId="73572C0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Lägenhets</w:t>
            </w:r>
            <w:r w:rsidRPr="003954D9">
              <w:rPr>
                <w:rFonts w:ascii="Calibri" w:hAnsi="Calibri" w:cs="Calibri"/>
                <w:b/>
                <w:bCs/>
                <w:color w:val="000000"/>
                <w:sz w:val="16"/>
                <w:szCs w:val="16"/>
              </w:rPr>
              <w:lastRenderedPageBreak/>
              <w:t>-typ</w:t>
            </w:r>
          </w:p>
        </w:tc>
        <w:tc>
          <w:tcPr>
            <w:tcW w:w="789" w:type="dxa"/>
            <w:tcBorders>
              <w:top w:val="single" w:sz="6" w:space="0" w:color="auto"/>
              <w:left w:val="single" w:sz="6" w:space="0" w:color="auto"/>
              <w:bottom w:val="single" w:sz="6" w:space="0" w:color="auto"/>
              <w:right w:val="single" w:sz="6" w:space="0" w:color="auto"/>
            </w:tcBorders>
            <w:vAlign w:val="center"/>
          </w:tcPr>
          <w:p w14:paraId="7241CF14"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lastRenderedPageBreak/>
              <w:t>Angered</w:t>
            </w:r>
          </w:p>
        </w:tc>
        <w:tc>
          <w:tcPr>
            <w:tcW w:w="838" w:type="dxa"/>
            <w:tcBorders>
              <w:top w:val="single" w:sz="6" w:space="0" w:color="auto"/>
              <w:left w:val="single" w:sz="6" w:space="0" w:color="auto"/>
              <w:bottom w:val="single" w:sz="6" w:space="0" w:color="auto"/>
              <w:right w:val="single" w:sz="6" w:space="0" w:color="auto"/>
            </w:tcBorders>
            <w:vAlign w:val="center"/>
          </w:tcPr>
          <w:p w14:paraId="61B222E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w:t>
            </w:r>
            <w:r w:rsidRPr="003954D9">
              <w:rPr>
                <w:rFonts w:ascii="Calibri" w:hAnsi="Calibri" w:cs="Calibri"/>
                <w:b/>
                <w:bCs/>
                <w:color w:val="000000"/>
                <w:sz w:val="16"/>
                <w:szCs w:val="16"/>
              </w:rPr>
              <w:lastRenderedPageBreak/>
              <w:t>Frölunda-Högsbo</w:t>
            </w:r>
          </w:p>
        </w:tc>
        <w:tc>
          <w:tcPr>
            <w:tcW w:w="854" w:type="dxa"/>
            <w:tcBorders>
              <w:top w:val="single" w:sz="6" w:space="0" w:color="auto"/>
              <w:left w:val="single" w:sz="6" w:space="0" w:color="auto"/>
              <w:bottom w:val="single" w:sz="6" w:space="0" w:color="auto"/>
              <w:right w:val="single" w:sz="6" w:space="0" w:color="auto"/>
            </w:tcBorders>
            <w:vAlign w:val="center"/>
          </w:tcPr>
          <w:p w14:paraId="09F1123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lastRenderedPageBreak/>
              <w:t>Centrum</w:t>
            </w:r>
          </w:p>
        </w:tc>
        <w:tc>
          <w:tcPr>
            <w:tcW w:w="677" w:type="dxa"/>
            <w:tcBorders>
              <w:top w:val="single" w:sz="6" w:space="0" w:color="auto"/>
              <w:left w:val="single" w:sz="6" w:space="0" w:color="auto"/>
              <w:bottom w:val="single" w:sz="6" w:space="0" w:color="auto"/>
              <w:right w:val="single" w:sz="6" w:space="0" w:color="auto"/>
            </w:tcBorders>
            <w:vAlign w:val="center"/>
          </w:tcPr>
          <w:p w14:paraId="00559BB6"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807" w:type="dxa"/>
            <w:tcBorders>
              <w:top w:val="single" w:sz="6" w:space="0" w:color="auto"/>
              <w:left w:val="single" w:sz="6" w:space="0" w:color="auto"/>
              <w:bottom w:val="single" w:sz="6" w:space="0" w:color="auto"/>
              <w:right w:val="single" w:sz="6" w:space="0" w:color="auto"/>
            </w:tcBorders>
            <w:vAlign w:val="center"/>
          </w:tcPr>
          <w:p w14:paraId="6F4337A8"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w:t>
            </w:r>
            <w:r w:rsidRPr="003954D9">
              <w:rPr>
                <w:rFonts w:ascii="Calibri" w:hAnsi="Calibri" w:cs="Calibri"/>
                <w:b/>
                <w:bCs/>
                <w:color w:val="000000"/>
                <w:sz w:val="16"/>
                <w:szCs w:val="16"/>
              </w:rPr>
              <w:lastRenderedPageBreak/>
              <w:t>Linné</w:t>
            </w:r>
          </w:p>
        </w:tc>
        <w:tc>
          <w:tcPr>
            <w:tcW w:w="820" w:type="dxa"/>
            <w:tcBorders>
              <w:top w:val="single" w:sz="6" w:space="0" w:color="auto"/>
              <w:left w:val="single" w:sz="6" w:space="0" w:color="auto"/>
              <w:bottom w:val="single" w:sz="6" w:space="0" w:color="auto"/>
              <w:right w:val="single" w:sz="6" w:space="0" w:color="auto"/>
            </w:tcBorders>
            <w:vAlign w:val="center"/>
          </w:tcPr>
          <w:p w14:paraId="00BB1E20"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lastRenderedPageBreak/>
              <w:t xml:space="preserve">Norra </w:t>
            </w:r>
            <w:r w:rsidRPr="003954D9">
              <w:rPr>
                <w:rFonts w:ascii="Calibri" w:hAnsi="Calibri" w:cs="Calibri"/>
                <w:b/>
                <w:bCs/>
                <w:color w:val="000000"/>
                <w:sz w:val="16"/>
                <w:szCs w:val="16"/>
              </w:rPr>
              <w:lastRenderedPageBreak/>
              <w:t>Hisingen</w:t>
            </w:r>
          </w:p>
        </w:tc>
        <w:tc>
          <w:tcPr>
            <w:tcW w:w="759" w:type="dxa"/>
            <w:tcBorders>
              <w:top w:val="single" w:sz="6" w:space="0" w:color="auto"/>
              <w:left w:val="single" w:sz="6" w:space="0" w:color="auto"/>
              <w:bottom w:val="single" w:sz="6" w:space="0" w:color="auto"/>
              <w:right w:val="single" w:sz="6" w:space="0" w:color="auto"/>
            </w:tcBorders>
            <w:vAlign w:val="center"/>
          </w:tcPr>
          <w:p w14:paraId="257F575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lastRenderedPageBreak/>
              <w:t xml:space="preserve">Västra </w:t>
            </w:r>
            <w:r w:rsidRPr="003954D9">
              <w:rPr>
                <w:rFonts w:ascii="Calibri" w:hAnsi="Calibri" w:cs="Calibri"/>
                <w:b/>
                <w:bCs/>
                <w:color w:val="000000"/>
                <w:sz w:val="16"/>
                <w:szCs w:val="16"/>
              </w:rPr>
              <w:lastRenderedPageBreak/>
              <w:t>Hisingen</w:t>
            </w:r>
          </w:p>
        </w:tc>
        <w:tc>
          <w:tcPr>
            <w:tcW w:w="871" w:type="dxa"/>
            <w:tcBorders>
              <w:top w:val="single" w:sz="6" w:space="0" w:color="auto"/>
              <w:left w:val="single" w:sz="6" w:space="0" w:color="auto"/>
              <w:bottom w:val="single" w:sz="6" w:space="0" w:color="auto"/>
              <w:right w:val="single" w:sz="6" w:space="0" w:color="auto"/>
            </w:tcBorders>
            <w:vAlign w:val="center"/>
          </w:tcPr>
          <w:p w14:paraId="21457FE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lastRenderedPageBreak/>
              <w:t>Örgryte-</w:t>
            </w:r>
            <w:r w:rsidRPr="003954D9">
              <w:rPr>
                <w:rFonts w:ascii="Calibri" w:hAnsi="Calibri" w:cs="Calibri"/>
                <w:b/>
                <w:bCs/>
                <w:color w:val="000000"/>
                <w:sz w:val="16"/>
                <w:szCs w:val="16"/>
              </w:rPr>
              <w:lastRenderedPageBreak/>
              <w:t>Härlanda</w:t>
            </w:r>
          </w:p>
        </w:tc>
        <w:tc>
          <w:tcPr>
            <w:tcW w:w="886" w:type="dxa"/>
            <w:tcBorders>
              <w:top w:val="single" w:sz="6" w:space="0" w:color="auto"/>
              <w:left w:val="single" w:sz="6" w:space="0" w:color="auto"/>
              <w:bottom w:val="single" w:sz="6" w:space="0" w:color="auto"/>
              <w:right w:val="single" w:sz="6" w:space="0" w:color="auto"/>
            </w:tcBorders>
            <w:vAlign w:val="center"/>
          </w:tcPr>
          <w:p w14:paraId="02490FE9"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lastRenderedPageBreak/>
              <w:t xml:space="preserve">Västra </w:t>
            </w:r>
            <w:r w:rsidRPr="003954D9">
              <w:rPr>
                <w:rFonts w:ascii="Calibri" w:hAnsi="Calibri" w:cs="Calibri"/>
                <w:b/>
                <w:bCs/>
                <w:color w:val="000000"/>
                <w:sz w:val="16"/>
                <w:szCs w:val="16"/>
              </w:rPr>
              <w:lastRenderedPageBreak/>
              <w:t>Göteborg</w:t>
            </w:r>
          </w:p>
        </w:tc>
        <w:tc>
          <w:tcPr>
            <w:tcW w:w="902" w:type="dxa"/>
            <w:tcBorders>
              <w:top w:val="single" w:sz="6" w:space="0" w:color="auto"/>
              <w:left w:val="single" w:sz="6" w:space="0" w:color="auto"/>
              <w:bottom w:val="single" w:sz="6" w:space="0" w:color="auto"/>
              <w:right w:val="single" w:sz="6" w:space="0" w:color="auto"/>
            </w:tcBorders>
            <w:vAlign w:val="center"/>
          </w:tcPr>
          <w:p w14:paraId="47F41BF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lastRenderedPageBreak/>
              <w:t xml:space="preserve">Östra </w:t>
            </w:r>
            <w:r w:rsidRPr="003954D9">
              <w:rPr>
                <w:rFonts w:ascii="Calibri" w:hAnsi="Calibri" w:cs="Calibri"/>
                <w:b/>
                <w:bCs/>
                <w:color w:val="000000"/>
                <w:sz w:val="16"/>
                <w:szCs w:val="16"/>
              </w:rPr>
              <w:lastRenderedPageBreak/>
              <w:t>Göteborg</w:t>
            </w:r>
          </w:p>
        </w:tc>
      </w:tr>
      <w:tr w:rsidR="00117C0D" w:rsidRPr="003954D9" w14:paraId="13EE3F22" w14:textId="77777777" w:rsidTr="00117C0D">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24F9BD6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lastRenderedPageBreak/>
              <w:t xml:space="preserve">1 rokv </w:t>
            </w:r>
          </w:p>
        </w:tc>
        <w:tc>
          <w:tcPr>
            <w:tcW w:w="851" w:type="dxa"/>
            <w:tcBorders>
              <w:top w:val="single" w:sz="6" w:space="0" w:color="auto"/>
              <w:left w:val="single" w:sz="6" w:space="0" w:color="auto"/>
              <w:bottom w:val="single" w:sz="6" w:space="0" w:color="auto"/>
              <w:right w:val="single" w:sz="6" w:space="0" w:color="auto"/>
            </w:tcBorders>
            <w:vAlign w:val="center"/>
          </w:tcPr>
          <w:p w14:paraId="1BE316D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22,9</w:t>
            </w:r>
          </w:p>
        </w:tc>
        <w:tc>
          <w:tcPr>
            <w:tcW w:w="851" w:type="dxa"/>
            <w:tcBorders>
              <w:top w:val="single" w:sz="6" w:space="0" w:color="auto"/>
              <w:left w:val="single" w:sz="6" w:space="0" w:color="auto"/>
              <w:bottom w:val="single" w:sz="6" w:space="0" w:color="auto"/>
              <w:right w:val="single" w:sz="6" w:space="0" w:color="auto"/>
            </w:tcBorders>
            <w:vAlign w:val="center"/>
          </w:tcPr>
          <w:p w14:paraId="71F11A5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28,3</w:t>
            </w:r>
          </w:p>
        </w:tc>
        <w:tc>
          <w:tcPr>
            <w:tcW w:w="851" w:type="dxa"/>
            <w:tcBorders>
              <w:top w:val="single" w:sz="6" w:space="0" w:color="auto"/>
              <w:left w:val="single" w:sz="6" w:space="0" w:color="auto"/>
              <w:bottom w:val="single" w:sz="6" w:space="0" w:color="auto"/>
              <w:right w:val="single" w:sz="6" w:space="0" w:color="auto"/>
            </w:tcBorders>
            <w:vAlign w:val="center"/>
          </w:tcPr>
          <w:p w14:paraId="498B5CD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25,3</w:t>
            </w:r>
          </w:p>
        </w:tc>
        <w:tc>
          <w:tcPr>
            <w:tcW w:w="851" w:type="dxa"/>
            <w:tcBorders>
              <w:top w:val="single" w:sz="6" w:space="0" w:color="auto"/>
              <w:left w:val="single" w:sz="6" w:space="0" w:color="auto"/>
              <w:bottom w:val="single" w:sz="6" w:space="0" w:color="auto"/>
              <w:right w:val="single" w:sz="6" w:space="0" w:color="auto"/>
            </w:tcBorders>
            <w:vAlign w:val="center"/>
          </w:tcPr>
          <w:p w14:paraId="02753545" w14:textId="77777777" w:rsidR="00117C0D" w:rsidRPr="003954D9" w:rsidRDefault="00117C0D" w:rsidP="00117C0D">
            <w:pPr>
              <w:autoSpaceDE w:val="0"/>
              <w:autoSpaceDN w:val="0"/>
              <w:adjustRightInd w:val="0"/>
              <w:jc w:val="right"/>
              <w:rPr>
                <w:rFonts w:ascii="Calibri" w:hAnsi="Calibri" w:cs="Calibri"/>
                <w:b/>
                <w:color w:val="33CCCC"/>
                <w:sz w:val="16"/>
                <w:szCs w:val="16"/>
              </w:rPr>
            </w:pPr>
            <w:r w:rsidRPr="003954D9">
              <w:rPr>
                <w:rFonts w:ascii="Calibri" w:hAnsi="Calibri" w:cs="Calibri"/>
                <w:b/>
                <w:bCs/>
                <w:color w:val="0066CC"/>
                <w:sz w:val="16"/>
                <w:szCs w:val="16"/>
              </w:rPr>
              <w:t>17,4</w:t>
            </w:r>
          </w:p>
        </w:tc>
        <w:tc>
          <w:tcPr>
            <w:tcW w:w="851" w:type="dxa"/>
            <w:tcBorders>
              <w:top w:val="single" w:sz="6" w:space="0" w:color="auto"/>
              <w:left w:val="single" w:sz="6" w:space="0" w:color="auto"/>
              <w:bottom w:val="single" w:sz="6" w:space="0" w:color="auto"/>
              <w:right w:val="single" w:sz="6" w:space="0" w:color="auto"/>
            </w:tcBorders>
            <w:vAlign w:val="center"/>
          </w:tcPr>
          <w:p w14:paraId="65893C0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23,7</w:t>
            </w:r>
          </w:p>
        </w:tc>
        <w:tc>
          <w:tcPr>
            <w:tcW w:w="851" w:type="dxa"/>
            <w:tcBorders>
              <w:top w:val="single" w:sz="6" w:space="0" w:color="auto"/>
              <w:left w:val="single" w:sz="6" w:space="0" w:color="auto"/>
              <w:bottom w:val="single" w:sz="6" w:space="0" w:color="auto"/>
              <w:right w:val="single" w:sz="6" w:space="0" w:color="auto"/>
            </w:tcBorders>
            <w:vAlign w:val="center"/>
          </w:tcPr>
          <w:p w14:paraId="5CD0DFF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22,6</w:t>
            </w:r>
          </w:p>
        </w:tc>
        <w:tc>
          <w:tcPr>
            <w:tcW w:w="851" w:type="dxa"/>
            <w:tcBorders>
              <w:top w:val="single" w:sz="6" w:space="0" w:color="auto"/>
              <w:left w:val="single" w:sz="6" w:space="0" w:color="auto"/>
              <w:bottom w:val="single" w:sz="6" w:space="0" w:color="auto"/>
              <w:right w:val="single" w:sz="6" w:space="0" w:color="auto"/>
            </w:tcBorders>
            <w:vAlign w:val="center"/>
          </w:tcPr>
          <w:p w14:paraId="542BF3A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25,7</w:t>
            </w:r>
          </w:p>
        </w:tc>
        <w:tc>
          <w:tcPr>
            <w:tcW w:w="851" w:type="dxa"/>
            <w:tcBorders>
              <w:top w:val="single" w:sz="6" w:space="0" w:color="auto"/>
              <w:left w:val="single" w:sz="6" w:space="0" w:color="auto"/>
              <w:bottom w:val="single" w:sz="6" w:space="0" w:color="auto"/>
              <w:right w:val="single" w:sz="6" w:space="0" w:color="auto"/>
            </w:tcBorders>
            <w:vAlign w:val="center"/>
          </w:tcPr>
          <w:p w14:paraId="352EEBA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27,8</w:t>
            </w:r>
          </w:p>
        </w:tc>
        <w:tc>
          <w:tcPr>
            <w:tcW w:w="851" w:type="dxa"/>
            <w:tcBorders>
              <w:top w:val="single" w:sz="6" w:space="0" w:color="auto"/>
              <w:left w:val="single" w:sz="6" w:space="0" w:color="auto"/>
              <w:bottom w:val="single" w:sz="6" w:space="0" w:color="auto"/>
              <w:right w:val="single" w:sz="6" w:space="0" w:color="auto"/>
            </w:tcBorders>
            <w:vAlign w:val="center"/>
          </w:tcPr>
          <w:p w14:paraId="6412BF3A"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3E3F0D4E" w14:textId="77777777" w:rsidR="00117C0D" w:rsidRPr="003954D9" w:rsidRDefault="00117C0D" w:rsidP="00117C0D">
            <w:pPr>
              <w:autoSpaceDE w:val="0"/>
              <w:autoSpaceDN w:val="0"/>
              <w:adjustRightInd w:val="0"/>
              <w:jc w:val="right"/>
              <w:rPr>
                <w:rFonts w:ascii="Calibri" w:hAnsi="Calibri" w:cs="Calibri"/>
                <w:color w:val="FF0000"/>
                <w:sz w:val="16"/>
                <w:szCs w:val="16"/>
              </w:rPr>
            </w:pPr>
            <w:r w:rsidRPr="003954D9">
              <w:rPr>
                <w:rFonts w:ascii="Calibri" w:hAnsi="Calibri" w:cs="Calibri"/>
                <w:b/>
                <w:bCs/>
                <w:color w:val="FF0000"/>
                <w:sz w:val="16"/>
                <w:szCs w:val="16"/>
              </w:rPr>
              <w:t>33,2</w:t>
            </w:r>
          </w:p>
        </w:tc>
      </w:tr>
      <w:tr w:rsidR="00117C0D" w:rsidRPr="003954D9" w14:paraId="3F8FE501" w14:textId="77777777" w:rsidTr="00117C0D">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35F8AE0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1 rok</w:t>
            </w:r>
          </w:p>
        </w:tc>
        <w:tc>
          <w:tcPr>
            <w:tcW w:w="851" w:type="dxa"/>
            <w:tcBorders>
              <w:top w:val="single" w:sz="6" w:space="0" w:color="auto"/>
              <w:left w:val="single" w:sz="6" w:space="0" w:color="auto"/>
              <w:bottom w:val="single" w:sz="6" w:space="0" w:color="auto"/>
              <w:right w:val="single" w:sz="6" w:space="0" w:color="auto"/>
            </w:tcBorders>
            <w:vAlign w:val="center"/>
          </w:tcPr>
          <w:p w14:paraId="20382E1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23,7</w:t>
            </w:r>
          </w:p>
        </w:tc>
        <w:tc>
          <w:tcPr>
            <w:tcW w:w="851" w:type="dxa"/>
            <w:tcBorders>
              <w:top w:val="single" w:sz="6" w:space="0" w:color="auto"/>
              <w:left w:val="single" w:sz="6" w:space="0" w:color="auto"/>
              <w:bottom w:val="single" w:sz="6" w:space="0" w:color="auto"/>
              <w:right w:val="single" w:sz="6" w:space="0" w:color="auto"/>
            </w:tcBorders>
            <w:vAlign w:val="center"/>
          </w:tcPr>
          <w:p w14:paraId="264DC88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21,6</w:t>
            </w:r>
          </w:p>
        </w:tc>
        <w:tc>
          <w:tcPr>
            <w:tcW w:w="851" w:type="dxa"/>
            <w:tcBorders>
              <w:top w:val="single" w:sz="6" w:space="0" w:color="auto"/>
              <w:left w:val="single" w:sz="6" w:space="0" w:color="auto"/>
              <w:bottom w:val="single" w:sz="6" w:space="0" w:color="auto"/>
              <w:right w:val="single" w:sz="6" w:space="0" w:color="auto"/>
            </w:tcBorders>
            <w:vAlign w:val="center"/>
          </w:tcPr>
          <w:p w14:paraId="1112D38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18,8</w:t>
            </w:r>
          </w:p>
        </w:tc>
        <w:tc>
          <w:tcPr>
            <w:tcW w:w="851" w:type="dxa"/>
            <w:tcBorders>
              <w:top w:val="single" w:sz="6" w:space="0" w:color="auto"/>
              <w:left w:val="single" w:sz="6" w:space="0" w:color="auto"/>
              <w:bottom w:val="single" w:sz="6" w:space="0" w:color="auto"/>
              <w:right w:val="single" w:sz="6" w:space="0" w:color="auto"/>
            </w:tcBorders>
            <w:vAlign w:val="center"/>
          </w:tcPr>
          <w:p w14:paraId="1A4914B8"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00AC9F4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20,6</w:t>
            </w:r>
          </w:p>
        </w:tc>
        <w:tc>
          <w:tcPr>
            <w:tcW w:w="851" w:type="dxa"/>
            <w:tcBorders>
              <w:top w:val="single" w:sz="6" w:space="0" w:color="auto"/>
              <w:left w:val="single" w:sz="6" w:space="0" w:color="auto"/>
              <w:bottom w:val="single" w:sz="6" w:space="0" w:color="auto"/>
              <w:right w:val="single" w:sz="6" w:space="0" w:color="auto"/>
            </w:tcBorders>
            <w:vAlign w:val="center"/>
          </w:tcPr>
          <w:p w14:paraId="7968193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23,8</w:t>
            </w:r>
          </w:p>
        </w:tc>
        <w:tc>
          <w:tcPr>
            <w:tcW w:w="851" w:type="dxa"/>
            <w:tcBorders>
              <w:top w:val="single" w:sz="6" w:space="0" w:color="auto"/>
              <w:left w:val="single" w:sz="6" w:space="0" w:color="auto"/>
              <w:bottom w:val="single" w:sz="6" w:space="0" w:color="auto"/>
              <w:right w:val="single" w:sz="6" w:space="0" w:color="auto"/>
            </w:tcBorders>
            <w:vAlign w:val="center"/>
          </w:tcPr>
          <w:p w14:paraId="299D82A5" w14:textId="77777777" w:rsidR="00117C0D" w:rsidRPr="003954D9" w:rsidRDefault="00117C0D" w:rsidP="00117C0D">
            <w:pPr>
              <w:autoSpaceDE w:val="0"/>
              <w:autoSpaceDN w:val="0"/>
              <w:adjustRightInd w:val="0"/>
              <w:jc w:val="right"/>
              <w:rPr>
                <w:rFonts w:ascii="Calibri" w:hAnsi="Calibri" w:cs="Calibri"/>
                <w:color w:val="FF0000"/>
                <w:sz w:val="16"/>
                <w:szCs w:val="16"/>
              </w:rPr>
            </w:pPr>
            <w:r w:rsidRPr="003954D9">
              <w:rPr>
                <w:rFonts w:ascii="Calibri" w:hAnsi="Calibri" w:cs="Calibri"/>
                <w:b/>
                <w:bCs/>
                <w:color w:val="FF0000"/>
                <w:sz w:val="16"/>
                <w:szCs w:val="16"/>
              </w:rPr>
              <w:t>31,3</w:t>
            </w:r>
          </w:p>
        </w:tc>
        <w:tc>
          <w:tcPr>
            <w:tcW w:w="851" w:type="dxa"/>
            <w:tcBorders>
              <w:top w:val="single" w:sz="6" w:space="0" w:color="auto"/>
              <w:left w:val="single" w:sz="6" w:space="0" w:color="auto"/>
              <w:bottom w:val="single" w:sz="6" w:space="0" w:color="auto"/>
              <w:right w:val="single" w:sz="6" w:space="0" w:color="auto"/>
            </w:tcBorders>
            <w:vAlign w:val="center"/>
          </w:tcPr>
          <w:p w14:paraId="1AA9C39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15,9</w:t>
            </w:r>
          </w:p>
        </w:tc>
        <w:tc>
          <w:tcPr>
            <w:tcW w:w="851" w:type="dxa"/>
            <w:tcBorders>
              <w:top w:val="single" w:sz="6" w:space="0" w:color="auto"/>
              <w:left w:val="single" w:sz="6" w:space="0" w:color="auto"/>
              <w:bottom w:val="single" w:sz="6" w:space="0" w:color="auto"/>
              <w:right w:val="single" w:sz="6" w:space="0" w:color="auto"/>
            </w:tcBorders>
            <w:vAlign w:val="center"/>
          </w:tcPr>
          <w:p w14:paraId="7DC154EA" w14:textId="77777777" w:rsidR="00117C0D" w:rsidRPr="003954D9" w:rsidRDefault="00117C0D" w:rsidP="00117C0D">
            <w:pPr>
              <w:autoSpaceDE w:val="0"/>
              <w:autoSpaceDN w:val="0"/>
              <w:adjustRightInd w:val="0"/>
              <w:jc w:val="right"/>
              <w:rPr>
                <w:rFonts w:ascii="Calibri" w:hAnsi="Calibri" w:cs="Calibri"/>
                <w:b/>
                <w:color w:val="0066CC"/>
                <w:sz w:val="16"/>
                <w:szCs w:val="16"/>
              </w:rPr>
            </w:pPr>
            <w:r w:rsidRPr="003954D9">
              <w:rPr>
                <w:rFonts w:ascii="Calibri" w:hAnsi="Calibri" w:cs="Calibri"/>
                <w:b/>
                <w:bCs/>
                <w:color w:val="0066CC"/>
                <w:sz w:val="16"/>
                <w:szCs w:val="16"/>
              </w:rPr>
              <w:t>0,0</w:t>
            </w:r>
          </w:p>
        </w:tc>
        <w:tc>
          <w:tcPr>
            <w:tcW w:w="851" w:type="dxa"/>
            <w:tcBorders>
              <w:top w:val="single" w:sz="6" w:space="0" w:color="auto"/>
              <w:left w:val="single" w:sz="6" w:space="0" w:color="auto"/>
              <w:bottom w:val="single" w:sz="6" w:space="0" w:color="auto"/>
              <w:right w:val="single" w:sz="6" w:space="0" w:color="auto"/>
            </w:tcBorders>
            <w:vAlign w:val="center"/>
          </w:tcPr>
          <w:p w14:paraId="7CE385C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27,7</w:t>
            </w:r>
          </w:p>
        </w:tc>
      </w:tr>
      <w:tr w:rsidR="00117C0D" w:rsidRPr="003954D9" w14:paraId="56DFAE0A" w14:textId="77777777" w:rsidTr="00117C0D">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0E513CB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rokv</w:t>
            </w:r>
          </w:p>
        </w:tc>
        <w:tc>
          <w:tcPr>
            <w:tcW w:w="851" w:type="dxa"/>
            <w:tcBorders>
              <w:top w:val="single" w:sz="6" w:space="0" w:color="auto"/>
              <w:left w:val="single" w:sz="6" w:space="0" w:color="auto"/>
              <w:bottom w:val="single" w:sz="6" w:space="0" w:color="auto"/>
              <w:right w:val="single" w:sz="6" w:space="0" w:color="auto"/>
            </w:tcBorders>
            <w:vAlign w:val="center"/>
          </w:tcPr>
          <w:p w14:paraId="5D9415A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30,9</w:t>
            </w:r>
          </w:p>
        </w:tc>
        <w:tc>
          <w:tcPr>
            <w:tcW w:w="851" w:type="dxa"/>
            <w:tcBorders>
              <w:top w:val="single" w:sz="6" w:space="0" w:color="auto"/>
              <w:left w:val="single" w:sz="6" w:space="0" w:color="auto"/>
              <w:bottom w:val="single" w:sz="6" w:space="0" w:color="auto"/>
              <w:right w:val="single" w:sz="6" w:space="0" w:color="auto"/>
            </w:tcBorders>
            <w:vAlign w:val="center"/>
          </w:tcPr>
          <w:p w14:paraId="150F45DE" w14:textId="77777777" w:rsidR="00117C0D" w:rsidRPr="003954D9" w:rsidRDefault="00117C0D" w:rsidP="00117C0D">
            <w:pPr>
              <w:autoSpaceDE w:val="0"/>
              <w:autoSpaceDN w:val="0"/>
              <w:adjustRightInd w:val="0"/>
              <w:jc w:val="right"/>
              <w:rPr>
                <w:rFonts w:ascii="Calibri" w:hAnsi="Calibri" w:cs="Calibri"/>
                <w:color w:val="FF6600"/>
                <w:sz w:val="16"/>
                <w:szCs w:val="16"/>
              </w:rPr>
            </w:pPr>
            <w:r w:rsidRPr="003954D9">
              <w:rPr>
                <w:rFonts w:ascii="Calibri" w:hAnsi="Calibri" w:cs="Calibri"/>
                <w:b/>
                <w:bCs/>
                <w:color w:val="FF0000"/>
                <w:sz w:val="16"/>
                <w:szCs w:val="16"/>
              </w:rPr>
              <w:t>41,2</w:t>
            </w:r>
          </w:p>
        </w:tc>
        <w:tc>
          <w:tcPr>
            <w:tcW w:w="851" w:type="dxa"/>
            <w:tcBorders>
              <w:top w:val="single" w:sz="6" w:space="0" w:color="auto"/>
              <w:left w:val="single" w:sz="6" w:space="0" w:color="auto"/>
              <w:bottom w:val="single" w:sz="6" w:space="0" w:color="auto"/>
              <w:right w:val="single" w:sz="6" w:space="0" w:color="auto"/>
            </w:tcBorders>
            <w:vAlign w:val="center"/>
          </w:tcPr>
          <w:p w14:paraId="05F810D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16,0</w:t>
            </w:r>
          </w:p>
        </w:tc>
        <w:tc>
          <w:tcPr>
            <w:tcW w:w="851" w:type="dxa"/>
            <w:tcBorders>
              <w:top w:val="single" w:sz="6" w:space="0" w:color="auto"/>
              <w:left w:val="single" w:sz="6" w:space="0" w:color="auto"/>
              <w:bottom w:val="single" w:sz="6" w:space="0" w:color="auto"/>
              <w:right w:val="single" w:sz="6" w:space="0" w:color="auto"/>
            </w:tcBorders>
            <w:vAlign w:val="center"/>
          </w:tcPr>
          <w:p w14:paraId="18AAF4F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21,7</w:t>
            </w:r>
          </w:p>
        </w:tc>
        <w:tc>
          <w:tcPr>
            <w:tcW w:w="851" w:type="dxa"/>
            <w:tcBorders>
              <w:top w:val="single" w:sz="6" w:space="0" w:color="auto"/>
              <w:left w:val="single" w:sz="6" w:space="0" w:color="auto"/>
              <w:bottom w:val="single" w:sz="6" w:space="0" w:color="auto"/>
              <w:right w:val="single" w:sz="6" w:space="0" w:color="auto"/>
            </w:tcBorders>
            <w:vAlign w:val="center"/>
          </w:tcPr>
          <w:p w14:paraId="7184F1BC"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bCs/>
                <w:color w:val="0066CC"/>
                <w:sz w:val="16"/>
                <w:szCs w:val="16"/>
              </w:rPr>
              <w:t>13,0</w:t>
            </w:r>
          </w:p>
        </w:tc>
        <w:tc>
          <w:tcPr>
            <w:tcW w:w="851" w:type="dxa"/>
            <w:tcBorders>
              <w:top w:val="single" w:sz="6" w:space="0" w:color="auto"/>
              <w:left w:val="single" w:sz="6" w:space="0" w:color="auto"/>
              <w:bottom w:val="single" w:sz="6" w:space="0" w:color="auto"/>
              <w:right w:val="single" w:sz="6" w:space="0" w:color="auto"/>
            </w:tcBorders>
            <w:vAlign w:val="center"/>
          </w:tcPr>
          <w:p w14:paraId="143AAE1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21,2</w:t>
            </w:r>
          </w:p>
        </w:tc>
        <w:tc>
          <w:tcPr>
            <w:tcW w:w="851" w:type="dxa"/>
            <w:tcBorders>
              <w:top w:val="single" w:sz="6" w:space="0" w:color="auto"/>
              <w:left w:val="single" w:sz="6" w:space="0" w:color="auto"/>
              <w:bottom w:val="single" w:sz="6" w:space="0" w:color="auto"/>
              <w:right w:val="single" w:sz="6" w:space="0" w:color="auto"/>
            </w:tcBorders>
            <w:vAlign w:val="center"/>
          </w:tcPr>
          <w:p w14:paraId="2A3648E8" w14:textId="77777777" w:rsidR="00117C0D" w:rsidRPr="003954D9" w:rsidRDefault="00117C0D" w:rsidP="00117C0D">
            <w:pPr>
              <w:autoSpaceDE w:val="0"/>
              <w:autoSpaceDN w:val="0"/>
              <w:adjustRightInd w:val="0"/>
              <w:jc w:val="center"/>
              <w:rPr>
                <w:rFonts w:ascii="Calibri" w:hAnsi="Calibri" w:cs="Calibri"/>
                <w:bCs/>
                <w:color w:val="000000"/>
                <w:sz w:val="16"/>
                <w:szCs w:val="16"/>
              </w:rPr>
            </w:pPr>
            <w:r w:rsidRPr="003954D9">
              <w:rPr>
                <w:rFonts w:ascii="Calibri" w:hAnsi="Calibri" w:cs="Calibri"/>
                <w:bCs/>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7F97B2DC"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79B5A62B"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48B4B06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31,9</w:t>
            </w:r>
          </w:p>
        </w:tc>
      </w:tr>
      <w:tr w:rsidR="00117C0D" w:rsidRPr="003954D9" w14:paraId="00FFD489" w14:textId="77777777" w:rsidTr="00117C0D">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5E249AE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2 rok</w:t>
            </w:r>
          </w:p>
        </w:tc>
        <w:tc>
          <w:tcPr>
            <w:tcW w:w="851" w:type="dxa"/>
            <w:tcBorders>
              <w:top w:val="single" w:sz="6" w:space="0" w:color="auto"/>
              <w:left w:val="single" w:sz="6" w:space="0" w:color="auto"/>
              <w:bottom w:val="single" w:sz="6" w:space="0" w:color="auto"/>
              <w:right w:val="single" w:sz="6" w:space="0" w:color="auto"/>
            </w:tcBorders>
            <w:vAlign w:val="center"/>
          </w:tcPr>
          <w:p w14:paraId="3D58B2D8" w14:textId="77777777" w:rsidR="00117C0D" w:rsidRPr="003954D9" w:rsidRDefault="00117C0D" w:rsidP="00117C0D">
            <w:pPr>
              <w:autoSpaceDE w:val="0"/>
              <w:autoSpaceDN w:val="0"/>
              <w:adjustRightInd w:val="0"/>
              <w:jc w:val="right"/>
              <w:rPr>
                <w:rFonts w:ascii="Calibri" w:hAnsi="Calibri" w:cs="Calibri"/>
                <w:color w:val="FF6600"/>
                <w:sz w:val="16"/>
                <w:szCs w:val="16"/>
              </w:rPr>
            </w:pPr>
            <w:r w:rsidRPr="003954D9">
              <w:rPr>
                <w:rFonts w:ascii="Calibri" w:hAnsi="Calibri" w:cs="Calibri"/>
                <w:b/>
                <w:bCs/>
                <w:color w:val="FF0000"/>
                <w:sz w:val="16"/>
                <w:szCs w:val="16"/>
              </w:rPr>
              <w:t>29,6</w:t>
            </w:r>
          </w:p>
        </w:tc>
        <w:tc>
          <w:tcPr>
            <w:tcW w:w="851" w:type="dxa"/>
            <w:tcBorders>
              <w:top w:val="single" w:sz="6" w:space="0" w:color="auto"/>
              <w:left w:val="single" w:sz="6" w:space="0" w:color="auto"/>
              <w:bottom w:val="single" w:sz="6" w:space="0" w:color="auto"/>
              <w:right w:val="single" w:sz="6" w:space="0" w:color="auto"/>
            </w:tcBorders>
            <w:vAlign w:val="center"/>
          </w:tcPr>
          <w:p w14:paraId="0ED1D12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17,9</w:t>
            </w:r>
          </w:p>
        </w:tc>
        <w:tc>
          <w:tcPr>
            <w:tcW w:w="851" w:type="dxa"/>
            <w:tcBorders>
              <w:top w:val="single" w:sz="6" w:space="0" w:color="auto"/>
              <w:left w:val="single" w:sz="6" w:space="0" w:color="auto"/>
              <w:bottom w:val="single" w:sz="6" w:space="0" w:color="auto"/>
              <w:right w:val="single" w:sz="6" w:space="0" w:color="auto"/>
            </w:tcBorders>
            <w:vAlign w:val="center"/>
          </w:tcPr>
          <w:p w14:paraId="22517FF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15,9</w:t>
            </w:r>
          </w:p>
        </w:tc>
        <w:tc>
          <w:tcPr>
            <w:tcW w:w="851" w:type="dxa"/>
            <w:tcBorders>
              <w:top w:val="single" w:sz="6" w:space="0" w:color="auto"/>
              <w:left w:val="single" w:sz="6" w:space="0" w:color="auto"/>
              <w:bottom w:val="single" w:sz="6" w:space="0" w:color="auto"/>
              <w:right w:val="single" w:sz="6" w:space="0" w:color="auto"/>
            </w:tcBorders>
            <w:vAlign w:val="center"/>
          </w:tcPr>
          <w:p w14:paraId="2BA7D6F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15,4</w:t>
            </w:r>
          </w:p>
        </w:tc>
        <w:tc>
          <w:tcPr>
            <w:tcW w:w="851" w:type="dxa"/>
            <w:tcBorders>
              <w:top w:val="single" w:sz="6" w:space="0" w:color="auto"/>
              <w:left w:val="single" w:sz="6" w:space="0" w:color="auto"/>
              <w:bottom w:val="single" w:sz="6" w:space="0" w:color="auto"/>
              <w:right w:val="single" w:sz="6" w:space="0" w:color="auto"/>
            </w:tcBorders>
            <w:vAlign w:val="center"/>
          </w:tcPr>
          <w:p w14:paraId="60EDA0B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16,6</w:t>
            </w:r>
          </w:p>
        </w:tc>
        <w:tc>
          <w:tcPr>
            <w:tcW w:w="851" w:type="dxa"/>
            <w:tcBorders>
              <w:top w:val="single" w:sz="6" w:space="0" w:color="auto"/>
              <w:left w:val="single" w:sz="6" w:space="0" w:color="auto"/>
              <w:bottom w:val="single" w:sz="6" w:space="0" w:color="auto"/>
              <w:right w:val="single" w:sz="6" w:space="0" w:color="auto"/>
            </w:tcBorders>
            <w:vAlign w:val="center"/>
          </w:tcPr>
          <w:p w14:paraId="173B32B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21,1</w:t>
            </w:r>
          </w:p>
        </w:tc>
        <w:tc>
          <w:tcPr>
            <w:tcW w:w="851" w:type="dxa"/>
            <w:tcBorders>
              <w:top w:val="single" w:sz="6" w:space="0" w:color="auto"/>
              <w:left w:val="single" w:sz="6" w:space="0" w:color="auto"/>
              <w:bottom w:val="single" w:sz="6" w:space="0" w:color="auto"/>
              <w:right w:val="single" w:sz="6" w:space="0" w:color="auto"/>
            </w:tcBorders>
            <w:vAlign w:val="center"/>
          </w:tcPr>
          <w:p w14:paraId="5514A29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27,2</w:t>
            </w:r>
          </w:p>
        </w:tc>
        <w:tc>
          <w:tcPr>
            <w:tcW w:w="851" w:type="dxa"/>
            <w:tcBorders>
              <w:top w:val="single" w:sz="6" w:space="0" w:color="auto"/>
              <w:left w:val="single" w:sz="6" w:space="0" w:color="auto"/>
              <w:bottom w:val="single" w:sz="6" w:space="0" w:color="auto"/>
              <w:right w:val="single" w:sz="6" w:space="0" w:color="auto"/>
            </w:tcBorders>
            <w:vAlign w:val="center"/>
          </w:tcPr>
          <w:p w14:paraId="13AD6E9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18,0</w:t>
            </w:r>
          </w:p>
        </w:tc>
        <w:tc>
          <w:tcPr>
            <w:tcW w:w="851" w:type="dxa"/>
            <w:tcBorders>
              <w:top w:val="single" w:sz="6" w:space="0" w:color="auto"/>
              <w:left w:val="single" w:sz="6" w:space="0" w:color="auto"/>
              <w:bottom w:val="single" w:sz="6" w:space="0" w:color="auto"/>
              <w:right w:val="single" w:sz="6" w:space="0" w:color="auto"/>
            </w:tcBorders>
            <w:vAlign w:val="center"/>
          </w:tcPr>
          <w:p w14:paraId="7F786F7E" w14:textId="77777777" w:rsidR="00117C0D" w:rsidRPr="003954D9" w:rsidRDefault="00117C0D" w:rsidP="00117C0D">
            <w:pPr>
              <w:autoSpaceDE w:val="0"/>
              <w:autoSpaceDN w:val="0"/>
              <w:adjustRightInd w:val="0"/>
              <w:jc w:val="right"/>
              <w:rPr>
                <w:rFonts w:ascii="Calibri" w:hAnsi="Calibri" w:cs="Calibri"/>
                <w:b/>
                <w:color w:val="0066CC"/>
                <w:sz w:val="16"/>
                <w:szCs w:val="16"/>
              </w:rPr>
            </w:pPr>
            <w:r w:rsidRPr="003954D9">
              <w:rPr>
                <w:rFonts w:ascii="Calibri" w:hAnsi="Calibri" w:cs="Calibri"/>
                <w:b/>
                <w:bCs/>
                <w:color w:val="0066CC"/>
                <w:sz w:val="16"/>
                <w:szCs w:val="16"/>
              </w:rPr>
              <w:t>13,2</w:t>
            </w:r>
          </w:p>
        </w:tc>
        <w:tc>
          <w:tcPr>
            <w:tcW w:w="851" w:type="dxa"/>
            <w:tcBorders>
              <w:top w:val="single" w:sz="6" w:space="0" w:color="auto"/>
              <w:left w:val="single" w:sz="6" w:space="0" w:color="auto"/>
              <w:bottom w:val="single" w:sz="6" w:space="0" w:color="auto"/>
              <w:right w:val="single" w:sz="6" w:space="0" w:color="auto"/>
            </w:tcBorders>
            <w:vAlign w:val="center"/>
          </w:tcPr>
          <w:p w14:paraId="4A5A306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26,0</w:t>
            </w:r>
          </w:p>
        </w:tc>
      </w:tr>
      <w:tr w:rsidR="00117C0D" w:rsidRPr="003954D9" w14:paraId="0788B19A" w14:textId="77777777" w:rsidTr="00117C0D">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71893B92"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3 rok</w:t>
            </w:r>
          </w:p>
        </w:tc>
        <w:tc>
          <w:tcPr>
            <w:tcW w:w="851" w:type="dxa"/>
            <w:tcBorders>
              <w:top w:val="single" w:sz="6" w:space="0" w:color="auto"/>
              <w:left w:val="single" w:sz="6" w:space="0" w:color="auto"/>
              <w:bottom w:val="single" w:sz="6" w:space="0" w:color="auto"/>
              <w:right w:val="single" w:sz="6" w:space="0" w:color="auto"/>
            </w:tcBorders>
            <w:vAlign w:val="center"/>
          </w:tcPr>
          <w:p w14:paraId="38BF4BE6" w14:textId="77777777" w:rsidR="00117C0D" w:rsidRPr="003954D9" w:rsidRDefault="00117C0D" w:rsidP="00117C0D">
            <w:pPr>
              <w:autoSpaceDE w:val="0"/>
              <w:autoSpaceDN w:val="0"/>
              <w:adjustRightInd w:val="0"/>
              <w:jc w:val="right"/>
              <w:rPr>
                <w:rFonts w:ascii="Calibri" w:hAnsi="Calibri" w:cs="Calibri"/>
                <w:color w:val="FF6600"/>
                <w:sz w:val="16"/>
                <w:szCs w:val="16"/>
              </w:rPr>
            </w:pPr>
            <w:r w:rsidRPr="003954D9">
              <w:rPr>
                <w:rFonts w:ascii="Calibri" w:hAnsi="Calibri" w:cs="Calibri"/>
                <w:b/>
                <w:bCs/>
                <w:color w:val="FF0000"/>
                <w:sz w:val="16"/>
                <w:szCs w:val="16"/>
              </w:rPr>
              <w:t>34,1</w:t>
            </w:r>
          </w:p>
        </w:tc>
        <w:tc>
          <w:tcPr>
            <w:tcW w:w="851" w:type="dxa"/>
            <w:tcBorders>
              <w:top w:val="single" w:sz="6" w:space="0" w:color="auto"/>
              <w:left w:val="single" w:sz="6" w:space="0" w:color="auto"/>
              <w:bottom w:val="single" w:sz="6" w:space="0" w:color="auto"/>
              <w:right w:val="single" w:sz="6" w:space="0" w:color="auto"/>
            </w:tcBorders>
            <w:vAlign w:val="center"/>
          </w:tcPr>
          <w:p w14:paraId="1DCF7F5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30,3</w:t>
            </w:r>
          </w:p>
        </w:tc>
        <w:tc>
          <w:tcPr>
            <w:tcW w:w="851" w:type="dxa"/>
            <w:tcBorders>
              <w:top w:val="single" w:sz="6" w:space="0" w:color="auto"/>
              <w:left w:val="single" w:sz="6" w:space="0" w:color="auto"/>
              <w:bottom w:val="single" w:sz="6" w:space="0" w:color="auto"/>
              <w:right w:val="single" w:sz="6" w:space="0" w:color="auto"/>
            </w:tcBorders>
            <w:vAlign w:val="center"/>
          </w:tcPr>
          <w:p w14:paraId="3C53E1D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17,7</w:t>
            </w:r>
          </w:p>
        </w:tc>
        <w:tc>
          <w:tcPr>
            <w:tcW w:w="851" w:type="dxa"/>
            <w:tcBorders>
              <w:top w:val="single" w:sz="6" w:space="0" w:color="auto"/>
              <w:left w:val="single" w:sz="6" w:space="0" w:color="auto"/>
              <w:bottom w:val="single" w:sz="6" w:space="0" w:color="auto"/>
              <w:right w:val="single" w:sz="6" w:space="0" w:color="auto"/>
            </w:tcBorders>
            <w:vAlign w:val="center"/>
          </w:tcPr>
          <w:p w14:paraId="790C2E1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23,6</w:t>
            </w:r>
          </w:p>
        </w:tc>
        <w:tc>
          <w:tcPr>
            <w:tcW w:w="851" w:type="dxa"/>
            <w:tcBorders>
              <w:top w:val="single" w:sz="6" w:space="0" w:color="auto"/>
              <w:left w:val="single" w:sz="6" w:space="0" w:color="auto"/>
              <w:bottom w:val="single" w:sz="6" w:space="0" w:color="auto"/>
              <w:right w:val="single" w:sz="6" w:space="0" w:color="auto"/>
            </w:tcBorders>
            <w:vAlign w:val="center"/>
          </w:tcPr>
          <w:p w14:paraId="6351875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21,0</w:t>
            </w:r>
          </w:p>
        </w:tc>
        <w:tc>
          <w:tcPr>
            <w:tcW w:w="851" w:type="dxa"/>
            <w:tcBorders>
              <w:top w:val="single" w:sz="6" w:space="0" w:color="auto"/>
              <w:left w:val="single" w:sz="6" w:space="0" w:color="auto"/>
              <w:bottom w:val="single" w:sz="6" w:space="0" w:color="auto"/>
              <w:right w:val="single" w:sz="6" w:space="0" w:color="auto"/>
            </w:tcBorders>
            <w:vAlign w:val="center"/>
          </w:tcPr>
          <w:p w14:paraId="49C2040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23,0</w:t>
            </w:r>
          </w:p>
        </w:tc>
        <w:tc>
          <w:tcPr>
            <w:tcW w:w="851" w:type="dxa"/>
            <w:tcBorders>
              <w:top w:val="single" w:sz="6" w:space="0" w:color="auto"/>
              <w:left w:val="single" w:sz="6" w:space="0" w:color="auto"/>
              <w:bottom w:val="single" w:sz="6" w:space="0" w:color="auto"/>
              <w:right w:val="single" w:sz="6" w:space="0" w:color="auto"/>
            </w:tcBorders>
            <w:vAlign w:val="center"/>
          </w:tcPr>
          <w:p w14:paraId="332137D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29,0</w:t>
            </w:r>
          </w:p>
        </w:tc>
        <w:tc>
          <w:tcPr>
            <w:tcW w:w="851" w:type="dxa"/>
            <w:tcBorders>
              <w:top w:val="single" w:sz="6" w:space="0" w:color="auto"/>
              <w:left w:val="single" w:sz="6" w:space="0" w:color="auto"/>
              <w:bottom w:val="single" w:sz="6" w:space="0" w:color="auto"/>
              <w:right w:val="single" w:sz="6" w:space="0" w:color="auto"/>
            </w:tcBorders>
            <w:vAlign w:val="center"/>
          </w:tcPr>
          <w:p w14:paraId="1C680EE5" w14:textId="77777777" w:rsidR="00117C0D" w:rsidRPr="003954D9" w:rsidRDefault="00117C0D" w:rsidP="00117C0D">
            <w:pPr>
              <w:autoSpaceDE w:val="0"/>
              <w:autoSpaceDN w:val="0"/>
              <w:adjustRightInd w:val="0"/>
              <w:jc w:val="right"/>
              <w:rPr>
                <w:rFonts w:ascii="Calibri" w:hAnsi="Calibri" w:cs="Calibri"/>
                <w:b/>
                <w:color w:val="0066CC"/>
                <w:sz w:val="16"/>
                <w:szCs w:val="16"/>
              </w:rPr>
            </w:pPr>
            <w:r w:rsidRPr="003954D9">
              <w:rPr>
                <w:rFonts w:ascii="Calibri" w:hAnsi="Calibri" w:cs="Calibri"/>
                <w:b/>
                <w:bCs/>
                <w:color w:val="0066CC"/>
                <w:sz w:val="16"/>
                <w:szCs w:val="16"/>
              </w:rPr>
              <w:t>12,1</w:t>
            </w:r>
          </w:p>
        </w:tc>
        <w:tc>
          <w:tcPr>
            <w:tcW w:w="851" w:type="dxa"/>
            <w:tcBorders>
              <w:top w:val="single" w:sz="6" w:space="0" w:color="auto"/>
              <w:left w:val="single" w:sz="6" w:space="0" w:color="auto"/>
              <w:bottom w:val="single" w:sz="6" w:space="0" w:color="auto"/>
              <w:right w:val="single" w:sz="6" w:space="0" w:color="auto"/>
            </w:tcBorders>
            <w:vAlign w:val="center"/>
          </w:tcPr>
          <w:p w14:paraId="5F102E3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23,1</w:t>
            </w:r>
          </w:p>
        </w:tc>
        <w:tc>
          <w:tcPr>
            <w:tcW w:w="851" w:type="dxa"/>
            <w:tcBorders>
              <w:top w:val="single" w:sz="6" w:space="0" w:color="auto"/>
              <w:left w:val="single" w:sz="6" w:space="0" w:color="auto"/>
              <w:bottom w:val="single" w:sz="6" w:space="0" w:color="auto"/>
              <w:right w:val="single" w:sz="6" w:space="0" w:color="auto"/>
            </w:tcBorders>
            <w:vAlign w:val="center"/>
          </w:tcPr>
          <w:p w14:paraId="0ACA220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32,8</w:t>
            </w:r>
          </w:p>
        </w:tc>
      </w:tr>
      <w:tr w:rsidR="00117C0D" w:rsidRPr="003954D9" w14:paraId="1913316B" w14:textId="77777777" w:rsidTr="00117C0D">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22121DD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4 rok</w:t>
            </w:r>
          </w:p>
        </w:tc>
        <w:tc>
          <w:tcPr>
            <w:tcW w:w="851" w:type="dxa"/>
            <w:tcBorders>
              <w:top w:val="single" w:sz="6" w:space="0" w:color="auto"/>
              <w:left w:val="single" w:sz="6" w:space="0" w:color="auto"/>
              <w:bottom w:val="single" w:sz="6" w:space="0" w:color="auto"/>
              <w:right w:val="single" w:sz="6" w:space="0" w:color="auto"/>
            </w:tcBorders>
            <w:vAlign w:val="center"/>
          </w:tcPr>
          <w:p w14:paraId="2C10749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27,9</w:t>
            </w:r>
          </w:p>
        </w:tc>
        <w:tc>
          <w:tcPr>
            <w:tcW w:w="851" w:type="dxa"/>
            <w:tcBorders>
              <w:top w:val="single" w:sz="6" w:space="0" w:color="auto"/>
              <w:left w:val="single" w:sz="6" w:space="0" w:color="auto"/>
              <w:bottom w:val="single" w:sz="6" w:space="0" w:color="auto"/>
              <w:right w:val="single" w:sz="6" w:space="0" w:color="auto"/>
            </w:tcBorders>
            <w:vAlign w:val="center"/>
          </w:tcPr>
          <w:p w14:paraId="0E566FE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15,4</w:t>
            </w:r>
          </w:p>
        </w:tc>
        <w:tc>
          <w:tcPr>
            <w:tcW w:w="851" w:type="dxa"/>
            <w:tcBorders>
              <w:top w:val="single" w:sz="6" w:space="0" w:color="auto"/>
              <w:left w:val="single" w:sz="6" w:space="0" w:color="auto"/>
              <w:bottom w:val="single" w:sz="6" w:space="0" w:color="auto"/>
              <w:right w:val="single" w:sz="6" w:space="0" w:color="auto"/>
            </w:tcBorders>
            <w:vAlign w:val="center"/>
          </w:tcPr>
          <w:p w14:paraId="250F7B4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c>
          <w:tcPr>
            <w:tcW w:w="851" w:type="dxa"/>
            <w:tcBorders>
              <w:top w:val="single" w:sz="6" w:space="0" w:color="auto"/>
              <w:left w:val="single" w:sz="6" w:space="0" w:color="auto"/>
              <w:bottom w:val="single" w:sz="6" w:space="0" w:color="auto"/>
              <w:right w:val="single" w:sz="6" w:space="0" w:color="auto"/>
            </w:tcBorders>
            <w:vAlign w:val="center"/>
          </w:tcPr>
          <w:p w14:paraId="5DF86F5D" w14:textId="77777777" w:rsidR="00117C0D" w:rsidRPr="003954D9" w:rsidRDefault="00117C0D" w:rsidP="00117C0D">
            <w:pPr>
              <w:autoSpaceDE w:val="0"/>
              <w:autoSpaceDN w:val="0"/>
              <w:adjustRightInd w:val="0"/>
              <w:jc w:val="right"/>
              <w:rPr>
                <w:rFonts w:ascii="Calibri" w:hAnsi="Calibri" w:cs="Calibri"/>
                <w:color w:val="FF6600"/>
                <w:sz w:val="16"/>
                <w:szCs w:val="16"/>
              </w:rPr>
            </w:pPr>
            <w:r w:rsidRPr="003954D9">
              <w:rPr>
                <w:rFonts w:ascii="Calibri" w:hAnsi="Calibri" w:cs="Calibri"/>
                <w:b/>
                <w:bCs/>
                <w:color w:val="FF0000"/>
                <w:sz w:val="16"/>
                <w:szCs w:val="16"/>
              </w:rPr>
              <w:t>31,3</w:t>
            </w:r>
          </w:p>
        </w:tc>
        <w:tc>
          <w:tcPr>
            <w:tcW w:w="851" w:type="dxa"/>
            <w:tcBorders>
              <w:top w:val="single" w:sz="6" w:space="0" w:color="auto"/>
              <w:left w:val="single" w:sz="6" w:space="0" w:color="auto"/>
              <w:bottom w:val="single" w:sz="6" w:space="0" w:color="auto"/>
              <w:right w:val="single" w:sz="6" w:space="0" w:color="auto"/>
            </w:tcBorders>
            <w:vAlign w:val="center"/>
          </w:tcPr>
          <w:p w14:paraId="1ED51B3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14,8</w:t>
            </w:r>
          </w:p>
        </w:tc>
        <w:tc>
          <w:tcPr>
            <w:tcW w:w="851" w:type="dxa"/>
            <w:tcBorders>
              <w:top w:val="single" w:sz="6" w:space="0" w:color="auto"/>
              <w:left w:val="single" w:sz="6" w:space="0" w:color="auto"/>
              <w:bottom w:val="single" w:sz="6" w:space="0" w:color="auto"/>
              <w:right w:val="single" w:sz="6" w:space="0" w:color="auto"/>
            </w:tcBorders>
            <w:vAlign w:val="center"/>
          </w:tcPr>
          <w:p w14:paraId="70815A4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22,4</w:t>
            </w:r>
          </w:p>
        </w:tc>
        <w:tc>
          <w:tcPr>
            <w:tcW w:w="851" w:type="dxa"/>
            <w:tcBorders>
              <w:top w:val="single" w:sz="6" w:space="0" w:color="auto"/>
              <w:left w:val="single" w:sz="6" w:space="0" w:color="auto"/>
              <w:bottom w:val="single" w:sz="6" w:space="0" w:color="auto"/>
              <w:right w:val="single" w:sz="6" w:space="0" w:color="auto"/>
            </w:tcBorders>
            <w:vAlign w:val="center"/>
          </w:tcPr>
          <w:p w14:paraId="2D704A9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17,8</w:t>
            </w:r>
          </w:p>
        </w:tc>
        <w:tc>
          <w:tcPr>
            <w:tcW w:w="851" w:type="dxa"/>
            <w:tcBorders>
              <w:top w:val="single" w:sz="6" w:space="0" w:color="auto"/>
              <w:left w:val="single" w:sz="6" w:space="0" w:color="auto"/>
              <w:bottom w:val="single" w:sz="6" w:space="0" w:color="auto"/>
              <w:right w:val="single" w:sz="6" w:space="0" w:color="auto"/>
            </w:tcBorders>
            <w:vAlign w:val="center"/>
          </w:tcPr>
          <w:p w14:paraId="47E9D70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12,0</w:t>
            </w:r>
          </w:p>
        </w:tc>
        <w:tc>
          <w:tcPr>
            <w:tcW w:w="851" w:type="dxa"/>
            <w:tcBorders>
              <w:top w:val="single" w:sz="6" w:space="0" w:color="auto"/>
              <w:left w:val="single" w:sz="6" w:space="0" w:color="auto"/>
              <w:bottom w:val="single" w:sz="6" w:space="0" w:color="auto"/>
              <w:right w:val="single" w:sz="6" w:space="0" w:color="auto"/>
            </w:tcBorders>
            <w:vAlign w:val="center"/>
          </w:tcPr>
          <w:p w14:paraId="70EAD10D" w14:textId="77777777" w:rsidR="00117C0D" w:rsidRPr="003954D9" w:rsidRDefault="00117C0D" w:rsidP="00117C0D">
            <w:pPr>
              <w:autoSpaceDE w:val="0"/>
              <w:autoSpaceDN w:val="0"/>
              <w:adjustRightInd w:val="0"/>
              <w:jc w:val="right"/>
              <w:rPr>
                <w:rFonts w:ascii="Calibri" w:hAnsi="Calibri" w:cs="Calibri"/>
                <w:b/>
                <w:color w:val="0066CC"/>
                <w:sz w:val="16"/>
                <w:szCs w:val="16"/>
              </w:rPr>
            </w:pPr>
            <w:r w:rsidRPr="003954D9">
              <w:rPr>
                <w:rFonts w:ascii="Calibri" w:hAnsi="Calibri" w:cs="Calibri"/>
                <w:b/>
                <w:bCs/>
                <w:color w:val="0066CC"/>
                <w:sz w:val="16"/>
                <w:szCs w:val="16"/>
              </w:rPr>
              <w:t>7,7</w:t>
            </w:r>
          </w:p>
        </w:tc>
        <w:tc>
          <w:tcPr>
            <w:tcW w:w="851" w:type="dxa"/>
            <w:tcBorders>
              <w:top w:val="single" w:sz="6" w:space="0" w:color="auto"/>
              <w:left w:val="single" w:sz="6" w:space="0" w:color="auto"/>
              <w:bottom w:val="single" w:sz="6" w:space="0" w:color="auto"/>
              <w:right w:val="single" w:sz="6" w:space="0" w:color="auto"/>
            </w:tcBorders>
            <w:vAlign w:val="center"/>
          </w:tcPr>
          <w:p w14:paraId="7B62D1A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25,7</w:t>
            </w:r>
          </w:p>
        </w:tc>
      </w:tr>
      <w:tr w:rsidR="00117C0D" w:rsidRPr="003954D9" w14:paraId="05BFB822" w14:textId="77777777" w:rsidTr="00117C0D">
        <w:trPr>
          <w:trHeight w:val="252"/>
        </w:trPr>
        <w:tc>
          <w:tcPr>
            <w:tcW w:w="851" w:type="dxa"/>
            <w:tcBorders>
              <w:top w:val="single" w:sz="6" w:space="0" w:color="auto"/>
              <w:left w:val="single" w:sz="6" w:space="0" w:color="auto"/>
              <w:bottom w:val="single" w:sz="6" w:space="0" w:color="auto"/>
              <w:right w:val="single" w:sz="6" w:space="0" w:color="auto"/>
            </w:tcBorders>
            <w:vAlign w:val="center"/>
          </w:tcPr>
          <w:p w14:paraId="105B9FA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5 - rok</w:t>
            </w:r>
          </w:p>
        </w:tc>
        <w:tc>
          <w:tcPr>
            <w:tcW w:w="851" w:type="dxa"/>
            <w:tcBorders>
              <w:top w:val="single" w:sz="6" w:space="0" w:color="auto"/>
              <w:left w:val="single" w:sz="6" w:space="0" w:color="auto"/>
              <w:bottom w:val="single" w:sz="6" w:space="0" w:color="auto"/>
              <w:right w:val="single" w:sz="6" w:space="0" w:color="auto"/>
            </w:tcBorders>
            <w:vAlign w:val="center"/>
          </w:tcPr>
          <w:p w14:paraId="2609867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851" w:type="dxa"/>
            <w:tcBorders>
              <w:top w:val="single" w:sz="6" w:space="0" w:color="auto"/>
              <w:left w:val="single" w:sz="6" w:space="0" w:color="auto"/>
              <w:bottom w:val="single" w:sz="6" w:space="0" w:color="auto"/>
              <w:right w:val="single" w:sz="6" w:space="0" w:color="auto"/>
            </w:tcBorders>
            <w:vAlign w:val="center"/>
          </w:tcPr>
          <w:p w14:paraId="56785C2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20,4</w:t>
            </w:r>
          </w:p>
        </w:tc>
        <w:tc>
          <w:tcPr>
            <w:tcW w:w="851" w:type="dxa"/>
            <w:tcBorders>
              <w:top w:val="single" w:sz="6" w:space="0" w:color="auto"/>
              <w:left w:val="single" w:sz="6" w:space="0" w:color="auto"/>
              <w:bottom w:val="single" w:sz="6" w:space="0" w:color="auto"/>
              <w:right w:val="single" w:sz="6" w:space="0" w:color="auto"/>
            </w:tcBorders>
            <w:vAlign w:val="center"/>
          </w:tcPr>
          <w:p w14:paraId="6274CEC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15,2</w:t>
            </w:r>
          </w:p>
        </w:tc>
        <w:tc>
          <w:tcPr>
            <w:tcW w:w="851" w:type="dxa"/>
            <w:tcBorders>
              <w:top w:val="single" w:sz="6" w:space="0" w:color="auto"/>
              <w:left w:val="single" w:sz="6" w:space="0" w:color="auto"/>
              <w:bottom w:val="single" w:sz="6" w:space="0" w:color="auto"/>
              <w:right w:val="single" w:sz="6" w:space="0" w:color="auto"/>
            </w:tcBorders>
            <w:vAlign w:val="center"/>
          </w:tcPr>
          <w:p w14:paraId="362CF35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18,2</w:t>
            </w:r>
          </w:p>
        </w:tc>
        <w:tc>
          <w:tcPr>
            <w:tcW w:w="851" w:type="dxa"/>
            <w:tcBorders>
              <w:top w:val="single" w:sz="6" w:space="0" w:color="auto"/>
              <w:left w:val="single" w:sz="6" w:space="0" w:color="auto"/>
              <w:bottom w:val="single" w:sz="6" w:space="0" w:color="auto"/>
              <w:right w:val="single" w:sz="6" w:space="0" w:color="auto"/>
            </w:tcBorders>
            <w:vAlign w:val="center"/>
          </w:tcPr>
          <w:p w14:paraId="757F5A8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18,8</w:t>
            </w:r>
          </w:p>
        </w:tc>
        <w:tc>
          <w:tcPr>
            <w:tcW w:w="851" w:type="dxa"/>
            <w:tcBorders>
              <w:top w:val="single" w:sz="6" w:space="0" w:color="auto"/>
              <w:left w:val="single" w:sz="6" w:space="0" w:color="auto"/>
              <w:bottom w:val="single" w:sz="6" w:space="0" w:color="auto"/>
              <w:right w:val="single" w:sz="6" w:space="0" w:color="auto"/>
            </w:tcBorders>
            <w:vAlign w:val="center"/>
          </w:tcPr>
          <w:p w14:paraId="31C06FF7" w14:textId="77777777" w:rsidR="00117C0D" w:rsidRPr="003954D9" w:rsidRDefault="00117C0D" w:rsidP="00117C0D">
            <w:pPr>
              <w:autoSpaceDE w:val="0"/>
              <w:autoSpaceDN w:val="0"/>
              <w:adjustRightInd w:val="0"/>
              <w:jc w:val="center"/>
              <w:rPr>
                <w:rFonts w:ascii="Calibri" w:hAnsi="Calibri" w:cs="Calibri"/>
                <w:b/>
                <w:bCs/>
                <w:color w:val="000000"/>
                <w:sz w:val="16"/>
                <w:szCs w:val="16"/>
              </w:rPr>
            </w:pPr>
            <w:r w:rsidRPr="003954D9">
              <w:rPr>
                <w:rFonts w:ascii="Calibri" w:hAnsi="Calibri" w:cs="Calibri"/>
                <w:b/>
                <w:bCs/>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3E9433D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20,3</w:t>
            </w:r>
          </w:p>
        </w:tc>
        <w:tc>
          <w:tcPr>
            <w:tcW w:w="851" w:type="dxa"/>
            <w:tcBorders>
              <w:top w:val="single" w:sz="6" w:space="0" w:color="auto"/>
              <w:left w:val="single" w:sz="6" w:space="0" w:color="auto"/>
              <w:bottom w:val="single" w:sz="6" w:space="0" w:color="auto"/>
              <w:right w:val="single" w:sz="6" w:space="0" w:color="auto"/>
            </w:tcBorders>
            <w:vAlign w:val="center"/>
          </w:tcPr>
          <w:p w14:paraId="56969D05" w14:textId="77777777" w:rsidR="00117C0D" w:rsidRPr="003954D9" w:rsidRDefault="00117C0D" w:rsidP="00117C0D">
            <w:pPr>
              <w:autoSpaceDE w:val="0"/>
              <w:autoSpaceDN w:val="0"/>
              <w:adjustRightInd w:val="0"/>
              <w:jc w:val="right"/>
              <w:rPr>
                <w:rFonts w:ascii="Calibri" w:hAnsi="Calibri" w:cs="Calibri"/>
                <w:b/>
                <w:color w:val="0066CC"/>
                <w:sz w:val="16"/>
                <w:szCs w:val="16"/>
              </w:rPr>
            </w:pPr>
            <w:r w:rsidRPr="003954D9">
              <w:rPr>
                <w:rFonts w:ascii="Calibri" w:hAnsi="Calibri" w:cs="Calibri"/>
                <w:b/>
                <w:bCs/>
                <w:color w:val="0066CC"/>
                <w:sz w:val="16"/>
                <w:szCs w:val="16"/>
              </w:rPr>
              <w:t>7,0</w:t>
            </w:r>
          </w:p>
        </w:tc>
        <w:tc>
          <w:tcPr>
            <w:tcW w:w="851" w:type="dxa"/>
            <w:tcBorders>
              <w:top w:val="single" w:sz="6" w:space="0" w:color="auto"/>
              <w:left w:val="single" w:sz="6" w:space="0" w:color="auto"/>
              <w:bottom w:val="single" w:sz="6" w:space="0" w:color="auto"/>
              <w:right w:val="single" w:sz="6" w:space="0" w:color="auto"/>
            </w:tcBorders>
            <w:vAlign w:val="center"/>
          </w:tcPr>
          <w:p w14:paraId="6B12ACB2" w14:textId="77777777" w:rsidR="00117C0D" w:rsidRPr="003954D9" w:rsidRDefault="00117C0D" w:rsidP="00117C0D">
            <w:pPr>
              <w:autoSpaceDE w:val="0"/>
              <w:autoSpaceDN w:val="0"/>
              <w:adjustRightInd w:val="0"/>
              <w:rPr>
                <w:rFonts w:ascii="Calibri" w:hAnsi="Calibri" w:cs="Calibri"/>
                <w:color w:val="000000"/>
                <w:sz w:val="16"/>
                <w:szCs w:val="16"/>
              </w:rPr>
            </w:pPr>
            <w:r w:rsidRPr="003954D9">
              <w:rPr>
                <w:rFonts w:ascii="Calibri" w:hAnsi="Calibri" w:cs="Calibri"/>
                <w:color w:val="000000"/>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46780760" w14:textId="77777777" w:rsidR="00117C0D" w:rsidRPr="003954D9" w:rsidRDefault="00117C0D" w:rsidP="00117C0D">
            <w:pPr>
              <w:autoSpaceDE w:val="0"/>
              <w:autoSpaceDN w:val="0"/>
              <w:adjustRightInd w:val="0"/>
              <w:jc w:val="right"/>
              <w:rPr>
                <w:rFonts w:ascii="Calibri" w:hAnsi="Calibri" w:cs="Calibri"/>
                <w:color w:val="FF0000"/>
                <w:sz w:val="16"/>
                <w:szCs w:val="16"/>
              </w:rPr>
            </w:pPr>
            <w:r w:rsidRPr="003954D9">
              <w:rPr>
                <w:rFonts w:ascii="Calibri" w:hAnsi="Calibri" w:cs="Calibri"/>
                <w:b/>
                <w:bCs/>
                <w:color w:val="FF0000"/>
                <w:sz w:val="16"/>
                <w:szCs w:val="16"/>
              </w:rPr>
              <w:t>54,5</w:t>
            </w:r>
          </w:p>
        </w:tc>
      </w:tr>
      <w:tr w:rsidR="00117C0D" w:rsidRPr="003954D9" w14:paraId="3281B0F2" w14:textId="77777777" w:rsidTr="00117C0D">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2707A40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Samtliga</w:t>
            </w:r>
          </w:p>
        </w:tc>
        <w:tc>
          <w:tcPr>
            <w:tcW w:w="851" w:type="dxa"/>
            <w:tcBorders>
              <w:top w:val="single" w:sz="6" w:space="0" w:color="auto"/>
              <w:left w:val="single" w:sz="6" w:space="0" w:color="auto"/>
              <w:bottom w:val="single" w:sz="6" w:space="0" w:color="auto"/>
              <w:right w:val="single" w:sz="6" w:space="0" w:color="auto"/>
            </w:tcBorders>
            <w:vAlign w:val="center"/>
          </w:tcPr>
          <w:p w14:paraId="6B2D6D4C" w14:textId="77777777" w:rsidR="00117C0D" w:rsidRPr="003954D9" w:rsidRDefault="00117C0D" w:rsidP="00117C0D">
            <w:pPr>
              <w:autoSpaceDE w:val="0"/>
              <w:autoSpaceDN w:val="0"/>
              <w:adjustRightInd w:val="0"/>
              <w:jc w:val="right"/>
              <w:rPr>
                <w:rFonts w:ascii="Calibri" w:hAnsi="Calibri" w:cs="Calibri"/>
                <w:color w:val="FF6600"/>
                <w:sz w:val="16"/>
                <w:szCs w:val="16"/>
              </w:rPr>
            </w:pPr>
            <w:r w:rsidRPr="003954D9">
              <w:rPr>
                <w:rFonts w:ascii="Calibri" w:hAnsi="Calibri" w:cs="Calibri"/>
                <w:b/>
                <w:bCs/>
                <w:color w:val="FF0000"/>
                <w:sz w:val="16"/>
                <w:szCs w:val="16"/>
              </w:rPr>
              <w:t>30,9</w:t>
            </w:r>
          </w:p>
        </w:tc>
        <w:tc>
          <w:tcPr>
            <w:tcW w:w="851" w:type="dxa"/>
            <w:tcBorders>
              <w:top w:val="single" w:sz="6" w:space="0" w:color="auto"/>
              <w:left w:val="single" w:sz="6" w:space="0" w:color="auto"/>
              <w:bottom w:val="single" w:sz="6" w:space="0" w:color="auto"/>
              <w:right w:val="single" w:sz="6" w:space="0" w:color="auto"/>
            </w:tcBorders>
            <w:vAlign w:val="center"/>
          </w:tcPr>
          <w:p w14:paraId="48C6F00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24,2</w:t>
            </w:r>
          </w:p>
        </w:tc>
        <w:tc>
          <w:tcPr>
            <w:tcW w:w="851" w:type="dxa"/>
            <w:tcBorders>
              <w:top w:val="single" w:sz="6" w:space="0" w:color="auto"/>
              <w:left w:val="single" w:sz="6" w:space="0" w:color="auto"/>
              <w:bottom w:val="single" w:sz="6" w:space="0" w:color="auto"/>
              <w:right w:val="single" w:sz="6" w:space="0" w:color="auto"/>
            </w:tcBorders>
            <w:vAlign w:val="center"/>
          </w:tcPr>
          <w:p w14:paraId="12F1FF5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18,1</w:t>
            </w:r>
          </w:p>
        </w:tc>
        <w:tc>
          <w:tcPr>
            <w:tcW w:w="851" w:type="dxa"/>
            <w:tcBorders>
              <w:top w:val="single" w:sz="6" w:space="0" w:color="auto"/>
              <w:left w:val="single" w:sz="6" w:space="0" w:color="auto"/>
              <w:bottom w:val="single" w:sz="6" w:space="0" w:color="auto"/>
              <w:right w:val="single" w:sz="6" w:space="0" w:color="auto"/>
            </w:tcBorders>
            <w:vAlign w:val="center"/>
          </w:tcPr>
          <w:p w14:paraId="68DDE0E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19,6</w:t>
            </w:r>
          </w:p>
        </w:tc>
        <w:tc>
          <w:tcPr>
            <w:tcW w:w="851" w:type="dxa"/>
            <w:tcBorders>
              <w:top w:val="single" w:sz="6" w:space="0" w:color="auto"/>
              <w:left w:val="single" w:sz="6" w:space="0" w:color="auto"/>
              <w:bottom w:val="single" w:sz="6" w:space="0" w:color="auto"/>
              <w:right w:val="single" w:sz="6" w:space="0" w:color="auto"/>
            </w:tcBorders>
            <w:vAlign w:val="center"/>
          </w:tcPr>
          <w:p w14:paraId="230918F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18,1</w:t>
            </w:r>
          </w:p>
        </w:tc>
        <w:tc>
          <w:tcPr>
            <w:tcW w:w="851" w:type="dxa"/>
            <w:tcBorders>
              <w:top w:val="single" w:sz="6" w:space="0" w:color="auto"/>
              <w:left w:val="single" w:sz="6" w:space="0" w:color="auto"/>
              <w:bottom w:val="single" w:sz="6" w:space="0" w:color="auto"/>
              <w:right w:val="single" w:sz="6" w:space="0" w:color="auto"/>
            </w:tcBorders>
            <w:vAlign w:val="center"/>
          </w:tcPr>
          <w:p w14:paraId="2F10886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22,1</w:t>
            </w:r>
          </w:p>
        </w:tc>
        <w:tc>
          <w:tcPr>
            <w:tcW w:w="851" w:type="dxa"/>
            <w:tcBorders>
              <w:top w:val="single" w:sz="6" w:space="0" w:color="auto"/>
              <w:left w:val="single" w:sz="6" w:space="0" w:color="auto"/>
              <w:bottom w:val="single" w:sz="6" w:space="0" w:color="auto"/>
              <w:right w:val="single" w:sz="6" w:space="0" w:color="auto"/>
            </w:tcBorders>
            <w:vAlign w:val="center"/>
          </w:tcPr>
          <w:p w14:paraId="284E109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26,1</w:t>
            </w:r>
          </w:p>
        </w:tc>
        <w:tc>
          <w:tcPr>
            <w:tcW w:w="851" w:type="dxa"/>
            <w:tcBorders>
              <w:top w:val="single" w:sz="6" w:space="0" w:color="auto"/>
              <w:left w:val="single" w:sz="6" w:space="0" w:color="auto"/>
              <w:bottom w:val="single" w:sz="6" w:space="0" w:color="auto"/>
              <w:right w:val="single" w:sz="6" w:space="0" w:color="auto"/>
            </w:tcBorders>
            <w:vAlign w:val="center"/>
          </w:tcPr>
          <w:p w14:paraId="55DE5E25" w14:textId="77777777" w:rsidR="00117C0D" w:rsidRPr="003954D9" w:rsidRDefault="00117C0D" w:rsidP="00117C0D">
            <w:pPr>
              <w:autoSpaceDE w:val="0"/>
              <w:autoSpaceDN w:val="0"/>
              <w:adjustRightInd w:val="0"/>
              <w:jc w:val="right"/>
              <w:rPr>
                <w:rFonts w:ascii="Calibri" w:hAnsi="Calibri" w:cs="Calibri"/>
                <w:color w:val="0066CC"/>
                <w:sz w:val="16"/>
                <w:szCs w:val="16"/>
              </w:rPr>
            </w:pPr>
            <w:r w:rsidRPr="003954D9">
              <w:rPr>
                <w:rFonts w:ascii="Calibri" w:hAnsi="Calibri" w:cs="Calibri"/>
                <w:b/>
                <w:bCs/>
                <w:color w:val="0066CC"/>
                <w:sz w:val="16"/>
                <w:szCs w:val="16"/>
              </w:rPr>
              <w:t>15,5</w:t>
            </w:r>
          </w:p>
        </w:tc>
        <w:tc>
          <w:tcPr>
            <w:tcW w:w="851" w:type="dxa"/>
            <w:tcBorders>
              <w:top w:val="single" w:sz="6" w:space="0" w:color="auto"/>
              <w:left w:val="single" w:sz="6" w:space="0" w:color="auto"/>
              <w:bottom w:val="single" w:sz="6" w:space="0" w:color="auto"/>
              <w:right w:val="single" w:sz="6" w:space="0" w:color="auto"/>
            </w:tcBorders>
            <w:vAlign w:val="center"/>
          </w:tcPr>
          <w:p w14:paraId="4ECE989E"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bCs/>
                <w:color w:val="0066CC"/>
                <w:sz w:val="16"/>
                <w:szCs w:val="16"/>
              </w:rPr>
              <w:t>15,5</w:t>
            </w:r>
          </w:p>
        </w:tc>
        <w:tc>
          <w:tcPr>
            <w:tcW w:w="851" w:type="dxa"/>
            <w:tcBorders>
              <w:top w:val="single" w:sz="6" w:space="0" w:color="auto"/>
              <w:left w:val="single" w:sz="6" w:space="0" w:color="auto"/>
              <w:bottom w:val="single" w:sz="6" w:space="0" w:color="auto"/>
              <w:right w:val="single" w:sz="6" w:space="0" w:color="auto"/>
            </w:tcBorders>
            <w:vAlign w:val="center"/>
          </w:tcPr>
          <w:p w14:paraId="66C1C3C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29,5</w:t>
            </w:r>
          </w:p>
        </w:tc>
      </w:tr>
      <w:tr w:rsidR="00117C0D" w:rsidRPr="003954D9" w14:paraId="73C966BB" w14:textId="77777777" w:rsidTr="00117C0D">
        <w:trPr>
          <w:trHeight w:val="227"/>
        </w:trPr>
        <w:tc>
          <w:tcPr>
            <w:tcW w:w="851" w:type="dxa"/>
            <w:tcBorders>
              <w:top w:val="single" w:sz="6" w:space="0" w:color="auto"/>
              <w:left w:val="single" w:sz="6" w:space="0" w:color="auto"/>
              <w:bottom w:val="single" w:sz="6" w:space="0" w:color="auto"/>
              <w:right w:val="single" w:sz="6" w:space="0" w:color="auto"/>
            </w:tcBorders>
            <w:vAlign w:val="center"/>
          </w:tcPr>
          <w:p w14:paraId="346DF81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Antal</w:t>
            </w:r>
          </w:p>
        </w:tc>
        <w:tc>
          <w:tcPr>
            <w:tcW w:w="851" w:type="dxa"/>
            <w:tcBorders>
              <w:top w:val="single" w:sz="6" w:space="0" w:color="auto"/>
              <w:left w:val="single" w:sz="6" w:space="0" w:color="auto"/>
              <w:bottom w:val="single" w:sz="6" w:space="0" w:color="auto"/>
              <w:right w:val="single" w:sz="6" w:space="0" w:color="auto"/>
            </w:tcBorders>
            <w:vAlign w:val="center"/>
          </w:tcPr>
          <w:p w14:paraId="79D3BC2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1 385</w:t>
            </w:r>
          </w:p>
        </w:tc>
        <w:tc>
          <w:tcPr>
            <w:tcW w:w="851" w:type="dxa"/>
            <w:tcBorders>
              <w:top w:val="single" w:sz="6" w:space="0" w:color="auto"/>
              <w:left w:val="single" w:sz="6" w:space="0" w:color="auto"/>
              <w:bottom w:val="single" w:sz="6" w:space="0" w:color="auto"/>
              <w:right w:val="single" w:sz="6" w:space="0" w:color="auto"/>
            </w:tcBorders>
            <w:vAlign w:val="center"/>
          </w:tcPr>
          <w:p w14:paraId="4AE64C0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579</w:t>
            </w:r>
          </w:p>
        </w:tc>
        <w:tc>
          <w:tcPr>
            <w:tcW w:w="851" w:type="dxa"/>
            <w:tcBorders>
              <w:top w:val="single" w:sz="6" w:space="0" w:color="auto"/>
              <w:left w:val="single" w:sz="6" w:space="0" w:color="auto"/>
              <w:bottom w:val="single" w:sz="6" w:space="0" w:color="auto"/>
              <w:right w:val="single" w:sz="6" w:space="0" w:color="auto"/>
            </w:tcBorders>
            <w:vAlign w:val="center"/>
          </w:tcPr>
          <w:p w14:paraId="7FFEBDC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373</w:t>
            </w:r>
          </w:p>
        </w:tc>
        <w:tc>
          <w:tcPr>
            <w:tcW w:w="851" w:type="dxa"/>
            <w:tcBorders>
              <w:top w:val="single" w:sz="6" w:space="0" w:color="auto"/>
              <w:left w:val="single" w:sz="6" w:space="0" w:color="auto"/>
              <w:bottom w:val="single" w:sz="6" w:space="0" w:color="auto"/>
              <w:right w:val="single" w:sz="6" w:space="0" w:color="auto"/>
            </w:tcBorders>
            <w:vAlign w:val="center"/>
          </w:tcPr>
          <w:p w14:paraId="6AC30E9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178</w:t>
            </w:r>
          </w:p>
        </w:tc>
        <w:tc>
          <w:tcPr>
            <w:tcW w:w="851" w:type="dxa"/>
            <w:tcBorders>
              <w:top w:val="single" w:sz="6" w:space="0" w:color="auto"/>
              <w:left w:val="single" w:sz="6" w:space="0" w:color="auto"/>
              <w:bottom w:val="single" w:sz="6" w:space="0" w:color="auto"/>
              <w:right w:val="single" w:sz="6" w:space="0" w:color="auto"/>
            </w:tcBorders>
            <w:vAlign w:val="center"/>
          </w:tcPr>
          <w:p w14:paraId="5814E4D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480</w:t>
            </w:r>
          </w:p>
        </w:tc>
        <w:tc>
          <w:tcPr>
            <w:tcW w:w="851" w:type="dxa"/>
            <w:tcBorders>
              <w:top w:val="single" w:sz="6" w:space="0" w:color="auto"/>
              <w:left w:val="single" w:sz="6" w:space="0" w:color="auto"/>
              <w:bottom w:val="single" w:sz="6" w:space="0" w:color="auto"/>
              <w:right w:val="single" w:sz="6" w:space="0" w:color="auto"/>
            </w:tcBorders>
            <w:vAlign w:val="center"/>
          </w:tcPr>
          <w:p w14:paraId="349D033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306</w:t>
            </w:r>
          </w:p>
        </w:tc>
        <w:tc>
          <w:tcPr>
            <w:tcW w:w="851" w:type="dxa"/>
            <w:tcBorders>
              <w:top w:val="single" w:sz="6" w:space="0" w:color="auto"/>
              <w:left w:val="single" w:sz="6" w:space="0" w:color="auto"/>
              <w:bottom w:val="single" w:sz="6" w:space="0" w:color="auto"/>
              <w:right w:val="single" w:sz="6" w:space="0" w:color="auto"/>
            </w:tcBorders>
            <w:vAlign w:val="center"/>
          </w:tcPr>
          <w:p w14:paraId="06907A3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727</w:t>
            </w:r>
          </w:p>
        </w:tc>
        <w:tc>
          <w:tcPr>
            <w:tcW w:w="851" w:type="dxa"/>
            <w:tcBorders>
              <w:top w:val="single" w:sz="6" w:space="0" w:color="auto"/>
              <w:left w:val="single" w:sz="6" w:space="0" w:color="auto"/>
              <w:bottom w:val="single" w:sz="6" w:space="0" w:color="auto"/>
              <w:right w:val="single" w:sz="6" w:space="0" w:color="auto"/>
            </w:tcBorders>
            <w:vAlign w:val="center"/>
          </w:tcPr>
          <w:p w14:paraId="6FAE77A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401</w:t>
            </w:r>
          </w:p>
        </w:tc>
        <w:tc>
          <w:tcPr>
            <w:tcW w:w="851" w:type="dxa"/>
            <w:tcBorders>
              <w:top w:val="single" w:sz="6" w:space="0" w:color="auto"/>
              <w:left w:val="single" w:sz="6" w:space="0" w:color="auto"/>
              <w:bottom w:val="single" w:sz="6" w:space="0" w:color="auto"/>
              <w:right w:val="single" w:sz="6" w:space="0" w:color="auto"/>
            </w:tcBorders>
            <w:vAlign w:val="center"/>
          </w:tcPr>
          <w:p w14:paraId="13307D4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w:t>
            </w:r>
          </w:p>
        </w:tc>
        <w:tc>
          <w:tcPr>
            <w:tcW w:w="851" w:type="dxa"/>
            <w:tcBorders>
              <w:top w:val="single" w:sz="6" w:space="0" w:color="auto"/>
              <w:left w:val="single" w:sz="6" w:space="0" w:color="auto"/>
              <w:bottom w:val="single" w:sz="6" w:space="0" w:color="auto"/>
              <w:right w:val="single" w:sz="6" w:space="0" w:color="auto"/>
            </w:tcBorders>
            <w:vAlign w:val="center"/>
          </w:tcPr>
          <w:p w14:paraId="46422D1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1 028</w:t>
            </w:r>
          </w:p>
        </w:tc>
      </w:tr>
    </w:tbl>
    <w:p w14:paraId="107712CA" w14:textId="77777777" w:rsidR="00117C0D" w:rsidRPr="003954D9" w:rsidRDefault="00117C0D" w:rsidP="00117C0D">
      <w:pPr>
        <w:autoSpaceDE w:val="0"/>
        <w:autoSpaceDN w:val="0"/>
        <w:adjustRightInd w:val="0"/>
        <w:rPr>
          <w:rFonts w:ascii="Calibri" w:eastAsiaTheme="minorHAnsi" w:hAnsi="Calibri" w:cs="Calibri"/>
          <w:bCs/>
          <w:color w:val="000000"/>
          <w:sz w:val="16"/>
          <w:szCs w:val="16"/>
          <w:lang w:eastAsia="en-US"/>
        </w:rPr>
      </w:pPr>
      <w:r w:rsidRPr="00AE13ED">
        <w:rPr>
          <w:b/>
          <w:color w:val="FF6600"/>
          <w:sz w:val="16"/>
          <w:szCs w:val="16"/>
        </w:rPr>
        <w:t>Röd färg högsta</w:t>
      </w:r>
      <w:r w:rsidRPr="003954D9">
        <w:rPr>
          <w:color w:val="FF6600"/>
          <w:sz w:val="16"/>
          <w:szCs w:val="16"/>
        </w:rPr>
        <w:t xml:space="preserve"> </w:t>
      </w:r>
      <w:r w:rsidRPr="003954D9">
        <w:rPr>
          <w:sz w:val="16"/>
          <w:szCs w:val="16"/>
        </w:rPr>
        <w:t xml:space="preserve">och </w:t>
      </w:r>
      <w:r w:rsidRPr="00AE13ED">
        <w:rPr>
          <w:b/>
          <w:color w:val="0070C0"/>
          <w:sz w:val="16"/>
          <w:szCs w:val="16"/>
        </w:rPr>
        <w:t>blå färg lägsta</w:t>
      </w:r>
      <w:r w:rsidRPr="00AE13ED">
        <w:rPr>
          <w:color w:val="0070C0"/>
          <w:sz w:val="16"/>
          <w:szCs w:val="16"/>
        </w:rPr>
        <w:t xml:space="preserve"> </w:t>
      </w:r>
      <w:r w:rsidRPr="003954D9">
        <w:rPr>
          <w:sz w:val="16"/>
          <w:szCs w:val="16"/>
        </w:rPr>
        <w:t>värde i gruppen</w:t>
      </w:r>
    </w:p>
    <w:p w14:paraId="431896CA"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6:7: Andel och antal hushåll i riskzonen vid en hyreshöjning på 5 procent, lägenhetstyp och stadsdel.</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885"/>
        <w:gridCol w:w="886"/>
        <w:gridCol w:w="871"/>
        <w:gridCol w:w="773"/>
        <w:gridCol w:w="821"/>
        <w:gridCol w:w="854"/>
        <w:gridCol w:w="790"/>
        <w:gridCol w:w="854"/>
        <w:gridCol w:w="902"/>
        <w:gridCol w:w="855"/>
      </w:tblGrid>
      <w:tr w:rsidR="00117C0D" w:rsidRPr="003954D9" w14:paraId="1F3D93B0" w14:textId="77777777" w:rsidTr="00117C0D">
        <w:trPr>
          <w:trHeight w:val="227"/>
        </w:trPr>
        <w:tc>
          <w:tcPr>
            <w:tcW w:w="934" w:type="dxa"/>
          </w:tcPr>
          <w:p w14:paraId="215DA132"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Lägenhets-typ</w:t>
            </w:r>
          </w:p>
        </w:tc>
        <w:tc>
          <w:tcPr>
            <w:tcW w:w="885" w:type="dxa"/>
          </w:tcPr>
          <w:p w14:paraId="1FFDBE87"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86" w:type="dxa"/>
          </w:tcPr>
          <w:p w14:paraId="6482FFD5"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 Frölunda -Högsbo</w:t>
            </w:r>
          </w:p>
        </w:tc>
        <w:tc>
          <w:tcPr>
            <w:tcW w:w="871" w:type="dxa"/>
          </w:tcPr>
          <w:p w14:paraId="109D7077"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73" w:type="dxa"/>
          </w:tcPr>
          <w:p w14:paraId="02F02FCB"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21" w:type="dxa"/>
          </w:tcPr>
          <w:p w14:paraId="536638D1"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Majorna-Linné</w:t>
            </w:r>
          </w:p>
        </w:tc>
        <w:tc>
          <w:tcPr>
            <w:tcW w:w="854" w:type="dxa"/>
          </w:tcPr>
          <w:p w14:paraId="139E7B01"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790" w:type="dxa"/>
          </w:tcPr>
          <w:p w14:paraId="41E18E02"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854" w:type="dxa"/>
          </w:tcPr>
          <w:p w14:paraId="0511C8DC"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 Härlanda</w:t>
            </w:r>
          </w:p>
        </w:tc>
        <w:tc>
          <w:tcPr>
            <w:tcW w:w="902" w:type="dxa"/>
          </w:tcPr>
          <w:p w14:paraId="16534324"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855" w:type="dxa"/>
          </w:tcPr>
          <w:p w14:paraId="13437DCB"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117C0D" w:rsidRPr="003954D9" w14:paraId="2E7DBB74" w14:textId="77777777" w:rsidTr="00117C0D">
        <w:trPr>
          <w:trHeight w:val="227"/>
        </w:trPr>
        <w:tc>
          <w:tcPr>
            <w:tcW w:w="934" w:type="dxa"/>
          </w:tcPr>
          <w:p w14:paraId="18579098"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rokv</w:t>
            </w:r>
          </w:p>
        </w:tc>
        <w:tc>
          <w:tcPr>
            <w:tcW w:w="885" w:type="dxa"/>
          </w:tcPr>
          <w:p w14:paraId="7252DFE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18,5</w:t>
            </w:r>
          </w:p>
        </w:tc>
        <w:tc>
          <w:tcPr>
            <w:tcW w:w="886" w:type="dxa"/>
          </w:tcPr>
          <w:p w14:paraId="70645BB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25,2</w:t>
            </w:r>
          </w:p>
        </w:tc>
        <w:tc>
          <w:tcPr>
            <w:tcW w:w="871" w:type="dxa"/>
          </w:tcPr>
          <w:p w14:paraId="55202BC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21,8</w:t>
            </w:r>
          </w:p>
        </w:tc>
        <w:tc>
          <w:tcPr>
            <w:tcW w:w="773" w:type="dxa"/>
          </w:tcPr>
          <w:p w14:paraId="4E3BCA68"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15,3</w:t>
            </w:r>
          </w:p>
        </w:tc>
        <w:tc>
          <w:tcPr>
            <w:tcW w:w="821" w:type="dxa"/>
          </w:tcPr>
          <w:p w14:paraId="66D0C73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16,7</w:t>
            </w:r>
          </w:p>
        </w:tc>
        <w:tc>
          <w:tcPr>
            <w:tcW w:w="854" w:type="dxa"/>
          </w:tcPr>
          <w:p w14:paraId="7277046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20,4</w:t>
            </w:r>
          </w:p>
        </w:tc>
        <w:tc>
          <w:tcPr>
            <w:tcW w:w="790" w:type="dxa"/>
          </w:tcPr>
          <w:p w14:paraId="5AF106E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c>
          <w:tcPr>
            <w:tcW w:w="854" w:type="dxa"/>
          </w:tcPr>
          <w:p w14:paraId="6BA2FFA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24,5</w:t>
            </w:r>
          </w:p>
        </w:tc>
        <w:tc>
          <w:tcPr>
            <w:tcW w:w="902" w:type="dxa"/>
          </w:tcPr>
          <w:p w14:paraId="673739F5"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5" w:type="dxa"/>
          </w:tcPr>
          <w:p w14:paraId="4CB74924"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29,6</w:t>
            </w:r>
          </w:p>
        </w:tc>
      </w:tr>
      <w:tr w:rsidR="00117C0D" w:rsidRPr="003954D9" w14:paraId="4F59091B" w14:textId="77777777" w:rsidTr="00117C0D">
        <w:trPr>
          <w:trHeight w:val="227"/>
        </w:trPr>
        <w:tc>
          <w:tcPr>
            <w:tcW w:w="934" w:type="dxa"/>
          </w:tcPr>
          <w:p w14:paraId="288D0EA9"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 rok</w:t>
            </w:r>
          </w:p>
        </w:tc>
        <w:tc>
          <w:tcPr>
            <w:tcW w:w="885" w:type="dxa"/>
          </w:tcPr>
          <w:p w14:paraId="467821B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c>
          <w:tcPr>
            <w:tcW w:w="886" w:type="dxa"/>
          </w:tcPr>
          <w:p w14:paraId="09B3404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19,6</w:t>
            </w:r>
          </w:p>
        </w:tc>
        <w:tc>
          <w:tcPr>
            <w:tcW w:w="871" w:type="dxa"/>
          </w:tcPr>
          <w:p w14:paraId="3CB5BDD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13,0</w:t>
            </w:r>
          </w:p>
        </w:tc>
        <w:tc>
          <w:tcPr>
            <w:tcW w:w="773" w:type="dxa"/>
          </w:tcPr>
          <w:p w14:paraId="23416123"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21" w:type="dxa"/>
          </w:tcPr>
          <w:p w14:paraId="1E3848B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16,7</w:t>
            </w:r>
          </w:p>
        </w:tc>
        <w:tc>
          <w:tcPr>
            <w:tcW w:w="854" w:type="dxa"/>
          </w:tcPr>
          <w:p w14:paraId="704B705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19,0</w:t>
            </w:r>
          </w:p>
        </w:tc>
        <w:tc>
          <w:tcPr>
            <w:tcW w:w="790" w:type="dxa"/>
          </w:tcPr>
          <w:p w14:paraId="1922D411"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23,4</w:t>
            </w:r>
          </w:p>
        </w:tc>
        <w:tc>
          <w:tcPr>
            <w:tcW w:w="854" w:type="dxa"/>
          </w:tcPr>
          <w:p w14:paraId="682E44D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11,8</w:t>
            </w:r>
          </w:p>
        </w:tc>
        <w:tc>
          <w:tcPr>
            <w:tcW w:w="902" w:type="dxa"/>
          </w:tcPr>
          <w:p w14:paraId="52142D45"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0,0</w:t>
            </w:r>
          </w:p>
        </w:tc>
        <w:tc>
          <w:tcPr>
            <w:tcW w:w="855" w:type="dxa"/>
          </w:tcPr>
          <w:p w14:paraId="6B19943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21,4</w:t>
            </w:r>
          </w:p>
        </w:tc>
      </w:tr>
      <w:tr w:rsidR="00117C0D" w:rsidRPr="003954D9" w14:paraId="58E5A76B" w14:textId="77777777" w:rsidTr="00117C0D">
        <w:trPr>
          <w:trHeight w:val="227"/>
        </w:trPr>
        <w:tc>
          <w:tcPr>
            <w:tcW w:w="934" w:type="dxa"/>
          </w:tcPr>
          <w:p w14:paraId="25BF30F2"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2 rokv</w:t>
            </w:r>
          </w:p>
        </w:tc>
        <w:tc>
          <w:tcPr>
            <w:tcW w:w="885" w:type="dxa"/>
          </w:tcPr>
          <w:p w14:paraId="32C5691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22,2</w:t>
            </w:r>
          </w:p>
        </w:tc>
        <w:tc>
          <w:tcPr>
            <w:tcW w:w="886" w:type="dxa"/>
          </w:tcPr>
          <w:p w14:paraId="5A5E5606"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41,2</w:t>
            </w:r>
          </w:p>
        </w:tc>
        <w:tc>
          <w:tcPr>
            <w:tcW w:w="871" w:type="dxa"/>
          </w:tcPr>
          <w:p w14:paraId="701711DF"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7,6</w:t>
            </w:r>
          </w:p>
        </w:tc>
        <w:tc>
          <w:tcPr>
            <w:tcW w:w="773" w:type="dxa"/>
          </w:tcPr>
          <w:p w14:paraId="4015953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20,3</w:t>
            </w:r>
          </w:p>
        </w:tc>
        <w:tc>
          <w:tcPr>
            <w:tcW w:w="821" w:type="dxa"/>
          </w:tcPr>
          <w:p w14:paraId="170A4CE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8,7</w:t>
            </w:r>
          </w:p>
        </w:tc>
        <w:tc>
          <w:tcPr>
            <w:tcW w:w="854" w:type="dxa"/>
          </w:tcPr>
          <w:p w14:paraId="0134FF4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16,3</w:t>
            </w:r>
          </w:p>
        </w:tc>
        <w:tc>
          <w:tcPr>
            <w:tcW w:w="790" w:type="dxa"/>
          </w:tcPr>
          <w:p w14:paraId="69330E74"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4" w:type="dxa"/>
          </w:tcPr>
          <w:p w14:paraId="66BE5E0B"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02" w:type="dxa"/>
          </w:tcPr>
          <w:p w14:paraId="302AB280"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5" w:type="dxa"/>
          </w:tcPr>
          <w:p w14:paraId="710E9E8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27,0</w:t>
            </w:r>
          </w:p>
        </w:tc>
      </w:tr>
      <w:tr w:rsidR="00117C0D" w:rsidRPr="003954D9" w14:paraId="58DFFF74" w14:textId="77777777" w:rsidTr="00117C0D">
        <w:trPr>
          <w:trHeight w:val="227"/>
        </w:trPr>
        <w:tc>
          <w:tcPr>
            <w:tcW w:w="934" w:type="dxa"/>
          </w:tcPr>
          <w:p w14:paraId="7D549B32"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 rok</w:t>
            </w:r>
          </w:p>
        </w:tc>
        <w:tc>
          <w:tcPr>
            <w:tcW w:w="885" w:type="dxa"/>
          </w:tcPr>
          <w:p w14:paraId="31D2B983"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20,7</w:t>
            </w:r>
          </w:p>
        </w:tc>
        <w:tc>
          <w:tcPr>
            <w:tcW w:w="886" w:type="dxa"/>
          </w:tcPr>
          <w:p w14:paraId="7C23A33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8,5</w:t>
            </w:r>
          </w:p>
        </w:tc>
        <w:tc>
          <w:tcPr>
            <w:tcW w:w="871" w:type="dxa"/>
          </w:tcPr>
          <w:p w14:paraId="7E3A546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11,3</w:t>
            </w:r>
          </w:p>
        </w:tc>
        <w:tc>
          <w:tcPr>
            <w:tcW w:w="773" w:type="dxa"/>
          </w:tcPr>
          <w:p w14:paraId="1EC47CA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c>
          <w:tcPr>
            <w:tcW w:w="821" w:type="dxa"/>
          </w:tcPr>
          <w:p w14:paraId="72EE39E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9,6</w:t>
            </w:r>
          </w:p>
        </w:tc>
        <w:tc>
          <w:tcPr>
            <w:tcW w:w="854" w:type="dxa"/>
          </w:tcPr>
          <w:p w14:paraId="382F3D3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13,6</w:t>
            </w:r>
          </w:p>
        </w:tc>
        <w:tc>
          <w:tcPr>
            <w:tcW w:w="790" w:type="dxa"/>
          </w:tcPr>
          <w:p w14:paraId="074C1DC2"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17,9</w:t>
            </w:r>
          </w:p>
        </w:tc>
        <w:tc>
          <w:tcPr>
            <w:tcW w:w="854" w:type="dxa"/>
          </w:tcPr>
          <w:p w14:paraId="0E1E467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11,4</w:t>
            </w:r>
          </w:p>
        </w:tc>
        <w:tc>
          <w:tcPr>
            <w:tcW w:w="902" w:type="dxa"/>
          </w:tcPr>
          <w:p w14:paraId="3A82E6ED"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7,8</w:t>
            </w:r>
          </w:p>
        </w:tc>
        <w:tc>
          <w:tcPr>
            <w:tcW w:w="855" w:type="dxa"/>
          </w:tcPr>
          <w:p w14:paraId="4AE1F0C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17,4</w:t>
            </w:r>
          </w:p>
        </w:tc>
      </w:tr>
      <w:tr w:rsidR="00117C0D" w:rsidRPr="003954D9" w14:paraId="6E3602C8" w14:textId="77777777" w:rsidTr="00117C0D">
        <w:trPr>
          <w:trHeight w:val="227"/>
        </w:trPr>
        <w:tc>
          <w:tcPr>
            <w:tcW w:w="934" w:type="dxa"/>
          </w:tcPr>
          <w:p w14:paraId="2457DF35"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 rok</w:t>
            </w:r>
          </w:p>
        </w:tc>
        <w:tc>
          <w:tcPr>
            <w:tcW w:w="885" w:type="dxa"/>
          </w:tcPr>
          <w:p w14:paraId="5A1AB477"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22,9</w:t>
            </w:r>
          </w:p>
        </w:tc>
        <w:tc>
          <w:tcPr>
            <w:tcW w:w="886" w:type="dxa"/>
          </w:tcPr>
          <w:p w14:paraId="4D8A2C9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18,0</w:t>
            </w:r>
          </w:p>
        </w:tc>
        <w:tc>
          <w:tcPr>
            <w:tcW w:w="871" w:type="dxa"/>
          </w:tcPr>
          <w:p w14:paraId="48DE9F1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10,0</w:t>
            </w:r>
          </w:p>
        </w:tc>
        <w:tc>
          <w:tcPr>
            <w:tcW w:w="773" w:type="dxa"/>
          </w:tcPr>
          <w:p w14:paraId="1F8ADCB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821" w:type="dxa"/>
          </w:tcPr>
          <w:p w14:paraId="2D42801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14,7</w:t>
            </w:r>
          </w:p>
        </w:tc>
        <w:tc>
          <w:tcPr>
            <w:tcW w:w="854" w:type="dxa"/>
          </w:tcPr>
          <w:p w14:paraId="6B38FF3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14,2</w:t>
            </w:r>
          </w:p>
        </w:tc>
        <w:tc>
          <w:tcPr>
            <w:tcW w:w="790" w:type="dxa"/>
          </w:tcPr>
          <w:p w14:paraId="04A3F3C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20,9</w:t>
            </w:r>
          </w:p>
        </w:tc>
        <w:tc>
          <w:tcPr>
            <w:tcW w:w="854" w:type="dxa"/>
          </w:tcPr>
          <w:p w14:paraId="20CB79C0"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6,7</w:t>
            </w:r>
          </w:p>
        </w:tc>
        <w:tc>
          <w:tcPr>
            <w:tcW w:w="902" w:type="dxa"/>
          </w:tcPr>
          <w:p w14:paraId="390A828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14,4</w:t>
            </w:r>
          </w:p>
        </w:tc>
        <w:tc>
          <w:tcPr>
            <w:tcW w:w="855" w:type="dxa"/>
          </w:tcPr>
          <w:p w14:paraId="633E75B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21,3</w:t>
            </w:r>
          </w:p>
        </w:tc>
      </w:tr>
      <w:tr w:rsidR="00117C0D" w:rsidRPr="003954D9" w14:paraId="7A12DFB3" w14:textId="77777777" w:rsidTr="00117C0D">
        <w:trPr>
          <w:trHeight w:val="227"/>
        </w:trPr>
        <w:tc>
          <w:tcPr>
            <w:tcW w:w="934" w:type="dxa"/>
          </w:tcPr>
          <w:p w14:paraId="291599AF"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 rok</w:t>
            </w:r>
          </w:p>
        </w:tc>
        <w:tc>
          <w:tcPr>
            <w:tcW w:w="885" w:type="dxa"/>
          </w:tcPr>
          <w:p w14:paraId="3CB59F1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19,4</w:t>
            </w:r>
          </w:p>
        </w:tc>
        <w:tc>
          <w:tcPr>
            <w:tcW w:w="886" w:type="dxa"/>
          </w:tcPr>
          <w:p w14:paraId="1EA64C3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9,8</w:t>
            </w:r>
          </w:p>
        </w:tc>
        <w:tc>
          <w:tcPr>
            <w:tcW w:w="871" w:type="dxa"/>
          </w:tcPr>
          <w:p w14:paraId="6CC6BFA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8,6</w:t>
            </w:r>
          </w:p>
        </w:tc>
        <w:tc>
          <w:tcPr>
            <w:tcW w:w="773" w:type="dxa"/>
          </w:tcPr>
          <w:p w14:paraId="1FB37C88"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24,2</w:t>
            </w:r>
          </w:p>
        </w:tc>
        <w:tc>
          <w:tcPr>
            <w:tcW w:w="821" w:type="dxa"/>
          </w:tcPr>
          <w:p w14:paraId="43BD217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11,7</w:t>
            </w:r>
          </w:p>
        </w:tc>
        <w:tc>
          <w:tcPr>
            <w:tcW w:w="854" w:type="dxa"/>
          </w:tcPr>
          <w:p w14:paraId="49BA4EB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c>
          <w:tcPr>
            <w:tcW w:w="790" w:type="dxa"/>
          </w:tcPr>
          <w:p w14:paraId="0B6B877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11,1</w:t>
            </w:r>
          </w:p>
        </w:tc>
        <w:tc>
          <w:tcPr>
            <w:tcW w:w="854" w:type="dxa"/>
          </w:tcPr>
          <w:p w14:paraId="3737F1A3"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8,9</w:t>
            </w:r>
          </w:p>
        </w:tc>
        <w:tc>
          <w:tcPr>
            <w:tcW w:w="902" w:type="dxa"/>
          </w:tcPr>
          <w:p w14:paraId="783DD028"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5" w:type="dxa"/>
          </w:tcPr>
          <w:p w14:paraId="7667757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17,2</w:t>
            </w:r>
          </w:p>
        </w:tc>
      </w:tr>
      <w:tr w:rsidR="00117C0D" w:rsidRPr="003954D9" w14:paraId="7A5FD206" w14:textId="77777777" w:rsidTr="00117C0D">
        <w:trPr>
          <w:trHeight w:val="227"/>
        </w:trPr>
        <w:tc>
          <w:tcPr>
            <w:tcW w:w="934" w:type="dxa"/>
          </w:tcPr>
          <w:p w14:paraId="411CC525"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5 - rok</w:t>
            </w:r>
          </w:p>
        </w:tc>
        <w:tc>
          <w:tcPr>
            <w:tcW w:w="885" w:type="dxa"/>
          </w:tcPr>
          <w:p w14:paraId="07C404A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26,8</w:t>
            </w:r>
          </w:p>
        </w:tc>
        <w:tc>
          <w:tcPr>
            <w:tcW w:w="886" w:type="dxa"/>
          </w:tcPr>
          <w:p w14:paraId="05F3E10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14,8</w:t>
            </w:r>
          </w:p>
        </w:tc>
        <w:tc>
          <w:tcPr>
            <w:tcW w:w="871" w:type="dxa"/>
          </w:tcPr>
          <w:p w14:paraId="780B7E6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c>
          <w:tcPr>
            <w:tcW w:w="773" w:type="dxa"/>
          </w:tcPr>
          <w:p w14:paraId="6BFD71EF"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21" w:type="dxa"/>
          </w:tcPr>
          <w:p w14:paraId="7508DE5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13,4</w:t>
            </w:r>
          </w:p>
        </w:tc>
        <w:tc>
          <w:tcPr>
            <w:tcW w:w="854" w:type="dxa"/>
          </w:tcPr>
          <w:p w14:paraId="704603C5"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790" w:type="dxa"/>
          </w:tcPr>
          <w:p w14:paraId="490B92E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8,5</w:t>
            </w:r>
          </w:p>
        </w:tc>
        <w:tc>
          <w:tcPr>
            <w:tcW w:w="854" w:type="dxa"/>
          </w:tcPr>
          <w:p w14:paraId="5C0E9462"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6,1</w:t>
            </w:r>
          </w:p>
        </w:tc>
        <w:tc>
          <w:tcPr>
            <w:tcW w:w="902" w:type="dxa"/>
          </w:tcPr>
          <w:p w14:paraId="365F5ADB"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5" w:type="dxa"/>
          </w:tcPr>
          <w:p w14:paraId="032D4294"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54,5</w:t>
            </w:r>
          </w:p>
        </w:tc>
      </w:tr>
      <w:tr w:rsidR="00117C0D" w:rsidRPr="003954D9" w14:paraId="14DA4197" w14:textId="77777777" w:rsidTr="00117C0D">
        <w:trPr>
          <w:trHeight w:val="227"/>
        </w:trPr>
        <w:tc>
          <w:tcPr>
            <w:tcW w:w="934" w:type="dxa"/>
          </w:tcPr>
          <w:p w14:paraId="49091B1B"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Samtliga</w:t>
            </w:r>
          </w:p>
        </w:tc>
        <w:tc>
          <w:tcPr>
            <w:tcW w:w="885" w:type="dxa"/>
          </w:tcPr>
          <w:p w14:paraId="7D61AD00"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21,5</w:t>
            </w:r>
          </w:p>
        </w:tc>
        <w:tc>
          <w:tcPr>
            <w:tcW w:w="886" w:type="dxa"/>
          </w:tcPr>
          <w:p w14:paraId="2736E32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15,3</w:t>
            </w:r>
          </w:p>
        </w:tc>
        <w:tc>
          <w:tcPr>
            <w:tcW w:w="871" w:type="dxa"/>
          </w:tcPr>
          <w:p w14:paraId="7FB5C05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12,6</w:t>
            </w:r>
          </w:p>
        </w:tc>
        <w:tc>
          <w:tcPr>
            <w:tcW w:w="773" w:type="dxa"/>
          </w:tcPr>
          <w:p w14:paraId="7AA17E2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15,2</w:t>
            </w:r>
          </w:p>
        </w:tc>
        <w:tc>
          <w:tcPr>
            <w:tcW w:w="821" w:type="dxa"/>
          </w:tcPr>
          <w:p w14:paraId="2071C4B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12,3</w:t>
            </w:r>
          </w:p>
        </w:tc>
        <w:tc>
          <w:tcPr>
            <w:tcW w:w="854" w:type="dxa"/>
          </w:tcPr>
          <w:p w14:paraId="4795320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15,8</w:t>
            </w:r>
          </w:p>
        </w:tc>
        <w:tc>
          <w:tcPr>
            <w:tcW w:w="790" w:type="dxa"/>
          </w:tcPr>
          <w:p w14:paraId="41ADB05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17,7</w:t>
            </w:r>
          </w:p>
        </w:tc>
        <w:tc>
          <w:tcPr>
            <w:tcW w:w="854" w:type="dxa"/>
          </w:tcPr>
          <w:p w14:paraId="3F535D2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10,8</w:t>
            </w:r>
          </w:p>
        </w:tc>
        <w:tc>
          <w:tcPr>
            <w:tcW w:w="902" w:type="dxa"/>
          </w:tcPr>
          <w:p w14:paraId="7C29E062"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9,1</w:t>
            </w:r>
          </w:p>
        </w:tc>
        <w:tc>
          <w:tcPr>
            <w:tcW w:w="855" w:type="dxa"/>
          </w:tcPr>
          <w:p w14:paraId="6D91FE6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20,9</w:t>
            </w:r>
          </w:p>
        </w:tc>
      </w:tr>
      <w:tr w:rsidR="00117C0D" w:rsidRPr="003954D9" w14:paraId="33B0F2DE" w14:textId="77777777" w:rsidTr="00117C0D">
        <w:trPr>
          <w:trHeight w:val="227"/>
        </w:trPr>
        <w:tc>
          <w:tcPr>
            <w:tcW w:w="934" w:type="dxa"/>
          </w:tcPr>
          <w:p w14:paraId="1412F4EE"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Antal</w:t>
            </w:r>
          </w:p>
        </w:tc>
        <w:tc>
          <w:tcPr>
            <w:tcW w:w="885" w:type="dxa"/>
          </w:tcPr>
          <w:p w14:paraId="364B1558"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962</w:t>
            </w:r>
          </w:p>
        </w:tc>
        <w:tc>
          <w:tcPr>
            <w:tcW w:w="886" w:type="dxa"/>
          </w:tcPr>
          <w:p w14:paraId="797EA45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366</w:t>
            </w:r>
          </w:p>
        </w:tc>
        <w:tc>
          <w:tcPr>
            <w:tcW w:w="871" w:type="dxa"/>
          </w:tcPr>
          <w:p w14:paraId="0A7463F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259</w:t>
            </w:r>
          </w:p>
        </w:tc>
        <w:tc>
          <w:tcPr>
            <w:tcW w:w="773" w:type="dxa"/>
          </w:tcPr>
          <w:p w14:paraId="2E2CE9C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138</w:t>
            </w:r>
          </w:p>
        </w:tc>
        <w:tc>
          <w:tcPr>
            <w:tcW w:w="821" w:type="dxa"/>
          </w:tcPr>
          <w:p w14:paraId="0C12583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325</w:t>
            </w:r>
          </w:p>
        </w:tc>
        <w:tc>
          <w:tcPr>
            <w:tcW w:w="854" w:type="dxa"/>
          </w:tcPr>
          <w:p w14:paraId="36CEB0F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219</w:t>
            </w:r>
          </w:p>
        </w:tc>
        <w:tc>
          <w:tcPr>
            <w:tcW w:w="790" w:type="dxa"/>
          </w:tcPr>
          <w:p w14:paraId="3267A0B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494</w:t>
            </w:r>
          </w:p>
        </w:tc>
        <w:tc>
          <w:tcPr>
            <w:tcW w:w="854" w:type="dxa"/>
          </w:tcPr>
          <w:p w14:paraId="4C8C592D"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279</w:t>
            </w:r>
          </w:p>
        </w:tc>
        <w:tc>
          <w:tcPr>
            <w:tcW w:w="902" w:type="dxa"/>
          </w:tcPr>
          <w:p w14:paraId="3F45FA0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29</w:t>
            </w:r>
          </w:p>
        </w:tc>
        <w:tc>
          <w:tcPr>
            <w:tcW w:w="855" w:type="dxa"/>
          </w:tcPr>
          <w:p w14:paraId="7A94A5F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727</w:t>
            </w:r>
          </w:p>
        </w:tc>
      </w:tr>
    </w:tbl>
    <w:p w14:paraId="2661F036" w14:textId="77777777" w:rsidR="00117C0D" w:rsidRPr="003954D9" w:rsidRDefault="00117C0D" w:rsidP="00117C0D">
      <w:pPr>
        <w:rPr>
          <w:sz w:val="23"/>
        </w:rPr>
      </w:pPr>
      <w:r w:rsidRPr="003954D9">
        <w:rPr>
          <w:b/>
          <w:sz w:val="20"/>
          <w:szCs w:val="20"/>
        </w:rPr>
        <w:t xml:space="preserve"> </w:t>
      </w:r>
      <w:r w:rsidRPr="00AE13ED">
        <w:rPr>
          <w:b/>
          <w:color w:val="FF6600"/>
          <w:sz w:val="16"/>
          <w:szCs w:val="16"/>
        </w:rPr>
        <w:t>Röd färg högsta</w:t>
      </w:r>
      <w:r w:rsidRPr="003954D9">
        <w:rPr>
          <w:color w:val="FF6600"/>
          <w:sz w:val="16"/>
          <w:szCs w:val="16"/>
        </w:rPr>
        <w:t xml:space="preserve"> </w:t>
      </w:r>
      <w:r w:rsidRPr="003954D9">
        <w:rPr>
          <w:sz w:val="16"/>
          <w:szCs w:val="16"/>
        </w:rPr>
        <w:t xml:space="preserve">och </w:t>
      </w:r>
      <w:r w:rsidRPr="00AE13ED">
        <w:rPr>
          <w:b/>
          <w:color w:val="0070C0"/>
          <w:sz w:val="16"/>
          <w:szCs w:val="16"/>
        </w:rPr>
        <w:t>blå färg lägsta</w:t>
      </w:r>
      <w:r w:rsidRPr="00AE13ED">
        <w:rPr>
          <w:color w:val="0070C0"/>
          <w:sz w:val="16"/>
          <w:szCs w:val="16"/>
        </w:rPr>
        <w:t xml:space="preserve"> </w:t>
      </w:r>
      <w:r w:rsidRPr="003954D9">
        <w:rPr>
          <w:sz w:val="16"/>
          <w:szCs w:val="16"/>
        </w:rPr>
        <w:t>värde i gruppen</w:t>
      </w:r>
    </w:p>
    <w:p w14:paraId="16491EFD" w14:textId="77777777" w:rsidR="00117C0D" w:rsidRPr="003954D9" w:rsidRDefault="00117C0D" w:rsidP="00117C0D">
      <w:pPr>
        <w:rPr>
          <w:sz w:val="23"/>
        </w:rPr>
      </w:pPr>
    </w:p>
    <w:p w14:paraId="0E367B72"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6:8: Andel och antal av hushållen i riskzonen idag efter lägenhetstyp och stadsdel</w:t>
      </w:r>
    </w:p>
    <w:tbl>
      <w:tblPr>
        <w:tblW w:w="94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779"/>
        <w:gridCol w:w="863"/>
        <w:gridCol w:w="850"/>
        <w:gridCol w:w="703"/>
        <w:gridCol w:w="857"/>
        <w:gridCol w:w="850"/>
        <w:gridCol w:w="888"/>
        <w:gridCol w:w="888"/>
        <w:gridCol w:w="917"/>
        <w:gridCol w:w="931"/>
      </w:tblGrid>
      <w:tr w:rsidR="00117C0D" w:rsidRPr="003954D9" w14:paraId="6CDC33EC" w14:textId="77777777" w:rsidTr="00117C0D">
        <w:trPr>
          <w:trHeight w:val="227"/>
        </w:trPr>
        <w:tc>
          <w:tcPr>
            <w:tcW w:w="940" w:type="dxa"/>
          </w:tcPr>
          <w:p w14:paraId="5B2A8C58"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Lägenhets-</w:t>
            </w:r>
          </w:p>
          <w:p w14:paraId="0A56F433"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typ</w:t>
            </w:r>
          </w:p>
        </w:tc>
        <w:tc>
          <w:tcPr>
            <w:tcW w:w="779" w:type="dxa"/>
          </w:tcPr>
          <w:p w14:paraId="44E2EF0A"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Angered</w:t>
            </w:r>
          </w:p>
        </w:tc>
        <w:tc>
          <w:tcPr>
            <w:tcW w:w="863" w:type="dxa"/>
          </w:tcPr>
          <w:p w14:paraId="50F93A68"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Askim- Frölunda-Högsbo</w:t>
            </w:r>
          </w:p>
        </w:tc>
        <w:tc>
          <w:tcPr>
            <w:tcW w:w="850" w:type="dxa"/>
          </w:tcPr>
          <w:p w14:paraId="04429794"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Centrum</w:t>
            </w:r>
          </w:p>
        </w:tc>
        <w:tc>
          <w:tcPr>
            <w:tcW w:w="703" w:type="dxa"/>
          </w:tcPr>
          <w:p w14:paraId="09BDBC8B"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Lundby</w:t>
            </w:r>
          </w:p>
        </w:tc>
        <w:tc>
          <w:tcPr>
            <w:tcW w:w="857" w:type="dxa"/>
          </w:tcPr>
          <w:p w14:paraId="4EF6E7AD"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Majorna- Linné</w:t>
            </w:r>
          </w:p>
        </w:tc>
        <w:tc>
          <w:tcPr>
            <w:tcW w:w="850" w:type="dxa"/>
          </w:tcPr>
          <w:p w14:paraId="7122C71D"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Norra Hisingen</w:t>
            </w:r>
          </w:p>
        </w:tc>
        <w:tc>
          <w:tcPr>
            <w:tcW w:w="888" w:type="dxa"/>
          </w:tcPr>
          <w:p w14:paraId="5E3D999F"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Hisingen</w:t>
            </w:r>
          </w:p>
        </w:tc>
        <w:tc>
          <w:tcPr>
            <w:tcW w:w="888" w:type="dxa"/>
          </w:tcPr>
          <w:p w14:paraId="7C3B4CCA"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Örgryte, Härlanda</w:t>
            </w:r>
          </w:p>
        </w:tc>
        <w:tc>
          <w:tcPr>
            <w:tcW w:w="917" w:type="dxa"/>
          </w:tcPr>
          <w:p w14:paraId="09FDCE08"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Västra Göteborg</w:t>
            </w:r>
          </w:p>
        </w:tc>
        <w:tc>
          <w:tcPr>
            <w:tcW w:w="931" w:type="dxa"/>
          </w:tcPr>
          <w:p w14:paraId="68D5CB11"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Östra Göteborg</w:t>
            </w:r>
          </w:p>
        </w:tc>
      </w:tr>
      <w:tr w:rsidR="00117C0D" w:rsidRPr="003954D9" w14:paraId="7002D633" w14:textId="77777777" w:rsidTr="00117C0D">
        <w:trPr>
          <w:trHeight w:val="227"/>
        </w:trPr>
        <w:tc>
          <w:tcPr>
            <w:tcW w:w="940" w:type="dxa"/>
          </w:tcPr>
          <w:p w14:paraId="56C0E263"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1 rokv</w:t>
            </w:r>
          </w:p>
        </w:tc>
        <w:tc>
          <w:tcPr>
            <w:tcW w:w="779" w:type="dxa"/>
          </w:tcPr>
          <w:p w14:paraId="40B9E15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17,8</w:t>
            </w:r>
          </w:p>
        </w:tc>
        <w:tc>
          <w:tcPr>
            <w:tcW w:w="863" w:type="dxa"/>
          </w:tcPr>
          <w:p w14:paraId="36064CE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25,2</w:t>
            </w:r>
          </w:p>
        </w:tc>
        <w:tc>
          <w:tcPr>
            <w:tcW w:w="850" w:type="dxa"/>
          </w:tcPr>
          <w:p w14:paraId="2AC0F74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21,1</w:t>
            </w:r>
          </w:p>
        </w:tc>
        <w:tc>
          <w:tcPr>
            <w:tcW w:w="703" w:type="dxa"/>
          </w:tcPr>
          <w:p w14:paraId="47DB7C4B"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14,5</w:t>
            </w:r>
          </w:p>
        </w:tc>
        <w:tc>
          <w:tcPr>
            <w:tcW w:w="857" w:type="dxa"/>
          </w:tcPr>
          <w:p w14:paraId="4A3C1BB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15,6</w:t>
            </w:r>
          </w:p>
        </w:tc>
        <w:tc>
          <w:tcPr>
            <w:tcW w:w="850" w:type="dxa"/>
          </w:tcPr>
          <w:p w14:paraId="7F01215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20,4</w:t>
            </w:r>
          </w:p>
        </w:tc>
        <w:tc>
          <w:tcPr>
            <w:tcW w:w="888" w:type="dxa"/>
          </w:tcPr>
          <w:p w14:paraId="6968CDD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15,7</w:t>
            </w:r>
          </w:p>
        </w:tc>
        <w:tc>
          <w:tcPr>
            <w:tcW w:w="888" w:type="dxa"/>
          </w:tcPr>
          <w:p w14:paraId="74AE673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23,7</w:t>
            </w:r>
          </w:p>
        </w:tc>
        <w:tc>
          <w:tcPr>
            <w:tcW w:w="917" w:type="dxa"/>
          </w:tcPr>
          <w:p w14:paraId="61BB3B5E"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31" w:type="dxa"/>
          </w:tcPr>
          <w:p w14:paraId="66E16594"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28,5</w:t>
            </w:r>
          </w:p>
        </w:tc>
      </w:tr>
      <w:tr w:rsidR="00117C0D" w:rsidRPr="003954D9" w14:paraId="2D4D9FE1" w14:textId="77777777" w:rsidTr="00117C0D">
        <w:trPr>
          <w:trHeight w:val="227"/>
        </w:trPr>
        <w:tc>
          <w:tcPr>
            <w:tcW w:w="940" w:type="dxa"/>
          </w:tcPr>
          <w:p w14:paraId="37E050E6"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1 rok</w:t>
            </w:r>
          </w:p>
        </w:tc>
        <w:tc>
          <w:tcPr>
            <w:tcW w:w="779" w:type="dxa"/>
          </w:tcPr>
          <w:p w14:paraId="338C507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c>
          <w:tcPr>
            <w:tcW w:w="863" w:type="dxa"/>
          </w:tcPr>
          <w:p w14:paraId="28F78E9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17,6</w:t>
            </w:r>
          </w:p>
        </w:tc>
        <w:tc>
          <w:tcPr>
            <w:tcW w:w="850" w:type="dxa"/>
          </w:tcPr>
          <w:p w14:paraId="3C261AE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13,0</w:t>
            </w:r>
          </w:p>
        </w:tc>
        <w:tc>
          <w:tcPr>
            <w:tcW w:w="703" w:type="dxa"/>
          </w:tcPr>
          <w:p w14:paraId="1CE23CC0"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7" w:type="dxa"/>
          </w:tcPr>
          <w:p w14:paraId="2E4153C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15,8</w:t>
            </w:r>
          </w:p>
        </w:tc>
        <w:tc>
          <w:tcPr>
            <w:tcW w:w="850" w:type="dxa"/>
          </w:tcPr>
          <w:p w14:paraId="1B373AA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15,5</w:t>
            </w:r>
          </w:p>
        </w:tc>
        <w:tc>
          <w:tcPr>
            <w:tcW w:w="888" w:type="dxa"/>
          </w:tcPr>
          <w:p w14:paraId="30D1F834"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21,9</w:t>
            </w:r>
          </w:p>
        </w:tc>
        <w:tc>
          <w:tcPr>
            <w:tcW w:w="888" w:type="dxa"/>
          </w:tcPr>
          <w:p w14:paraId="022BAD13"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10,5</w:t>
            </w:r>
          </w:p>
        </w:tc>
        <w:tc>
          <w:tcPr>
            <w:tcW w:w="917" w:type="dxa"/>
          </w:tcPr>
          <w:p w14:paraId="609B5EA2"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0,0</w:t>
            </w:r>
          </w:p>
        </w:tc>
        <w:tc>
          <w:tcPr>
            <w:tcW w:w="931" w:type="dxa"/>
          </w:tcPr>
          <w:p w14:paraId="438A578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19,9</w:t>
            </w:r>
          </w:p>
        </w:tc>
      </w:tr>
      <w:tr w:rsidR="00117C0D" w:rsidRPr="003954D9" w14:paraId="09CAB8C1" w14:textId="77777777" w:rsidTr="00117C0D">
        <w:trPr>
          <w:trHeight w:val="227"/>
        </w:trPr>
        <w:tc>
          <w:tcPr>
            <w:tcW w:w="940" w:type="dxa"/>
          </w:tcPr>
          <w:p w14:paraId="15FB448C" w14:textId="77777777" w:rsidR="00117C0D" w:rsidRPr="003954D9" w:rsidRDefault="00117C0D" w:rsidP="00117C0D">
            <w:pPr>
              <w:autoSpaceDE w:val="0"/>
              <w:autoSpaceDN w:val="0"/>
              <w:adjustRightInd w:val="0"/>
              <w:rPr>
                <w:rFonts w:ascii="Calibri" w:eastAsiaTheme="minorHAnsi" w:hAnsi="Calibri" w:cs="Calibri"/>
                <w:b/>
                <w:bCs/>
                <w:color w:val="000000"/>
                <w:sz w:val="16"/>
                <w:szCs w:val="16"/>
                <w:lang w:eastAsia="en-US"/>
              </w:rPr>
            </w:pPr>
            <w:r w:rsidRPr="003954D9">
              <w:rPr>
                <w:rFonts w:ascii="Calibri" w:eastAsiaTheme="minorHAnsi" w:hAnsi="Calibri" w:cs="Calibri"/>
                <w:b/>
                <w:bCs/>
                <w:color w:val="000000"/>
                <w:sz w:val="16"/>
                <w:szCs w:val="16"/>
                <w:lang w:eastAsia="en-US"/>
              </w:rPr>
              <w:t>2 rokv</w:t>
            </w:r>
          </w:p>
        </w:tc>
        <w:tc>
          <w:tcPr>
            <w:tcW w:w="779" w:type="dxa"/>
          </w:tcPr>
          <w:p w14:paraId="63815F1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19,6</w:t>
            </w:r>
          </w:p>
        </w:tc>
        <w:tc>
          <w:tcPr>
            <w:tcW w:w="863" w:type="dxa"/>
          </w:tcPr>
          <w:p w14:paraId="752AB479"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35,3</w:t>
            </w:r>
          </w:p>
        </w:tc>
        <w:tc>
          <w:tcPr>
            <w:tcW w:w="850" w:type="dxa"/>
          </w:tcPr>
          <w:p w14:paraId="025A771A"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6,3</w:t>
            </w:r>
          </w:p>
        </w:tc>
        <w:tc>
          <w:tcPr>
            <w:tcW w:w="703" w:type="dxa"/>
          </w:tcPr>
          <w:p w14:paraId="6397DEB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18,8</w:t>
            </w:r>
          </w:p>
        </w:tc>
        <w:tc>
          <w:tcPr>
            <w:tcW w:w="857" w:type="dxa"/>
          </w:tcPr>
          <w:p w14:paraId="5447C3C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8,2</w:t>
            </w:r>
          </w:p>
        </w:tc>
        <w:tc>
          <w:tcPr>
            <w:tcW w:w="850" w:type="dxa"/>
          </w:tcPr>
          <w:p w14:paraId="602ED46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16,3</w:t>
            </w:r>
          </w:p>
        </w:tc>
        <w:tc>
          <w:tcPr>
            <w:tcW w:w="888" w:type="dxa"/>
          </w:tcPr>
          <w:p w14:paraId="7F9854B4"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88" w:type="dxa"/>
          </w:tcPr>
          <w:p w14:paraId="11F667F1"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17" w:type="dxa"/>
          </w:tcPr>
          <w:p w14:paraId="34FE476B"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31" w:type="dxa"/>
          </w:tcPr>
          <w:p w14:paraId="1A06968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24,3</w:t>
            </w:r>
          </w:p>
        </w:tc>
      </w:tr>
      <w:tr w:rsidR="00117C0D" w:rsidRPr="003954D9" w14:paraId="6252AA9F" w14:textId="77777777" w:rsidTr="00117C0D">
        <w:trPr>
          <w:trHeight w:val="227"/>
        </w:trPr>
        <w:tc>
          <w:tcPr>
            <w:tcW w:w="940" w:type="dxa"/>
          </w:tcPr>
          <w:p w14:paraId="411E7E8F"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2 rok</w:t>
            </w:r>
          </w:p>
        </w:tc>
        <w:tc>
          <w:tcPr>
            <w:tcW w:w="779" w:type="dxa"/>
          </w:tcPr>
          <w:p w14:paraId="49EA0180"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18,7</w:t>
            </w:r>
          </w:p>
        </w:tc>
        <w:tc>
          <w:tcPr>
            <w:tcW w:w="863" w:type="dxa"/>
          </w:tcPr>
          <w:p w14:paraId="3148654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7,2</w:t>
            </w:r>
          </w:p>
        </w:tc>
        <w:tc>
          <w:tcPr>
            <w:tcW w:w="850" w:type="dxa"/>
          </w:tcPr>
          <w:p w14:paraId="4161AC6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10,3</w:t>
            </w:r>
          </w:p>
        </w:tc>
        <w:tc>
          <w:tcPr>
            <w:tcW w:w="703" w:type="dxa"/>
          </w:tcPr>
          <w:p w14:paraId="5B1FEF4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9,0</w:t>
            </w:r>
          </w:p>
        </w:tc>
        <w:tc>
          <w:tcPr>
            <w:tcW w:w="857" w:type="dxa"/>
          </w:tcPr>
          <w:p w14:paraId="732BDE1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8,4</w:t>
            </w:r>
          </w:p>
        </w:tc>
        <w:tc>
          <w:tcPr>
            <w:tcW w:w="850" w:type="dxa"/>
          </w:tcPr>
          <w:p w14:paraId="74F4345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c>
          <w:tcPr>
            <w:tcW w:w="888" w:type="dxa"/>
          </w:tcPr>
          <w:p w14:paraId="578967CA"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15,3</w:t>
            </w:r>
          </w:p>
        </w:tc>
        <w:tc>
          <w:tcPr>
            <w:tcW w:w="888" w:type="dxa"/>
          </w:tcPr>
          <w:p w14:paraId="4D5F9D6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9,9</w:t>
            </w:r>
          </w:p>
        </w:tc>
        <w:tc>
          <w:tcPr>
            <w:tcW w:w="917" w:type="dxa"/>
          </w:tcPr>
          <w:p w14:paraId="68265D45"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6,2</w:t>
            </w:r>
          </w:p>
        </w:tc>
        <w:tc>
          <w:tcPr>
            <w:tcW w:w="931" w:type="dxa"/>
          </w:tcPr>
          <w:p w14:paraId="22D50CA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15,1</w:t>
            </w:r>
          </w:p>
        </w:tc>
      </w:tr>
      <w:tr w:rsidR="00117C0D" w:rsidRPr="003954D9" w14:paraId="7B9FBA46" w14:textId="77777777" w:rsidTr="00117C0D">
        <w:trPr>
          <w:trHeight w:val="227"/>
        </w:trPr>
        <w:tc>
          <w:tcPr>
            <w:tcW w:w="940" w:type="dxa"/>
          </w:tcPr>
          <w:p w14:paraId="186874B3"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3 rok</w:t>
            </w:r>
          </w:p>
        </w:tc>
        <w:tc>
          <w:tcPr>
            <w:tcW w:w="779" w:type="dxa"/>
          </w:tcPr>
          <w:p w14:paraId="7A51AFD2"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20,2</w:t>
            </w:r>
          </w:p>
        </w:tc>
        <w:tc>
          <w:tcPr>
            <w:tcW w:w="863" w:type="dxa"/>
          </w:tcPr>
          <w:p w14:paraId="2AD2FF5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15,2</w:t>
            </w:r>
          </w:p>
        </w:tc>
        <w:tc>
          <w:tcPr>
            <w:tcW w:w="850" w:type="dxa"/>
          </w:tcPr>
          <w:p w14:paraId="7B9B077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9,0</w:t>
            </w:r>
          </w:p>
        </w:tc>
        <w:tc>
          <w:tcPr>
            <w:tcW w:w="703" w:type="dxa"/>
          </w:tcPr>
          <w:p w14:paraId="057A766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857" w:type="dxa"/>
          </w:tcPr>
          <w:p w14:paraId="461C8E1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12,3</w:t>
            </w:r>
          </w:p>
        </w:tc>
        <w:tc>
          <w:tcPr>
            <w:tcW w:w="850" w:type="dxa"/>
          </w:tcPr>
          <w:p w14:paraId="508468F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12,6</w:t>
            </w:r>
          </w:p>
        </w:tc>
        <w:tc>
          <w:tcPr>
            <w:tcW w:w="888" w:type="dxa"/>
          </w:tcPr>
          <w:p w14:paraId="02BCA12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19,0</w:t>
            </w:r>
          </w:p>
        </w:tc>
        <w:tc>
          <w:tcPr>
            <w:tcW w:w="888" w:type="dxa"/>
          </w:tcPr>
          <w:p w14:paraId="19803170"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6,1</w:t>
            </w:r>
          </w:p>
        </w:tc>
        <w:tc>
          <w:tcPr>
            <w:tcW w:w="917" w:type="dxa"/>
          </w:tcPr>
          <w:p w14:paraId="65F5535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13,5</w:t>
            </w:r>
          </w:p>
        </w:tc>
        <w:tc>
          <w:tcPr>
            <w:tcW w:w="931" w:type="dxa"/>
          </w:tcPr>
          <w:p w14:paraId="0F8BA759"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17,8</w:t>
            </w:r>
          </w:p>
        </w:tc>
      </w:tr>
      <w:tr w:rsidR="00117C0D" w:rsidRPr="003954D9" w14:paraId="4C2AF463" w14:textId="77777777" w:rsidTr="00117C0D">
        <w:trPr>
          <w:trHeight w:val="227"/>
        </w:trPr>
        <w:tc>
          <w:tcPr>
            <w:tcW w:w="940" w:type="dxa"/>
          </w:tcPr>
          <w:p w14:paraId="39BA116E"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4 rok</w:t>
            </w:r>
          </w:p>
        </w:tc>
        <w:tc>
          <w:tcPr>
            <w:tcW w:w="779" w:type="dxa"/>
          </w:tcPr>
          <w:p w14:paraId="323B887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16,8</w:t>
            </w:r>
          </w:p>
        </w:tc>
        <w:tc>
          <w:tcPr>
            <w:tcW w:w="863" w:type="dxa"/>
          </w:tcPr>
          <w:p w14:paraId="30F03A5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8,3</w:t>
            </w:r>
          </w:p>
        </w:tc>
        <w:tc>
          <w:tcPr>
            <w:tcW w:w="850" w:type="dxa"/>
          </w:tcPr>
          <w:p w14:paraId="0AFA0886"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7,6</w:t>
            </w:r>
          </w:p>
        </w:tc>
        <w:tc>
          <w:tcPr>
            <w:tcW w:w="703" w:type="dxa"/>
          </w:tcPr>
          <w:p w14:paraId="3525C104"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20,3</w:t>
            </w:r>
          </w:p>
        </w:tc>
        <w:tc>
          <w:tcPr>
            <w:tcW w:w="857" w:type="dxa"/>
          </w:tcPr>
          <w:p w14:paraId="046A831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10,3</w:t>
            </w:r>
          </w:p>
        </w:tc>
        <w:tc>
          <w:tcPr>
            <w:tcW w:w="850" w:type="dxa"/>
          </w:tcPr>
          <w:p w14:paraId="053475A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16,3</w:t>
            </w:r>
          </w:p>
        </w:tc>
        <w:tc>
          <w:tcPr>
            <w:tcW w:w="888" w:type="dxa"/>
          </w:tcPr>
          <w:p w14:paraId="48936A0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9,0</w:t>
            </w:r>
          </w:p>
        </w:tc>
        <w:tc>
          <w:tcPr>
            <w:tcW w:w="888" w:type="dxa"/>
          </w:tcPr>
          <w:p w14:paraId="5A56816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8,4</w:t>
            </w:r>
          </w:p>
        </w:tc>
        <w:tc>
          <w:tcPr>
            <w:tcW w:w="917" w:type="dxa"/>
          </w:tcPr>
          <w:p w14:paraId="43AE37FC"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31" w:type="dxa"/>
          </w:tcPr>
          <w:p w14:paraId="0DA69EE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14,2</w:t>
            </w:r>
          </w:p>
        </w:tc>
      </w:tr>
      <w:tr w:rsidR="00117C0D" w:rsidRPr="003954D9" w14:paraId="6F0327CD" w14:textId="77777777" w:rsidTr="00117C0D">
        <w:trPr>
          <w:trHeight w:val="227"/>
        </w:trPr>
        <w:tc>
          <w:tcPr>
            <w:tcW w:w="940" w:type="dxa"/>
          </w:tcPr>
          <w:p w14:paraId="26EE4618"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5 - rok</w:t>
            </w:r>
          </w:p>
        </w:tc>
        <w:tc>
          <w:tcPr>
            <w:tcW w:w="779" w:type="dxa"/>
          </w:tcPr>
          <w:p w14:paraId="1E03CF2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26,1</w:t>
            </w:r>
          </w:p>
        </w:tc>
        <w:tc>
          <w:tcPr>
            <w:tcW w:w="863" w:type="dxa"/>
          </w:tcPr>
          <w:p w14:paraId="132FBDA1"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14,8</w:t>
            </w:r>
          </w:p>
        </w:tc>
        <w:tc>
          <w:tcPr>
            <w:tcW w:w="850" w:type="dxa"/>
          </w:tcPr>
          <w:p w14:paraId="298A798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9,8</w:t>
            </w:r>
          </w:p>
        </w:tc>
        <w:tc>
          <w:tcPr>
            <w:tcW w:w="703" w:type="dxa"/>
          </w:tcPr>
          <w:p w14:paraId="4064A75A"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57" w:type="dxa"/>
          </w:tcPr>
          <w:p w14:paraId="7074FED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11,6</w:t>
            </w:r>
          </w:p>
        </w:tc>
        <w:tc>
          <w:tcPr>
            <w:tcW w:w="850" w:type="dxa"/>
          </w:tcPr>
          <w:p w14:paraId="53613B19"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888" w:type="dxa"/>
          </w:tcPr>
          <w:p w14:paraId="54250286"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8,5</w:t>
            </w:r>
          </w:p>
        </w:tc>
        <w:tc>
          <w:tcPr>
            <w:tcW w:w="888" w:type="dxa"/>
          </w:tcPr>
          <w:p w14:paraId="2ADEC3B8"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6,1</w:t>
            </w:r>
          </w:p>
        </w:tc>
        <w:tc>
          <w:tcPr>
            <w:tcW w:w="917" w:type="dxa"/>
          </w:tcPr>
          <w:p w14:paraId="3F07390B" w14:textId="77777777" w:rsidR="00117C0D" w:rsidRPr="003954D9" w:rsidRDefault="00117C0D" w:rsidP="00117C0D">
            <w:pPr>
              <w:autoSpaceDE w:val="0"/>
              <w:autoSpaceDN w:val="0"/>
              <w:adjustRightInd w:val="0"/>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w:t>
            </w:r>
          </w:p>
        </w:tc>
        <w:tc>
          <w:tcPr>
            <w:tcW w:w="931" w:type="dxa"/>
          </w:tcPr>
          <w:p w14:paraId="1324349D"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54,5</w:t>
            </w:r>
          </w:p>
        </w:tc>
      </w:tr>
      <w:tr w:rsidR="00117C0D" w:rsidRPr="003954D9" w14:paraId="4175C21C" w14:textId="77777777" w:rsidTr="00117C0D">
        <w:trPr>
          <w:trHeight w:val="227"/>
        </w:trPr>
        <w:tc>
          <w:tcPr>
            <w:tcW w:w="940" w:type="dxa"/>
          </w:tcPr>
          <w:p w14:paraId="671AC939"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Samtliga</w:t>
            </w:r>
          </w:p>
        </w:tc>
        <w:tc>
          <w:tcPr>
            <w:tcW w:w="779" w:type="dxa"/>
          </w:tcPr>
          <w:p w14:paraId="09A68353" w14:textId="77777777" w:rsidR="00117C0D" w:rsidRPr="00AE13ED" w:rsidRDefault="00117C0D" w:rsidP="00117C0D">
            <w:pPr>
              <w:autoSpaceDE w:val="0"/>
              <w:autoSpaceDN w:val="0"/>
              <w:adjustRightInd w:val="0"/>
              <w:jc w:val="right"/>
              <w:rPr>
                <w:rFonts w:ascii="Calibri" w:eastAsiaTheme="minorHAnsi" w:hAnsi="Calibri" w:cs="Calibri"/>
                <w:b/>
                <w:color w:val="FF0000"/>
                <w:sz w:val="16"/>
                <w:szCs w:val="16"/>
                <w:lang w:eastAsia="en-US"/>
              </w:rPr>
            </w:pPr>
            <w:r w:rsidRPr="00AE13ED">
              <w:rPr>
                <w:rFonts w:ascii="Calibri" w:eastAsiaTheme="minorHAnsi" w:hAnsi="Calibri" w:cs="Calibri"/>
                <w:b/>
                <w:color w:val="FF0000"/>
                <w:sz w:val="16"/>
                <w:szCs w:val="16"/>
                <w:lang w:eastAsia="en-US"/>
              </w:rPr>
              <w:t>19,2</w:t>
            </w:r>
          </w:p>
        </w:tc>
        <w:tc>
          <w:tcPr>
            <w:tcW w:w="863" w:type="dxa"/>
          </w:tcPr>
          <w:p w14:paraId="5408C50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13,5</w:t>
            </w:r>
          </w:p>
        </w:tc>
        <w:tc>
          <w:tcPr>
            <w:tcW w:w="850" w:type="dxa"/>
          </w:tcPr>
          <w:p w14:paraId="6F7C122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11,6</w:t>
            </w:r>
          </w:p>
        </w:tc>
        <w:tc>
          <w:tcPr>
            <w:tcW w:w="703" w:type="dxa"/>
          </w:tcPr>
          <w:p w14:paraId="05D2711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13,8</w:t>
            </w:r>
          </w:p>
        </w:tc>
        <w:tc>
          <w:tcPr>
            <w:tcW w:w="857" w:type="dxa"/>
          </w:tcPr>
          <w:p w14:paraId="754934ED"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10,9</w:t>
            </w:r>
          </w:p>
        </w:tc>
        <w:tc>
          <w:tcPr>
            <w:tcW w:w="850" w:type="dxa"/>
          </w:tcPr>
          <w:p w14:paraId="1480636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13,9</w:t>
            </w:r>
          </w:p>
        </w:tc>
        <w:tc>
          <w:tcPr>
            <w:tcW w:w="888" w:type="dxa"/>
          </w:tcPr>
          <w:p w14:paraId="1C734C34"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15,6</w:t>
            </w:r>
          </w:p>
        </w:tc>
        <w:tc>
          <w:tcPr>
            <w:tcW w:w="888" w:type="dxa"/>
          </w:tcPr>
          <w:p w14:paraId="0E3F272F"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9,8</w:t>
            </w:r>
          </w:p>
        </w:tc>
        <w:tc>
          <w:tcPr>
            <w:tcW w:w="917" w:type="dxa"/>
          </w:tcPr>
          <w:p w14:paraId="27CEE3B5"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8,2</w:t>
            </w:r>
          </w:p>
        </w:tc>
        <w:tc>
          <w:tcPr>
            <w:tcW w:w="931" w:type="dxa"/>
          </w:tcPr>
          <w:p w14:paraId="470261FB"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18,3</w:t>
            </w:r>
          </w:p>
        </w:tc>
      </w:tr>
      <w:tr w:rsidR="00117C0D" w:rsidRPr="003954D9" w14:paraId="25C0C239" w14:textId="77777777" w:rsidTr="00117C0D">
        <w:trPr>
          <w:trHeight w:val="227"/>
        </w:trPr>
        <w:tc>
          <w:tcPr>
            <w:tcW w:w="940" w:type="dxa"/>
          </w:tcPr>
          <w:p w14:paraId="5DA48389" w14:textId="77777777" w:rsidR="00117C0D" w:rsidRPr="003954D9" w:rsidRDefault="00117C0D" w:rsidP="00117C0D">
            <w:pPr>
              <w:autoSpaceDE w:val="0"/>
              <w:autoSpaceDN w:val="0"/>
              <w:adjustRightInd w:val="0"/>
              <w:rPr>
                <w:rFonts w:ascii="Calibri" w:eastAsiaTheme="minorHAnsi" w:hAnsi="Calibri" w:cs="Calibri"/>
                <w:b/>
                <w:color w:val="000000"/>
                <w:sz w:val="16"/>
                <w:szCs w:val="16"/>
                <w:lang w:eastAsia="en-US"/>
              </w:rPr>
            </w:pPr>
            <w:r w:rsidRPr="003954D9">
              <w:rPr>
                <w:rFonts w:ascii="Calibri" w:eastAsiaTheme="minorHAnsi" w:hAnsi="Calibri" w:cs="Calibri"/>
                <w:b/>
                <w:color w:val="000000"/>
                <w:sz w:val="16"/>
                <w:szCs w:val="16"/>
                <w:lang w:eastAsia="en-US"/>
              </w:rPr>
              <w:t>Antal</w:t>
            </w:r>
          </w:p>
        </w:tc>
        <w:tc>
          <w:tcPr>
            <w:tcW w:w="779" w:type="dxa"/>
          </w:tcPr>
          <w:p w14:paraId="0B57170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862</w:t>
            </w:r>
          </w:p>
        </w:tc>
        <w:tc>
          <w:tcPr>
            <w:tcW w:w="863" w:type="dxa"/>
          </w:tcPr>
          <w:p w14:paraId="271B55D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322</w:t>
            </w:r>
          </w:p>
        </w:tc>
        <w:tc>
          <w:tcPr>
            <w:tcW w:w="850" w:type="dxa"/>
          </w:tcPr>
          <w:p w14:paraId="5EB8DAF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239</w:t>
            </w:r>
          </w:p>
        </w:tc>
        <w:tc>
          <w:tcPr>
            <w:tcW w:w="703" w:type="dxa"/>
          </w:tcPr>
          <w:p w14:paraId="74B528F8"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125</w:t>
            </w:r>
          </w:p>
        </w:tc>
        <w:tc>
          <w:tcPr>
            <w:tcW w:w="857" w:type="dxa"/>
          </w:tcPr>
          <w:p w14:paraId="64F199DE"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289</w:t>
            </w:r>
          </w:p>
        </w:tc>
        <w:tc>
          <w:tcPr>
            <w:tcW w:w="850" w:type="dxa"/>
          </w:tcPr>
          <w:p w14:paraId="23A8C985"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193</w:t>
            </w:r>
          </w:p>
        </w:tc>
        <w:tc>
          <w:tcPr>
            <w:tcW w:w="888" w:type="dxa"/>
          </w:tcPr>
          <w:p w14:paraId="1D47AE10"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434</w:t>
            </w:r>
          </w:p>
        </w:tc>
        <w:tc>
          <w:tcPr>
            <w:tcW w:w="888" w:type="dxa"/>
          </w:tcPr>
          <w:p w14:paraId="61ED5EDF" w14:textId="77777777" w:rsidR="00117C0D" w:rsidRPr="003954D9" w:rsidRDefault="00117C0D" w:rsidP="00117C0D">
            <w:pPr>
              <w:autoSpaceDE w:val="0"/>
              <w:autoSpaceDN w:val="0"/>
              <w:adjustRightInd w:val="0"/>
              <w:jc w:val="right"/>
              <w:rPr>
                <w:rFonts w:ascii="Calibri" w:eastAsiaTheme="minorHAnsi" w:hAnsi="Calibri" w:cs="Calibri"/>
                <w:b/>
                <w:bCs/>
                <w:color w:val="0066CC"/>
                <w:sz w:val="16"/>
                <w:szCs w:val="16"/>
                <w:lang w:eastAsia="en-US"/>
              </w:rPr>
            </w:pPr>
            <w:r w:rsidRPr="003954D9">
              <w:rPr>
                <w:rFonts w:ascii="Calibri" w:eastAsiaTheme="minorHAnsi" w:hAnsi="Calibri" w:cs="Calibri"/>
                <w:b/>
                <w:bCs/>
                <w:color w:val="0066CC"/>
                <w:sz w:val="16"/>
                <w:szCs w:val="16"/>
                <w:lang w:eastAsia="en-US"/>
              </w:rPr>
              <w:t>255</w:t>
            </w:r>
          </w:p>
        </w:tc>
        <w:tc>
          <w:tcPr>
            <w:tcW w:w="917" w:type="dxa"/>
          </w:tcPr>
          <w:p w14:paraId="6A5D80A7"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26</w:t>
            </w:r>
          </w:p>
        </w:tc>
        <w:tc>
          <w:tcPr>
            <w:tcW w:w="931" w:type="dxa"/>
          </w:tcPr>
          <w:p w14:paraId="201D793C" w14:textId="77777777" w:rsidR="00117C0D" w:rsidRPr="003954D9" w:rsidRDefault="00117C0D" w:rsidP="00117C0D">
            <w:pPr>
              <w:autoSpaceDE w:val="0"/>
              <w:autoSpaceDN w:val="0"/>
              <w:adjustRightInd w:val="0"/>
              <w:jc w:val="right"/>
              <w:rPr>
                <w:rFonts w:ascii="Calibri" w:eastAsiaTheme="minorHAnsi" w:hAnsi="Calibri" w:cs="Calibri"/>
                <w:color w:val="000000"/>
                <w:sz w:val="16"/>
                <w:szCs w:val="16"/>
                <w:lang w:eastAsia="en-US"/>
              </w:rPr>
            </w:pPr>
            <w:r w:rsidRPr="003954D9">
              <w:rPr>
                <w:rFonts w:ascii="Calibri" w:eastAsiaTheme="minorHAnsi" w:hAnsi="Calibri" w:cs="Calibri"/>
                <w:color w:val="000000"/>
                <w:sz w:val="16"/>
                <w:szCs w:val="16"/>
                <w:lang w:eastAsia="en-US"/>
              </w:rPr>
              <w:t>636</w:t>
            </w:r>
          </w:p>
        </w:tc>
      </w:tr>
    </w:tbl>
    <w:p w14:paraId="6EE7CCDC" w14:textId="77777777" w:rsidR="00117C0D" w:rsidRPr="003954D9" w:rsidRDefault="00117C0D" w:rsidP="00117C0D">
      <w:pPr>
        <w:autoSpaceDE w:val="0"/>
        <w:autoSpaceDN w:val="0"/>
        <w:adjustRightInd w:val="0"/>
        <w:rPr>
          <w:rFonts w:ascii="Calibri" w:eastAsiaTheme="minorHAnsi" w:hAnsi="Calibri" w:cs="Calibri"/>
          <w:bCs/>
          <w:color w:val="000000"/>
          <w:sz w:val="16"/>
          <w:szCs w:val="16"/>
          <w:lang w:eastAsia="en-US"/>
        </w:rPr>
      </w:pPr>
      <w:r w:rsidRPr="00AE13ED">
        <w:rPr>
          <w:b/>
          <w:color w:val="FF6600"/>
          <w:sz w:val="16"/>
          <w:szCs w:val="16"/>
        </w:rPr>
        <w:t>Röd färg högsta</w:t>
      </w:r>
      <w:r w:rsidRPr="003954D9">
        <w:rPr>
          <w:color w:val="FF6600"/>
          <w:sz w:val="16"/>
          <w:szCs w:val="16"/>
        </w:rPr>
        <w:t xml:space="preserve"> </w:t>
      </w:r>
      <w:r w:rsidRPr="003954D9">
        <w:rPr>
          <w:sz w:val="16"/>
          <w:szCs w:val="16"/>
        </w:rPr>
        <w:t xml:space="preserve">och </w:t>
      </w:r>
      <w:r w:rsidRPr="00AE13ED">
        <w:rPr>
          <w:b/>
          <w:color w:val="0070C0"/>
          <w:sz w:val="16"/>
          <w:szCs w:val="16"/>
        </w:rPr>
        <w:t>blå färg lägsta</w:t>
      </w:r>
      <w:r w:rsidRPr="00AE13ED">
        <w:rPr>
          <w:color w:val="0070C0"/>
          <w:sz w:val="16"/>
          <w:szCs w:val="16"/>
        </w:rPr>
        <w:t xml:space="preserve"> </w:t>
      </w:r>
      <w:r w:rsidRPr="003954D9">
        <w:rPr>
          <w:sz w:val="16"/>
          <w:szCs w:val="16"/>
        </w:rPr>
        <w:t>värde i gruppen</w:t>
      </w:r>
    </w:p>
    <w:p w14:paraId="4DAB110D" w14:textId="77777777" w:rsidR="00117C0D" w:rsidRPr="003954D9" w:rsidRDefault="00117C0D" w:rsidP="00117C0D">
      <w:pPr>
        <w:rPr>
          <w:sz w:val="23"/>
        </w:rPr>
      </w:pPr>
    </w:p>
    <w:p w14:paraId="7C95BB7C" w14:textId="77777777" w:rsidR="00B95043" w:rsidRDefault="00B95043" w:rsidP="00117C0D">
      <w:pPr>
        <w:pStyle w:val="Rubrik2"/>
      </w:pPr>
      <w:bookmarkStart w:id="461" w:name="_Toc463184482"/>
      <w:bookmarkStart w:id="462" w:name="_Toc464828490"/>
      <w:r>
        <w:br w:type="page"/>
      </w:r>
    </w:p>
    <w:p w14:paraId="6DF19BB1" w14:textId="4570345D" w:rsidR="00117C0D" w:rsidRPr="003954D9" w:rsidRDefault="00117C0D" w:rsidP="00117C0D">
      <w:pPr>
        <w:pStyle w:val="Rubrik2"/>
      </w:pPr>
      <w:r w:rsidRPr="003954D9">
        <w:lastRenderedPageBreak/>
        <w:t>Tabell 7:1</w:t>
      </w:r>
      <w:bookmarkEnd w:id="461"/>
      <w:bookmarkEnd w:id="462"/>
    </w:p>
    <w:p w14:paraId="68EEBF19"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7:1: Hyror för ensamboende utan barn 65 – år, hyreshöjningar och stadsdelar - medelvärden</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
        <w:gridCol w:w="708"/>
        <w:gridCol w:w="851"/>
        <w:gridCol w:w="850"/>
        <w:gridCol w:w="725"/>
        <w:gridCol w:w="902"/>
        <w:gridCol w:w="886"/>
        <w:gridCol w:w="837"/>
        <w:gridCol w:w="871"/>
        <w:gridCol w:w="968"/>
        <w:gridCol w:w="871"/>
      </w:tblGrid>
      <w:tr w:rsidR="00117C0D" w:rsidRPr="003954D9" w14:paraId="44D3593E" w14:textId="77777777" w:rsidTr="00117C0D">
        <w:trPr>
          <w:trHeight w:val="227"/>
        </w:trPr>
        <w:tc>
          <w:tcPr>
            <w:tcW w:w="1023" w:type="dxa"/>
          </w:tcPr>
          <w:p w14:paraId="2A260E35" w14:textId="77777777" w:rsidR="00117C0D" w:rsidRPr="003954D9" w:rsidRDefault="00117C0D" w:rsidP="00117C0D">
            <w:pPr>
              <w:autoSpaceDE w:val="0"/>
              <w:autoSpaceDN w:val="0"/>
              <w:adjustRightInd w:val="0"/>
              <w:jc w:val="right"/>
              <w:rPr>
                <w:rFonts w:ascii="Calibri" w:hAnsi="Calibri" w:cs="Calibri"/>
                <w:b/>
                <w:color w:val="000000"/>
                <w:sz w:val="16"/>
                <w:szCs w:val="16"/>
              </w:rPr>
            </w:pPr>
          </w:p>
        </w:tc>
        <w:tc>
          <w:tcPr>
            <w:tcW w:w="708" w:type="dxa"/>
          </w:tcPr>
          <w:p w14:paraId="10FBBEDB"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Angered</w:t>
            </w:r>
          </w:p>
        </w:tc>
        <w:tc>
          <w:tcPr>
            <w:tcW w:w="851" w:type="dxa"/>
          </w:tcPr>
          <w:p w14:paraId="24D5827F"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Askim-Frölunda-Högsbo</w:t>
            </w:r>
          </w:p>
        </w:tc>
        <w:tc>
          <w:tcPr>
            <w:tcW w:w="850" w:type="dxa"/>
          </w:tcPr>
          <w:p w14:paraId="2DFBF8B0"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Centrum</w:t>
            </w:r>
          </w:p>
        </w:tc>
        <w:tc>
          <w:tcPr>
            <w:tcW w:w="725" w:type="dxa"/>
          </w:tcPr>
          <w:p w14:paraId="36803468"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Lundby</w:t>
            </w:r>
          </w:p>
        </w:tc>
        <w:tc>
          <w:tcPr>
            <w:tcW w:w="902" w:type="dxa"/>
          </w:tcPr>
          <w:p w14:paraId="6F6743A8"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Majorna-Linne</w:t>
            </w:r>
          </w:p>
        </w:tc>
        <w:tc>
          <w:tcPr>
            <w:tcW w:w="886" w:type="dxa"/>
          </w:tcPr>
          <w:p w14:paraId="679B87FA"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Norra Hisingen</w:t>
            </w:r>
          </w:p>
        </w:tc>
        <w:tc>
          <w:tcPr>
            <w:tcW w:w="837" w:type="dxa"/>
          </w:tcPr>
          <w:p w14:paraId="54BC7D14"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Västra Hisingen</w:t>
            </w:r>
          </w:p>
        </w:tc>
        <w:tc>
          <w:tcPr>
            <w:tcW w:w="871" w:type="dxa"/>
          </w:tcPr>
          <w:p w14:paraId="5E173A63"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Örgryte-Härlanda</w:t>
            </w:r>
          </w:p>
        </w:tc>
        <w:tc>
          <w:tcPr>
            <w:tcW w:w="968" w:type="dxa"/>
          </w:tcPr>
          <w:p w14:paraId="3C27C4CD"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Västra Göteborg</w:t>
            </w:r>
          </w:p>
        </w:tc>
        <w:tc>
          <w:tcPr>
            <w:tcW w:w="871" w:type="dxa"/>
          </w:tcPr>
          <w:p w14:paraId="5CB5C855"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Östra Göteborg</w:t>
            </w:r>
          </w:p>
        </w:tc>
      </w:tr>
      <w:tr w:rsidR="00117C0D" w:rsidRPr="003954D9" w14:paraId="42D4405A" w14:textId="77777777" w:rsidTr="00117C0D">
        <w:trPr>
          <w:trHeight w:val="227"/>
        </w:trPr>
        <w:tc>
          <w:tcPr>
            <w:tcW w:w="1023" w:type="dxa"/>
          </w:tcPr>
          <w:p w14:paraId="7B137CBB" w14:textId="77777777"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Idag</w:t>
            </w:r>
          </w:p>
        </w:tc>
        <w:tc>
          <w:tcPr>
            <w:tcW w:w="708" w:type="dxa"/>
          </w:tcPr>
          <w:p w14:paraId="35A510A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4 785</w:t>
            </w:r>
          </w:p>
        </w:tc>
        <w:tc>
          <w:tcPr>
            <w:tcW w:w="851" w:type="dxa"/>
          </w:tcPr>
          <w:p w14:paraId="187C1D0D"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5 710</w:t>
            </w:r>
          </w:p>
        </w:tc>
        <w:tc>
          <w:tcPr>
            <w:tcW w:w="850" w:type="dxa"/>
          </w:tcPr>
          <w:p w14:paraId="6C733B69"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5 609</w:t>
            </w:r>
          </w:p>
        </w:tc>
        <w:tc>
          <w:tcPr>
            <w:tcW w:w="725" w:type="dxa"/>
          </w:tcPr>
          <w:p w14:paraId="1BBB141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4 218</w:t>
            </w:r>
          </w:p>
        </w:tc>
        <w:tc>
          <w:tcPr>
            <w:tcW w:w="902" w:type="dxa"/>
          </w:tcPr>
          <w:p w14:paraId="72FFAF2B"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5 732</w:t>
            </w:r>
          </w:p>
        </w:tc>
        <w:tc>
          <w:tcPr>
            <w:tcW w:w="886" w:type="dxa"/>
          </w:tcPr>
          <w:p w14:paraId="55EFF084"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5 012</w:t>
            </w:r>
          </w:p>
        </w:tc>
        <w:tc>
          <w:tcPr>
            <w:tcW w:w="837" w:type="dxa"/>
          </w:tcPr>
          <w:p w14:paraId="70EAE75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4 848</w:t>
            </w:r>
          </w:p>
        </w:tc>
        <w:tc>
          <w:tcPr>
            <w:tcW w:w="871" w:type="dxa"/>
          </w:tcPr>
          <w:p w14:paraId="7EBB052B"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5 571</w:t>
            </w:r>
          </w:p>
        </w:tc>
        <w:tc>
          <w:tcPr>
            <w:tcW w:w="968" w:type="dxa"/>
          </w:tcPr>
          <w:p w14:paraId="67C244EB"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5 675</w:t>
            </w:r>
          </w:p>
        </w:tc>
        <w:tc>
          <w:tcPr>
            <w:tcW w:w="871" w:type="dxa"/>
          </w:tcPr>
          <w:p w14:paraId="22DAE6C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4 765</w:t>
            </w:r>
          </w:p>
        </w:tc>
      </w:tr>
      <w:tr w:rsidR="00117C0D" w:rsidRPr="003954D9" w14:paraId="662973F1" w14:textId="77777777" w:rsidTr="00117C0D">
        <w:trPr>
          <w:trHeight w:val="227"/>
        </w:trPr>
        <w:tc>
          <w:tcPr>
            <w:tcW w:w="1023" w:type="dxa"/>
          </w:tcPr>
          <w:p w14:paraId="63B5914A" w14:textId="071BA59F"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Höjning 5</w:t>
            </w:r>
            <w:r w:rsidR="00475673" w:rsidRPr="003954D9">
              <w:rPr>
                <w:rFonts w:ascii="Calibri" w:hAnsi="Calibri" w:cs="Calibri"/>
                <w:b/>
                <w:color w:val="000000"/>
                <w:sz w:val="16"/>
                <w:szCs w:val="16"/>
              </w:rPr>
              <w:t>procent</w:t>
            </w:r>
          </w:p>
        </w:tc>
        <w:tc>
          <w:tcPr>
            <w:tcW w:w="708" w:type="dxa"/>
          </w:tcPr>
          <w:p w14:paraId="4793A07E"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5 024</w:t>
            </w:r>
          </w:p>
        </w:tc>
        <w:tc>
          <w:tcPr>
            <w:tcW w:w="851" w:type="dxa"/>
          </w:tcPr>
          <w:p w14:paraId="0580EF19"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5 996</w:t>
            </w:r>
          </w:p>
        </w:tc>
        <w:tc>
          <w:tcPr>
            <w:tcW w:w="850" w:type="dxa"/>
          </w:tcPr>
          <w:p w14:paraId="3E614615"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5 890</w:t>
            </w:r>
          </w:p>
        </w:tc>
        <w:tc>
          <w:tcPr>
            <w:tcW w:w="725" w:type="dxa"/>
          </w:tcPr>
          <w:p w14:paraId="34CA6FB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4 429</w:t>
            </w:r>
          </w:p>
        </w:tc>
        <w:tc>
          <w:tcPr>
            <w:tcW w:w="902" w:type="dxa"/>
          </w:tcPr>
          <w:p w14:paraId="552CA263"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6 019</w:t>
            </w:r>
          </w:p>
        </w:tc>
        <w:tc>
          <w:tcPr>
            <w:tcW w:w="886" w:type="dxa"/>
          </w:tcPr>
          <w:p w14:paraId="2C5E80D0"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5 263</w:t>
            </w:r>
          </w:p>
        </w:tc>
        <w:tc>
          <w:tcPr>
            <w:tcW w:w="837" w:type="dxa"/>
          </w:tcPr>
          <w:p w14:paraId="40808507"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5 091</w:t>
            </w:r>
          </w:p>
        </w:tc>
        <w:tc>
          <w:tcPr>
            <w:tcW w:w="871" w:type="dxa"/>
          </w:tcPr>
          <w:p w14:paraId="1D7C32BD"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5 849</w:t>
            </w:r>
          </w:p>
        </w:tc>
        <w:tc>
          <w:tcPr>
            <w:tcW w:w="968" w:type="dxa"/>
          </w:tcPr>
          <w:p w14:paraId="40B3444B"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5 959</w:t>
            </w:r>
          </w:p>
        </w:tc>
        <w:tc>
          <w:tcPr>
            <w:tcW w:w="871" w:type="dxa"/>
          </w:tcPr>
          <w:p w14:paraId="384FBD99"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5 003</w:t>
            </w:r>
          </w:p>
        </w:tc>
      </w:tr>
      <w:tr w:rsidR="00117C0D" w:rsidRPr="003954D9" w14:paraId="22DE55CD" w14:textId="77777777" w:rsidTr="00117C0D">
        <w:trPr>
          <w:trHeight w:val="227"/>
        </w:trPr>
        <w:tc>
          <w:tcPr>
            <w:tcW w:w="1023" w:type="dxa"/>
          </w:tcPr>
          <w:p w14:paraId="5F51CAD4" w14:textId="7D0FC0A3"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Höjning 25</w:t>
            </w:r>
            <w:r w:rsidR="00475673" w:rsidRPr="003954D9">
              <w:rPr>
                <w:rFonts w:ascii="Calibri" w:hAnsi="Calibri" w:cs="Calibri"/>
                <w:b/>
                <w:color w:val="000000"/>
                <w:sz w:val="16"/>
                <w:szCs w:val="16"/>
              </w:rPr>
              <w:t>procent</w:t>
            </w:r>
          </w:p>
        </w:tc>
        <w:tc>
          <w:tcPr>
            <w:tcW w:w="708" w:type="dxa"/>
          </w:tcPr>
          <w:p w14:paraId="5FDEFE88"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5 981</w:t>
            </w:r>
          </w:p>
        </w:tc>
        <w:tc>
          <w:tcPr>
            <w:tcW w:w="851" w:type="dxa"/>
          </w:tcPr>
          <w:p w14:paraId="08D7873E"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7 138</w:t>
            </w:r>
          </w:p>
        </w:tc>
        <w:tc>
          <w:tcPr>
            <w:tcW w:w="850" w:type="dxa"/>
          </w:tcPr>
          <w:p w14:paraId="4F6C1536"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7 012</w:t>
            </w:r>
          </w:p>
        </w:tc>
        <w:tc>
          <w:tcPr>
            <w:tcW w:w="725" w:type="dxa"/>
          </w:tcPr>
          <w:p w14:paraId="0076A199"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5 273</w:t>
            </w:r>
          </w:p>
        </w:tc>
        <w:tc>
          <w:tcPr>
            <w:tcW w:w="902" w:type="dxa"/>
          </w:tcPr>
          <w:p w14:paraId="62220A0D"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7 165</w:t>
            </w:r>
          </w:p>
        </w:tc>
        <w:tc>
          <w:tcPr>
            <w:tcW w:w="886" w:type="dxa"/>
          </w:tcPr>
          <w:p w14:paraId="4EE879A7"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6 265</w:t>
            </w:r>
          </w:p>
        </w:tc>
        <w:tc>
          <w:tcPr>
            <w:tcW w:w="837" w:type="dxa"/>
          </w:tcPr>
          <w:p w14:paraId="478FD44F" w14:textId="77777777" w:rsidR="00117C0D" w:rsidRPr="003954D9" w:rsidRDefault="00117C0D" w:rsidP="00117C0D">
            <w:pPr>
              <w:autoSpaceDE w:val="0"/>
              <w:autoSpaceDN w:val="0"/>
              <w:adjustRightInd w:val="0"/>
              <w:jc w:val="right"/>
              <w:rPr>
                <w:rFonts w:ascii="Calibri" w:hAnsi="Calibri" w:cs="Calibri"/>
                <w:i/>
                <w:color w:val="000000"/>
                <w:sz w:val="16"/>
                <w:szCs w:val="16"/>
              </w:rPr>
            </w:pPr>
            <w:r w:rsidRPr="003954D9">
              <w:rPr>
                <w:rFonts w:ascii="Calibri" w:hAnsi="Calibri" w:cs="Calibri"/>
                <w:i/>
                <w:color w:val="000000"/>
                <w:sz w:val="16"/>
                <w:szCs w:val="16"/>
              </w:rPr>
              <w:t>6 060</w:t>
            </w:r>
          </w:p>
        </w:tc>
        <w:tc>
          <w:tcPr>
            <w:tcW w:w="871" w:type="dxa"/>
          </w:tcPr>
          <w:p w14:paraId="73D0AFF7"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6 963</w:t>
            </w:r>
          </w:p>
        </w:tc>
        <w:tc>
          <w:tcPr>
            <w:tcW w:w="968" w:type="dxa"/>
          </w:tcPr>
          <w:p w14:paraId="27FB8BB2"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7 093</w:t>
            </w:r>
          </w:p>
        </w:tc>
        <w:tc>
          <w:tcPr>
            <w:tcW w:w="871" w:type="dxa"/>
          </w:tcPr>
          <w:p w14:paraId="782AF3F7"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5 956</w:t>
            </w:r>
          </w:p>
        </w:tc>
      </w:tr>
      <w:tr w:rsidR="00117C0D" w:rsidRPr="003954D9" w14:paraId="674D1FC6" w14:textId="77777777" w:rsidTr="00117C0D">
        <w:trPr>
          <w:trHeight w:val="227"/>
        </w:trPr>
        <w:tc>
          <w:tcPr>
            <w:tcW w:w="1023" w:type="dxa"/>
          </w:tcPr>
          <w:p w14:paraId="468E51BE" w14:textId="182F318D" w:rsidR="00117C0D" w:rsidRPr="003954D9" w:rsidRDefault="00117C0D" w:rsidP="00117C0D">
            <w:pPr>
              <w:autoSpaceDE w:val="0"/>
              <w:autoSpaceDN w:val="0"/>
              <w:adjustRightInd w:val="0"/>
              <w:rPr>
                <w:rFonts w:ascii="Calibri" w:hAnsi="Calibri" w:cs="Calibri"/>
                <w:b/>
                <w:color w:val="000000"/>
                <w:sz w:val="16"/>
                <w:szCs w:val="16"/>
              </w:rPr>
            </w:pPr>
            <w:r w:rsidRPr="003954D9">
              <w:rPr>
                <w:rFonts w:ascii="Calibri" w:hAnsi="Calibri" w:cs="Calibri"/>
                <w:b/>
                <w:color w:val="000000"/>
                <w:sz w:val="16"/>
                <w:szCs w:val="16"/>
              </w:rPr>
              <w:t>Höjning 50</w:t>
            </w:r>
            <w:r w:rsidR="00475673" w:rsidRPr="003954D9">
              <w:rPr>
                <w:rFonts w:ascii="Calibri" w:hAnsi="Calibri" w:cs="Calibri"/>
                <w:b/>
                <w:color w:val="000000"/>
                <w:sz w:val="16"/>
                <w:szCs w:val="16"/>
              </w:rPr>
              <w:t>procent</w:t>
            </w:r>
          </w:p>
        </w:tc>
        <w:tc>
          <w:tcPr>
            <w:tcW w:w="708" w:type="dxa"/>
          </w:tcPr>
          <w:p w14:paraId="5CE2CFAC"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7 177</w:t>
            </w:r>
          </w:p>
        </w:tc>
        <w:tc>
          <w:tcPr>
            <w:tcW w:w="851" w:type="dxa"/>
          </w:tcPr>
          <w:p w14:paraId="0445D7AC"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8 565</w:t>
            </w:r>
          </w:p>
        </w:tc>
        <w:tc>
          <w:tcPr>
            <w:tcW w:w="850" w:type="dxa"/>
          </w:tcPr>
          <w:p w14:paraId="066FA154"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8 414</w:t>
            </w:r>
          </w:p>
        </w:tc>
        <w:tc>
          <w:tcPr>
            <w:tcW w:w="725" w:type="dxa"/>
          </w:tcPr>
          <w:p w14:paraId="038CBDB4"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6 328</w:t>
            </w:r>
          </w:p>
        </w:tc>
        <w:tc>
          <w:tcPr>
            <w:tcW w:w="902" w:type="dxa"/>
          </w:tcPr>
          <w:p w14:paraId="49565FFB"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8 598</w:t>
            </w:r>
          </w:p>
        </w:tc>
        <w:tc>
          <w:tcPr>
            <w:tcW w:w="886" w:type="dxa"/>
          </w:tcPr>
          <w:p w14:paraId="11AD05DD"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7 518</w:t>
            </w:r>
          </w:p>
        </w:tc>
        <w:tc>
          <w:tcPr>
            <w:tcW w:w="837" w:type="dxa"/>
          </w:tcPr>
          <w:p w14:paraId="35C6B56B"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7 273</w:t>
            </w:r>
          </w:p>
        </w:tc>
        <w:tc>
          <w:tcPr>
            <w:tcW w:w="871" w:type="dxa"/>
          </w:tcPr>
          <w:p w14:paraId="232AA450"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8 356</w:t>
            </w:r>
          </w:p>
        </w:tc>
        <w:tc>
          <w:tcPr>
            <w:tcW w:w="968" w:type="dxa"/>
          </w:tcPr>
          <w:p w14:paraId="35EE4DC1"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8 512</w:t>
            </w:r>
          </w:p>
        </w:tc>
        <w:tc>
          <w:tcPr>
            <w:tcW w:w="871" w:type="dxa"/>
          </w:tcPr>
          <w:p w14:paraId="1229C3E7" w14:textId="77777777" w:rsidR="00117C0D" w:rsidRPr="003954D9" w:rsidRDefault="00117C0D" w:rsidP="00117C0D">
            <w:pPr>
              <w:autoSpaceDE w:val="0"/>
              <w:autoSpaceDN w:val="0"/>
              <w:adjustRightInd w:val="0"/>
              <w:jc w:val="right"/>
              <w:rPr>
                <w:rFonts w:ascii="Calibri" w:hAnsi="Calibri" w:cs="Calibri"/>
                <w:b/>
                <w:color w:val="000000"/>
                <w:sz w:val="16"/>
                <w:szCs w:val="16"/>
              </w:rPr>
            </w:pPr>
            <w:r w:rsidRPr="003954D9">
              <w:rPr>
                <w:rFonts w:ascii="Calibri" w:hAnsi="Calibri" w:cs="Calibri"/>
                <w:b/>
                <w:color w:val="000000"/>
                <w:sz w:val="16"/>
                <w:szCs w:val="16"/>
              </w:rPr>
              <w:t>7 148</w:t>
            </w:r>
          </w:p>
        </w:tc>
      </w:tr>
    </w:tbl>
    <w:p w14:paraId="14C8EB3D" w14:textId="42347203" w:rsidR="00117C0D" w:rsidRPr="003954D9" w:rsidRDefault="00117C0D" w:rsidP="00117C0D">
      <w:pPr>
        <w:pStyle w:val="Rubrik2"/>
      </w:pPr>
      <w:bookmarkStart w:id="463" w:name="_Toc463184483"/>
      <w:bookmarkStart w:id="464" w:name="_Toc464828491"/>
      <w:r w:rsidRPr="003954D9">
        <w:t>Tabeller 11:1 – 11:2</w:t>
      </w:r>
      <w:bookmarkEnd w:id="463"/>
      <w:bookmarkEnd w:id="464"/>
    </w:p>
    <w:p w14:paraId="7AF543BF"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Tabell 11:1: Upplåtelseform i de tre storstäderna - procent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26"/>
        <w:gridCol w:w="967"/>
        <w:gridCol w:w="948"/>
        <w:gridCol w:w="739"/>
      </w:tblGrid>
      <w:tr w:rsidR="00117C0D" w:rsidRPr="003954D9" w14:paraId="5AA90090" w14:textId="77777777" w:rsidTr="00A70DA8">
        <w:tc>
          <w:tcPr>
            <w:tcW w:w="0" w:type="auto"/>
          </w:tcPr>
          <w:p w14:paraId="2E34E642" w14:textId="77777777" w:rsidR="00117C0D" w:rsidRPr="008568D2" w:rsidRDefault="00117C0D" w:rsidP="00117C0D">
            <w:pPr>
              <w:rPr>
                <w:sz w:val="16"/>
                <w:szCs w:val="16"/>
              </w:rPr>
            </w:pPr>
          </w:p>
        </w:tc>
        <w:tc>
          <w:tcPr>
            <w:tcW w:w="0" w:type="auto"/>
          </w:tcPr>
          <w:p w14:paraId="3E722CCC" w14:textId="77777777" w:rsidR="00117C0D" w:rsidRPr="008568D2" w:rsidRDefault="00117C0D" w:rsidP="00117C0D">
            <w:pPr>
              <w:jc w:val="center"/>
              <w:rPr>
                <w:rFonts w:asciiTheme="majorHAnsi" w:hAnsiTheme="majorHAnsi"/>
                <w:sz w:val="16"/>
                <w:szCs w:val="16"/>
              </w:rPr>
            </w:pPr>
            <w:r w:rsidRPr="008568D2">
              <w:rPr>
                <w:rFonts w:asciiTheme="majorHAnsi" w:hAnsiTheme="majorHAnsi"/>
                <w:sz w:val="16"/>
                <w:szCs w:val="16"/>
              </w:rPr>
              <w:t>Hyresrätt</w:t>
            </w:r>
          </w:p>
        </w:tc>
        <w:tc>
          <w:tcPr>
            <w:tcW w:w="0" w:type="auto"/>
          </w:tcPr>
          <w:p w14:paraId="3D2D5824" w14:textId="77777777" w:rsidR="00117C0D" w:rsidRPr="008568D2" w:rsidRDefault="00117C0D" w:rsidP="00117C0D">
            <w:pPr>
              <w:jc w:val="center"/>
              <w:rPr>
                <w:rFonts w:asciiTheme="majorHAnsi" w:hAnsiTheme="majorHAnsi"/>
                <w:sz w:val="16"/>
                <w:szCs w:val="16"/>
              </w:rPr>
            </w:pPr>
            <w:r w:rsidRPr="008568D2">
              <w:rPr>
                <w:rFonts w:asciiTheme="majorHAnsi" w:hAnsiTheme="majorHAnsi"/>
                <w:sz w:val="16"/>
                <w:szCs w:val="16"/>
              </w:rPr>
              <w:t>Bostadsrätt</w:t>
            </w:r>
          </w:p>
        </w:tc>
        <w:tc>
          <w:tcPr>
            <w:tcW w:w="0" w:type="auto"/>
          </w:tcPr>
          <w:p w14:paraId="0F9B223D" w14:textId="77777777" w:rsidR="00117C0D" w:rsidRPr="008568D2" w:rsidRDefault="00117C0D" w:rsidP="00117C0D">
            <w:pPr>
              <w:jc w:val="center"/>
              <w:rPr>
                <w:rFonts w:asciiTheme="majorHAnsi" w:hAnsiTheme="majorHAnsi"/>
                <w:sz w:val="16"/>
                <w:szCs w:val="16"/>
              </w:rPr>
            </w:pPr>
            <w:r w:rsidRPr="008568D2">
              <w:rPr>
                <w:rFonts w:asciiTheme="majorHAnsi" w:hAnsiTheme="majorHAnsi"/>
                <w:sz w:val="16"/>
                <w:szCs w:val="16"/>
              </w:rPr>
              <w:t>Äganderätt</w:t>
            </w:r>
          </w:p>
        </w:tc>
        <w:tc>
          <w:tcPr>
            <w:tcW w:w="0" w:type="auto"/>
          </w:tcPr>
          <w:p w14:paraId="4D7D4ABD" w14:textId="77777777" w:rsidR="00117C0D" w:rsidRPr="008568D2" w:rsidRDefault="00117C0D" w:rsidP="00117C0D">
            <w:pPr>
              <w:jc w:val="center"/>
              <w:rPr>
                <w:rFonts w:asciiTheme="majorHAnsi" w:hAnsiTheme="majorHAnsi"/>
                <w:sz w:val="16"/>
                <w:szCs w:val="16"/>
              </w:rPr>
            </w:pPr>
            <w:r w:rsidRPr="008568D2">
              <w:rPr>
                <w:rFonts w:asciiTheme="majorHAnsi" w:hAnsiTheme="majorHAnsi"/>
                <w:sz w:val="16"/>
                <w:szCs w:val="16"/>
              </w:rPr>
              <w:t>Antal</w:t>
            </w:r>
          </w:p>
        </w:tc>
      </w:tr>
      <w:tr w:rsidR="00117C0D" w:rsidRPr="003954D9" w14:paraId="7D89D603" w14:textId="77777777" w:rsidTr="00A70DA8">
        <w:tc>
          <w:tcPr>
            <w:tcW w:w="0" w:type="auto"/>
          </w:tcPr>
          <w:p w14:paraId="20876E3B" w14:textId="77777777" w:rsidR="00117C0D" w:rsidRPr="008568D2" w:rsidRDefault="00117C0D" w:rsidP="00117C0D">
            <w:pPr>
              <w:rPr>
                <w:sz w:val="16"/>
                <w:szCs w:val="16"/>
              </w:rPr>
            </w:pPr>
            <w:r w:rsidRPr="008568D2">
              <w:rPr>
                <w:sz w:val="16"/>
                <w:szCs w:val="16"/>
              </w:rPr>
              <w:t>Göteborg</w:t>
            </w:r>
          </w:p>
        </w:tc>
        <w:tc>
          <w:tcPr>
            <w:tcW w:w="0" w:type="auto"/>
          </w:tcPr>
          <w:p w14:paraId="069C7FB7"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55</w:t>
            </w:r>
          </w:p>
        </w:tc>
        <w:tc>
          <w:tcPr>
            <w:tcW w:w="0" w:type="auto"/>
          </w:tcPr>
          <w:p w14:paraId="3CDC3E63"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28</w:t>
            </w:r>
          </w:p>
        </w:tc>
        <w:tc>
          <w:tcPr>
            <w:tcW w:w="0" w:type="auto"/>
          </w:tcPr>
          <w:p w14:paraId="68522A90"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17</w:t>
            </w:r>
          </w:p>
        </w:tc>
        <w:tc>
          <w:tcPr>
            <w:tcW w:w="0" w:type="auto"/>
          </w:tcPr>
          <w:p w14:paraId="3337C4E8"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274 292</w:t>
            </w:r>
          </w:p>
        </w:tc>
      </w:tr>
      <w:tr w:rsidR="00117C0D" w:rsidRPr="003954D9" w14:paraId="312247D4" w14:textId="77777777" w:rsidTr="00A70DA8">
        <w:tc>
          <w:tcPr>
            <w:tcW w:w="0" w:type="auto"/>
          </w:tcPr>
          <w:p w14:paraId="2BE43A36" w14:textId="77777777" w:rsidR="00117C0D" w:rsidRPr="008568D2" w:rsidRDefault="00117C0D" w:rsidP="00117C0D">
            <w:pPr>
              <w:rPr>
                <w:sz w:val="16"/>
                <w:szCs w:val="16"/>
              </w:rPr>
            </w:pPr>
            <w:r w:rsidRPr="008568D2">
              <w:rPr>
                <w:sz w:val="16"/>
                <w:szCs w:val="16"/>
              </w:rPr>
              <w:t>Stockholm</w:t>
            </w:r>
          </w:p>
        </w:tc>
        <w:tc>
          <w:tcPr>
            <w:tcW w:w="0" w:type="auto"/>
          </w:tcPr>
          <w:p w14:paraId="6D99ECAD"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44</w:t>
            </w:r>
          </w:p>
        </w:tc>
        <w:tc>
          <w:tcPr>
            <w:tcW w:w="0" w:type="auto"/>
          </w:tcPr>
          <w:p w14:paraId="4519987E"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48</w:t>
            </w:r>
          </w:p>
        </w:tc>
        <w:tc>
          <w:tcPr>
            <w:tcW w:w="0" w:type="auto"/>
          </w:tcPr>
          <w:p w14:paraId="01FBE621"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8</w:t>
            </w:r>
          </w:p>
        </w:tc>
        <w:tc>
          <w:tcPr>
            <w:tcW w:w="0" w:type="auto"/>
          </w:tcPr>
          <w:p w14:paraId="37B836FD"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468 416</w:t>
            </w:r>
          </w:p>
        </w:tc>
      </w:tr>
      <w:tr w:rsidR="00117C0D" w:rsidRPr="003954D9" w14:paraId="17379BBA" w14:textId="77777777" w:rsidTr="00A70DA8">
        <w:tc>
          <w:tcPr>
            <w:tcW w:w="0" w:type="auto"/>
          </w:tcPr>
          <w:p w14:paraId="0B2A582D" w14:textId="77777777" w:rsidR="00117C0D" w:rsidRPr="008568D2" w:rsidRDefault="00117C0D" w:rsidP="00117C0D">
            <w:pPr>
              <w:rPr>
                <w:sz w:val="16"/>
                <w:szCs w:val="16"/>
              </w:rPr>
            </w:pPr>
            <w:r w:rsidRPr="008568D2">
              <w:rPr>
                <w:sz w:val="16"/>
                <w:szCs w:val="16"/>
              </w:rPr>
              <w:t>Malmö</w:t>
            </w:r>
          </w:p>
        </w:tc>
        <w:tc>
          <w:tcPr>
            <w:tcW w:w="0" w:type="auto"/>
          </w:tcPr>
          <w:p w14:paraId="728566C0"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46</w:t>
            </w:r>
          </w:p>
        </w:tc>
        <w:tc>
          <w:tcPr>
            <w:tcW w:w="0" w:type="auto"/>
          </w:tcPr>
          <w:p w14:paraId="02C3BAA1"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40</w:t>
            </w:r>
          </w:p>
        </w:tc>
        <w:tc>
          <w:tcPr>
            <w:tcW w:w="0" w:type="auto"/>
          </w:tcPr>
          <w:p w14:paraId="29DB751A"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14</w:t>
            </w:r>
          </w:p>
        </w:tc>
        <w:tc>
          <w:tcPr>
            <w:tcW w:w="0" w:type="auto"/>
          </w:tcPr>
          <w:p w14:paraId="63282C47"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156 587</w:t>
            </w:r>
          </w:p>
        </w:tc>
      </w:tr>
      <w:tr w:rsidR="00117C0D" w:rsidRPr="003954D9" w14:paraId="7C63793B" w14:textId="77777777" w:rsidTr="00A70DA8">
        <w:tc>
          <w:tcPr>
            <w:tcW w:w="0" w:type="auto"/>
          </w:tcPr>
          <w:p w14:paraId="4B5DF2AE" w14:textId="77777777" w:rsidR="00117C0D" w:rsidRPr="008568D2" w:rsidRDefault="00117C0D" w:rsidP="00117C0D">
            <w:pPr>
              <w:rPr>
                <w:sz w:val="16"/>
                <w:szCs w:val="16"/>
              </w:rPr>
            </w:pPr>
            <w:r w:rsidRPr="008568D2">
              <w:rPr>
                <w:sz w:val="16"/>
                <w:szCs w:val="16"/>
              </w:rPr>
              <w:t>Stor-Göteborg</w:t>
            </w:r>
          </w:p>
        </w:tc>
        <w:tc>
          <w:tcPr>
            <w:tcW w:w="0" w:type="auto"/>
          </w:tcPr>
          <w:p w14:paraId="6E33DB52"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43</w:t>
            </w:r>
          </w:p>
        </w:tc>
        <w:tc>
          <w:tcPr>
            <w:tcW w:w="0" w:type="auto"/>
          </w:tcPr>
          <w:p w14:paraId="5671B806"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23</w:t>
            </w:r>
          </w:p>
        </w:tc>
        <w:tc>
          <w:tcPr>
            <w:tcW w:w="0" w:type="auto"/>
          </w:tcPr>
          <w:p w14:paraId="63AD92EC"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36</w:t>
            </w:r>
          </w:p>
        </w:tc>
        <w:tc>
          <w:tcPr>
            <w:tcW w:w="0" w:type="auto"/>
          </w:tcPr>
          <w:p w14:paraId="14EA5249" w14:textId="77777777" w:rsidR="00117C0D" w:rsidRPr="008568D2" w:rsidRDefault="00117C0D" w:rsidP="00117C0D">
            <w:pPr>
              <w:jc w:val="right"/>
              <w:rPr>
                <w:rFonts w:asciiTheme="majorHAnsi" w:hAnsiTheme="majorHAnsi"/>
                <w:sz w:val="16"/>
                <w:szCs w:val="16"/>
              </w:rPr>
            </w:pPr>
            <w:r w:rsidRPr="008568D2">
              <w:rPr>
                <w:rFonts w:asciiTheme="majorHAnsi" w:hAnsiTheme="majorHAnsi"/>
                <w:sz w:val="16"/>
                <w:szCs w:val="16"/>
              </w:rPr>
              <w:t>456 920</w:t>
            </w:r>
          </w:p>
        </w:tc>
      </w:tr>
    </w:tbl>
    <w:p w14:paraId="0F2ECDEA" w14:textId="77777777" w:rsidR="00117C0D" w:rsidRPr="003954D9" w:rsidRDefault="00117C0D" w:rsidP="00117C0D">
      <w:pPr>
        <w:rPr>
          <w:rFonts w:asciiTheme="majorHAnsi" w:hAnsiTheme="majorHAnsi"/>
          <w:sz w:val="16"/>
          <w:szCs w:val="16"/>
        </w:rPr>
      </w:pPr>
      <w:r w:rsidRPr="003954D9">
        <w:rPr>
          <w:rFonts w:asciiTheme="majorHAnsi" w:hAnsiTheme="majorHAnsi"/>
          <w:sz w:val="16"/>
          <w:szCs w:val="16"/>
        </w:rPr>
        <w:t>(källa: SCB Antal lägenheter efter region, hustyp och upplåtelseform (inklusive specialbostäder) År 2013 – 2015)</w:t>
      </w:r>
    </w:p>
    <w:p w14:paraId="119E38B1" w14:textId="04EC5F08"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rPr>
      </w:pPr>
      <w:r w:rsidRPr="003954D9">
        <w:rPr>
          <w:rFonts w:asciiTheme="majorHAnsi" w:eastAsiaTheme="majorEastAsia" w:hAnsiTheme="majorHAnsi" w:cstheme="majorBidi"/>
          <w:color w:val="243F60" w:themeColor="accent1" w:themeShade="7F"/>
        </w:rPr>
        <w:t xml:space="preserve">Tabell 11:2 Stadsdelarna, befolkning, inkomster och arbetslöshet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916"/>
        <w:gridCol w:w="845"/>
        <w:gridCol w:w="779"/>
        <w:gridCol w:w="1346"/>
        <w:gridCol w:w="1205"/>
      </w:tblGrid>
      <w:tr w:rsidR="00117C0D" w:rsidRPr="003954D9" w14:paraId="7D9A1904" w14:textId="77777777" w:rsidTr="00A70DA8">
        <w:trPr>
          <w:trHeight w:val="227"/>
        </w:trPr>
        <w:tc>
          <w:tcPr>
            <w:tcW w:w="0" w:type="auto"/>
          </w:tcPr>
          <w:p w14:paraId="7DF197FE"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Stadsdel</w:t>
            </w:r>
          </w:p>
        </w:tc>
        <w:tc>
          <w:tcPr>
            <w:tcW w:w="916" w:type="dxa"/>
          </w:tcPr>
          <w:p w14:paraId="3860E63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Folkmängd tusental</w:t>
            </w:r>
          </w:p>
        </w:tc>
        <w:tc>
          <w:tcPr>
            <w:tcW w:w="845" w:type="dxa"/>
          </w:tcPr>
          <w:p w14:paraId="786D421E" w14:textId="61BC23D3"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Utländsk bakgrund </w:t>
            </w:r>
            <w:r w:rsidR="00475673" w:rsidRPr="003954D9">
              <w:rPr>
                <w:rFonts w:ascii="Calibri" w:hAnsi="Calibri" w:cs="Calibri"/>
                <w:b/>
                <w:bCs/>
                <w:color w:val="000000"/>
                <w:sz w:val="16"/>
                <w:szCs w:val="16"/>
              </w:rPr>
              <w:t>procent</w:t>
            </w:r>
          </w:p>
        </w:tc>
        <w:tc>
          <w:tcPr>
            <w:tcW w:w="779" w:type="dxa"/>
          </w:tcPr>
          <w:p w14:paraId="128E6D31"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Medel-inkomst tkr </w:t>
            </w:r>
          </w:p>
        </w:tc>
        <w:tc>
          <w:tcPr>
            <w:tcW w:w="1346" w:type="dxa"/>
          </w:tcPr>
          <w:p w14:paraId="7CFFA0A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Arbetslösa + i program födda i utlandet</w:t>
            </w:r>
          </w:p>
        </w:tc>
        <w:tc>
          <w:tcPr>
            <w:tcW w:w="1205" w:type="dxa"/>
          </w:tcPr>
          <w:p w14:paraId="75C40FA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Arbetslösa + i program födda i Sverige</w:t>
            </w:r>
          </w:p>
        </w:tc>
      </w:tr>
      <w:tr w:rsidR="00117C0D" w:rsidRPr="003954D9" w14:paraId="3ACB1994" w14:textId="77777777" w:rsidTr="00A70DA8">
        <w:trPr>
          <w:trHeight w:val="227"/>
        </w:trPr>
        <w:tc>
          <w:tcPr>
            <w:tcW w:w="0" w:type="auto"/>
          </w:tcPr>
          <w:p w14:paraId="1BBE9F13"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Angered</w:t>
            </w:r>
          </w:p>
        </w:tc>
        <w:tc>
          <w:tcPr>
            <w:tcW w:w="916" w:type="dxa"/>
          </w:tcPr>
          <w:p w14:paraId="7AE94FA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51</w:t>
            </w:r>
          </w:p>
        </w:tc>
        <w:tc>
          <w:tcPr>
            <w:tcW w:w="845" w:type="dxa"/>
          </w:tcPr>
          <w:p w14:paraId="63A28D6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73</w:t>
            </w:r>
          </w:p>
        </w:tc>
        <w:tc>
          <w:tcPr>
            <w:tcW w:w="779" w:type="dxa"/>
          </w:tcPr>
          <w:p w14:paraId="6E1724B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190</w:t>
            </w:r>
          </w:p>
        </w:tc>
        <w:tc>
          <w:tcPr>
            <w:tcW w:w="1346" w:type="dxa"/>
          </w:tcPr>
          <w:p w14:paraId="08E9910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16</w:t>
            </w:r>
          </w:p>
        </w:tc>
        <w:tc>
          <w:tcPr>
            <w:tcW w:w="1205" w:type="dxa"/>
          </w:tcPr>
          <w:p w14:paraId="036E554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w:t>
            </w:r>
          </w:p>
        </w:tc>
      </w:tr>
      <w:tr w:rsidR="00117C0D" w:rsidRPr="003954D9" w14:paraId="73D651DB" w14:textId="77777777" w:rsidTr="00A70DA8">
        <w:trPr>
          <w:trHeight w:val="227"/>
        </w:trPr>
        <w:tc>
          <w:tcPr>
            <w:tcW w:w="0" w:type="auto"/>
          </w:tcPr>
          <w:p w14:paraId="1CA11BD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Östra Göteborg</w:t>
            </w:r>
          </w:p>
        </w:tc>
        <w:tc>
          <w:tcPr>
            <w:tcW w:w="916" w:type="dxa"/>
          </w:tcPr>
          <w:p w14:paraId="6BB6794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48</w:t>
            </w:r>
          </w:p>
        </w:tc>
        <w:tc>
          <w:tcPr>
            <w:tcW w:w="845" w:type="dxa"/>
          </w:tcPr>
          <w:p w14:paraId="52574EA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57</w:t>
            </w:r>
          </w:p>
        </w:tc>
        <w:tc>
          <w:tcPr>
            <w:tcW w:w="779" w:type="dxa"/>
          </w:tcPr>
          <w:p w14:paraId="7A71C0A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198</w:t>
            </w:r>
          </w:p>
        </w:tc>
        <w:tc>
          <w:tcPr>
            <w:tcW w:w="1346" w:type="dxa"/>
          </w:tcPr>
          <w:p w14:paraId="78F97C6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w:t>
            </w:r>
          </w:p>
        </w:tc>
        <w:tc>
          <w:tcPr>
            <w:tcW w:w="1205" w:type="dxa"/>
          </w:tcPr>
          <w:p w14:paraId="1627117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w:t>
            </w:r>
          </w:p>
        </w:tc>
      </w:tr>
      <w:tr w:rsidR="00117C0D" w:rsidRPr="003954D9" w14:paraId="19B42ECB" w14:textId="77777777" w:rsidTr="00A70DA8">
        <w:trPr>
          <w:trHeight w:val="227"/>
        </w:trPr>
        <w:tc>
          <w:tcPr>
            <w:tcW w:w="0" w:type="auto"/>
          </w:tcPr>
          <w:p w14:paraId="000F24EA"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Örgryte-Härlanda</w:t>
            </w:r>
          </w:p>
        </w:tc>
        <w:tc>
          <w:tcPr>
            <w:tcW w:w="916" w:type="dxa"/>
          </w:tcPr>
          <w:p w14:paraId="6007DD4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58</w:t>
            </w:r>
          </w:p>
        </w:tc>
        <w:tc>
          <w:tcPr>
            <w:tcW w:w="845" w:type="dxa"/>
          </w:tcPr>
          <w:p w14:paraId="28C0D67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w:t>
            </w:r>
          </w:p>
        </w:tc>
        <w:tc>
          <w:tcPr>
            <w:tcW w:w="779" w:type="dxa"/>
          </w:tcPr>
          <w:p w14:paraId="08EF98E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298</w:t>
            </w:r>
          </w:p>
        </w:tc>
        <w:tc>
          <w:tcPr>
            <w:tcW w:w="1346" w:type="dxa"/>
          </w:tcPr>
          <w:p w14:paraId="6AC88B7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c>
          <w:tcPr>
            <w:tcW w:w="1205" w:type="dxa"/>
          </w:tcPr>
          <w:p w14:paraId="2A9B0FA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w:t>
            </w:r>
          </w:p>
        </w:tc>
      </w:tr>
      <w:tr w:rsidR="00117C0D" w:rsidRPr="003954D9" w14:paraId="0917C929" w14:textId="77777777" w:rsidTr="00A70DA8">
        <w:trPr>
          <w:trHeight w:val="227"/>
        </w:trPr>
        <w:tc>
          <w:tcPr>
            <w:tcW w:w="0" w:type="auto"/>
          </w:tcPr>
          <w:p w14:paraId="3073F345"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Centrum</w:t>
            </w:r>
          </w:p>
        </w:tc>
        <w:tc>
          <w:tcPr>
            <w:tcW w:w="916" w:type="dxa"/>
          </w:tcPr>
          <w:p w14:paraId="6B48698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61</w:t>
            </w:r>
          </w:p>
        </w:tc>
        <w:tc>
          <w:tcPr>
            <w:tcW w:w="845" w:type="dxa"/>
          </w:tcPr>
          <w:p w14:paraId="5404E9C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23</w:t>
            </w:r>
          </w:p>
        </w:tc>
        <w:tc>
          <w:tcPr>
            <w:tcW w:w="779" w:type="dxa"/>
          </w:tcPr>
          <w:p w14:paraId="5B898F2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292</w:t>
            </w:r>
          </w:p>
        </w:tc>
        <w:tc>
          <w:tcPr>
            <w:tcW w:w="1346" w:type="dxa"/>
          </w:tcPr>
          <w:p w14:paraId="47466BF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7</w:t>
            </w:r>
          </w:p>
        </w:tc>
        <w:tc>
          <w:tcPr>
            <w:tcW w:w="1205" w:type="dxa"/>
          </w:tcPr>
          <w:p w14:paraId="73A7D80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w:t>
            </w:r>
          </w:p>
        </w:tc>
      </w:tr>
      <w:tr w:rsidR="00117C0D" w:rsidRPr="003954D9" w14:paraId="117E679C" w14:textId="77777777" w:rsidTr="00A70DA8">
        <w:trPr>
          <w:trHeight w:val="227"/>
        </w:trPr>
        <w:tc>
          <w:tcPr>
            <w:tcW w:w="0" w:type="auto"/>
          </w:tcPr>
          <w:p w14:paraId="708CCEFB"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Majorna-Linné</w:t>
            </w:r>
          </w:p>
        </w:tc>
        <w:tc>
          <w:tcPr>
            <w:tcW w:w="916" w:type="dxa"/>
          </w:tcPr>
          <w:p w14:paraId="64ED700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64</w:t>
            </w:r>
          </w:p>
        </w:tc>
        <w:tc>
          <w:tcPr>
            <w:tcW w:w="845" w:type="dxa"/>
          </w:tcPr>
          <w:p w14:paraId="03EF149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18</w:t>
            </w:r>
          </w:p>
        </w:tc>
        <w:tc>
          <w:tcPr>
            <w:tcW w:w="779" w:type="dxa"/>
          </w:tcPr>
          <w:p w14:paraId="05F65F45"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290</w:t>
            </w:r>
          </w:p>
        </w:tc>
        <w:tc>
          <w:tcPr>
            <w:tcW w:w="1346" w:type="dxa"/>
          </w:tcPr>
          <w:p w14:paraId="57B18F30"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w:t>
            </w:r>
          </w:p>
        </w:tc>
        <w:tc>
          <w:tcPr>
            <w:tcW w:w="1205" w:type="dxa"/>
          </w:tcPr>
          <w:p w14:paraId="51CF1C5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r w:rsidR="00117C0D" w:rsidRPr="003954D9" w14:paraId="30F78C02" w14:textId="77777777" w:rsidTr="00A70DA8">
        <w:trPr>
          <w:trHeight w:val="227"/>
        </w:trPr>
        <w:tc>
          <w:tcPr>
            <w:tcW w:w="0" w:type="auto"/>
          </w:tcPr>
          <w:p w14:paraId="39597BC7"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Askim-Frölunda-Högsbo</w:t>
            </w:r>
          </w:p>
        </w:tc>
        <w:tc>
          <w:tcPr>
            <w:tcW w:w="916" w:type="dxa"/>
          </w:tcPr>
          <w:p w14:paraId="38EE4C4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58</w:t>
            </w:r>
          </w:p>
        </w:tc>
        <w:tc>
          <w:tcPr>
            <w:tcW w:w="845" w:type="dxa"/>
          </w:tcPr>
          <w:p w14:paraId="28F1D2A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24</w:t>
            </w:r>
          </w:p>
        </w:tc>
        <w:tc>
          <w:tcPr>
            <w:tcW w:w="779" w:type="dxa"/>
          </w:tcPr>
          <w:p w14:paraId="602A4E37"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300</w:t>
            </w:r>
          </w:p>
        </w:tc>
        <w:tc>
          <w:tcPr>
            <w:tcW w:w="1346" w:type="dxa"/>
          </w:tcPr>
          <w:p w14:paraId="52078B1E"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c>
          <w:tcPr>
            <w:tcW w:w="1205" w:type="dxa"/>
          </w:tcPr>
          <w:p w14:paraId="0670D06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r w:rsidR="00117C0D" w:rsidRPr="003954D9" w14:paraId="412EF21A" w14:textId="77777777" w:rsidTr="00A70DA8">
        <w:trPr>
          <w:trHeight w:val="227"/>
        </w:trPr>
        <w:tc>
          <w:tcPr>
            <w:tcW w:w="0" w:type="auto"/>
          </w:tcPr>
          <w:p w14:paraId="23C2EFFC"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Göteborg</w:t>
            </w:r>
          </w:p>
        </w:tc>
        <w:tc>
          <w:tcPr>
            <w:tcW w:w="916" w:type="dxa"/>
          </w:tcPr>
          <w:p w14:paraId="087D666D"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53</w:t>
            </w:r>
          </w:p>
        </w:tc>
        <w:tc>
          <w:tcPr>
            <w:tcW w:w="845" w:type="dxa"/>
          </w:tcPr>
          <w:p w14:paraId="4DCF08D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22</w:t>
            </w:r>
          </w:p>
        </w:tc>
        <w:tc>
          <w:tcPr>
            <w:tcW w:w="779" w:type="dxa"/>
          </w:tcPr>
          <w:p w14:paraId="1A92DE2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339</w:t>
            </w:r>
          </w:p>
        </w:tc>
        <w:tc>
          <w:tcPr>
            <w:tcW w:w="1346" w:type="dxa"/>
          </w:tcPr>
          <w:p w14:paraId="0F611A9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w:t>
            </w:r>
          </w:p>
        </w:tc>
        <w:tc>
          <w:tcPr>
            <w:tcW w:w="1205" w:type="dxa"/>
          </w:tcPr>
          <w:p w14:paraId="1B45007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w:t>
            </w:r>
          </w:p>
        </w:tc>
      </w:tr>
      <w:tr w:rsidR="00117C0D" w:rsidRPr="003954D9" w14:paraId="5FE5001C" w14:textId="77777777" w:rsidTr="00A70DA8">
        <w:trPr>
          <w:trHeight w:val="227"/>
        </w:trPr>
        <w:tc>
          <w:tcPr>
            <w:tcW w:w="0" w:type="auto"/>
          </w:tcPr>
          <w:p w14:paraId="410A9D5F"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Västra Hisingen</w:t>
            </w:r>
          </w:p>
        </w:tc>
        <w:tc>
          <w:tcPr>
            <w:tcW w:w="916" w:type="dxa"/>
          </w:tcPr>
          <w:p w14:paraId="4F441BC1"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54</w:t>
            </w:r>
          </w:p>
        </w:tc>
        <w:tc>
          <w:tcPr>
            <w:tcW w:w="845" w:type="dxa"/>
          </w:tcPr>
          <w:p w14:paraId="02E9979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38</w:t>
            </w:r>
          </w:p>
        </w:tc>
        <w:tc>
          <w:tcPr>
            <w:tcW w:w="779" w:type="dxa"/>
          </w:tcPr>
          <w:p w14:paraId="5668C1C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281</w:t>
            </w:r>
          </w:p>
        </w:tc>
        <w:tc>
          <w:tcPr>
            <w:tcW w:w="1346" w:type="dxa"/>
          </w:tcPr>
          <w:p w14:paraId="0BDF1EA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w:t>
            </w:r>
          </w:p>
        </w:tc>
        <w:tc>
          <w:tcPr>
            <w:tcW w:w="1205" w:type="dxa"/>
          </w:tcPr>
          <w:p w14:paraId="09A6D27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r w:rsidR="00117C0D" w:rsidRPr="003954D9" w14:paraId="3E8453CE" w14:textId="77777777" w:rsidTr="00A70DA8">
        <w:trPr>
          <w:trHeight w:val="227"/>
        </w:trPr>
        <w:tc>
          <w:tcPr>
            <w:tcW w:w="0" w:type="auto"/>
          </w:tcPr>
          <w:p w14:paraId="6F422D0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Lundby</w:t>
            </w:r>
          </w:p>
        </w:tc>
        <w:tc>
          <w:tcPr>
            <w:tcW w:w="916" w:type="dxa"/>
          </w:tcPr>
          <w:p w14:paraId="58C747B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50</w:t>
            </w:r>
          </w:p>
        </w:tc>
        <w:tc>
          <w:tcPr>
            <w:tcW w:w="845" w:type="dxa"/>
          </w:tcPr>
          <w:p w14:paraId="70179C16"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w:t>
            </w:r>
          </w:p>
        </w:tc>
        <w:tc>
          <w:tcPr>
            <w:tcW w:w="779" w:type="dxa"/>
          </w:tcPr>
          <w:p w14:paraId="54CBD8F3"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277</w:t>
            </w:r>
          </w:p>
        </w:tc>
        <w:tc>
          <w:tcPr>
            <w:tcW w:w="1346" w:type="dxa"/>
          </w:tcPr>
          <w:p w14:paraId="2B4EBDEB"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w:t>
            </w:r>
          </w:p>
        </w:tc>
        <w:tc>
          <w:tcPr>
            <w:tcW w:w="1205" w:type="dxa"/>
          </w:tcPr>
          <w:p w14:paraId="06D8997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r w:rsidR="00117C0D" w:rsidRPr="003954D9" w14:paraId="5048021A" w14:textId="77777777" w:rsidTr="00A70DA8">
        <w:trPr>
          <w:trHeight w:val="227"/>
        </w:trPr>
        <w:tc>
          <w:tcPr>
            <w:tcW w:w="0" w:type="auto"/>
          </w:tcPr>
          <w:p w14:paraId="758FDD0D"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Norra Hisingen</w:t>
            </w:r>
          </w:p>
        </w:tc>
        <w:tc>
          <w:tcPr>
            <w:tcW w:w="916" w:type="dxa"/>
          </w:tcPr>
          <w:p w14:paraId="2B20260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49</w:t>
            </w:r>
          </w:p>
        </w:tc>
        <w:tc>
          <w:tcPr>
            <w:tcW w:w="845" w:type="dxa"/>
          </w:tcPr>
          <w:p w14:paraId="0B606A9C"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37</w:t>
            </w:r>
          </w:p>
        </w:tc>
        <w:tc>
          <w:tcPr>
            <w:tcW w:w="779" w:type="dxa"/>
          </w:tcPr>
          <w:p w14:paraId="0CE6AAC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267</w:t>
            </w:r>
          </w:p>
        </w:tc>
        <w:tc>
          <w:tcPr>
            <w:tcW w:w="1346" w:type="dxa"/>
          </w:tcPr>
          <w:p w14:paraId="08317DEA"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w:t>
            </w:r>
          </w:p>
        </w:tc>
        <w:tc>
          <w:tcPr>
            <w:tcW w:w="1205" w:type="dxa"/>
          </w:tcPr>
          <w:p w14:paraId="6DB83EA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r w:rsidR="00117C0D" w:rsidRPr="003954D9" w14:paraId="7CCBFE00" w14:textId="77777777" w:rsidTr="00A70DA8">
        <w:trPr>
          <w:trHeight w:val="227"/>
        </w:trPr>
        <w:tc>
          <w:tcPr>
            <w:tcW w:w="0" w:type="auto"/>
          </w:tcPr>
          <w:p w14:paraId="75858844" w14:textId="77777777" w:rsidR="00117C0D" w:rsidRPr="003954D9" w:rsidRDefault="00117C0D" w:rsidP="00117C0D">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Göteborg</w:t>
            </w:r>
          </w:p>
        </w:tc>
        <w:tc>
          <w:tcPr>
            <w:tcW w:w="916" w:type="dxa"/>
          </w:tcPr>
          <w:p w14:paraId="1EC99D54"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548</w:t>
            </w:r>
          </w:p>
        </w:tc>
        <w:tc>
          <w:tcPr>
            <w:tcW w:w="845" w:type="dxa"/>
          </w:tcPr>
          <w:p w14:paraId="37A56679"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33</w:t>
            </w:r>
          </w:p>
        </w:tc>
        <w:tc>
          <w:tcPr>
            <w:tcW w:w="779" w:type="dxa"/>
          </w:tcPr>
          <w:p w14:paraId="5F590A52"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276</w:t>
            </w:r>
          </w:p>
        </w:tc>
        <w:tc>
          <w:tcPr>
            <w:tcW w:w="1346" w:type="dxa"/>
          </w:tcPr>
          <w:p w14:paraId="75EDC7DF"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13</w:t>
            </w:r>
          </w:p>
        </w:tc>
        <w:tc>
          <w:tcPr>
            <w:tcW w:w="1205" w:type="dxa"/>
          </w:tcPr>
          <w:p w14:paraId="3E19BF48" w14:textId="77777777" w:rsidR="00117C0D" w:rsidRPr="003954D9" w:rsidRDefault="00117C0D" w:rsidP="00117C0D">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w:t>
            </w:r>
          </w:p>
        </w:tc>
      </w:tr>
    </w:tbl>
    <w:p w14:paraId="38DC45D4" w14:textId="77777777" w:rsidR="00117C0D" w:rsidRPr="003954D9" w:rsidRDefault="00117C0D" w:rsidP="00117C0D">
      <w:pPr>
        <w:rPr>
          <w:rFonts w:ascii="Verdana" w:eastAsia="Times New Roman" w:hAnsi="Verdana" w:cs="Times New Roman"/>
          <w:sz w:val="16"/>
          <w:szCs w:val="16"/>
        </w:rPr>
      </w:pPr>
      <w:r w:rsidRPr="003954D9">
        <w:rPr>
          <w:rFonts w:ascii="Verdana" w:eastAsia="Times New Roman" w:hAnsi="Verdana" w:cs="Times New Roman"/>
          <w:sz w:val="16"/>
          <w:szCs w:val="16"/>
        </w:rPr>
        <w:t xml:space="preserve"> (Källa: Göteborgsbladet 2016)</w:t>
      </w:r>
    </w:p>
    <w:p w14:paraId="756FAB5B" w14:textId="77777777" w:rsidR="00117C0D" w:rsidRPr="003954D9" w:rsidRDefault="00117C0D" w:rsidP="00117C0D">
      <w:pPr>
        <w:keepNext/>
        <w:keepLines/>
        <w:spacing w:before="200"/>
        <w:outlineLvl w:val="4"/>
        <w:rPr>
          <w:rFonts w:asciiTheme="majorHAnsi" w:eastAsiaTheme="majorEastAsia" w:hAnsiTheme="majorHAnsi" w:cstheme="majorBidi"/>
          <w:color w:val="243F60" w:themeColor="accent1" w:themeShade="7F"/>
          <w:sz w:val="23"/>
        </w:rPr>
      </w:pPr>
    </w:p>
    <w:p w14:paraId="580DBDFD" w14:textId="77777777" w:rsidR="00117C0D" w:rsidRPr="003954D9" w:rsidRDefault="00117C0D" w:rsidP="00117C0D">
      <w:pPr>
        <w:rPr>
          <w:sz w:val="23"/>
        </w:rPr>
      </w:pPr>
    </w:p>
    <w:p w14:paraId="6E2FC9BE" w14:textId="77777777" w:rsidR="00117C0D" w:rsidRPr="003954D9" w:rsidRDefault="00117C0D" w:rsidP="00117C0D">
      <w:pPr>
        <w:rPr>
          <w:b/>
          <w:sz w:val="23"/>
        </w:rPr>
      </w:pPr>
    </w:p>
    <w:p w14:paraId="3A5B67BF" w14:textId="77777777" w:rsidR="00117C0D" w:rsidRPr="003954D9" w:rsidRDefault="00117C0D" w:rsidP="00117C0D">
      <w:pPr>
        <w:rPr>
          <w:b/>
          <w:sz w:val="23"/>
        </w:rPr>
      </w:pPr>
      <w:r w:rsidRPr="003954D9">
        <w:rPr>
          <w:b/>
          <w:sz w:val="23"/>
        </w:rPr>
        <w:br w:type="page"/>
      </w:r>
    </w:p>
    <w:p w14:paraId="5FA7EF9D" w14:textId="77777777" w:rsidR="00117C0D" w:rsidRPr="003954D9" w:rsidRDefault="00117C0D" w:rsidP="000C71CD">
      <w:pPr>
        <w:pStyle w:val="Rubrik1"/>
      </w:pPr>
      <w:bookmarkStart w:id="465" w:name="_Toc463184484"/>
      <w:bookmarkStart w:id="466" w:name="_Toc464828492"/>
      <w:bookmarkStart w:id="467" w:name="_Toc467818490"/>
      <w:bookmarkStart w:id="468" w:name="_Toc468614376"/>
      <w:r w:rsidRPr="003954D9">
        <w:lastRenderedPageBreak/>
        <w:t>Bilaga 2 – Skälig levnadsnivå</w:t>
      </w:r>
      <w:bookmarkEnd w:id="465"/>
      <w:bookmarkEnd w:id="466"/>
      <w:bookmarkEnd w:id="467"/>
      <w:bookmarkEnd w:id="468"/>
    </w:p>
    <w:p w14:paraId="6C20B315" w14:textId="53BED617" w:rsidR="00430B97" w:rsidRPr="003954D9" w:rsidRDefault="00430B97" w:rsidP="00430B97">
      <w:pPr>
        <w:rPr>
          <w:b/>
        </w:rPr>
      </w:pPr>
    </w:p>
    <w:p w14:paraId="0DBEC1E8" w14:textId="7BA42B36" w:rsidR="00A70DA8" w:rsidRPr="003954D9" w:rsidRDefault="00A70DA8" w:rsidP="00117C0D">
      <w:pPr>
        <w:rPr>
          <w:sz w:val="23"/>
          <w:lang w:eastAsia="en-GB"/>
        </w:rPr>
      </w:pPr>
      <w:r w:rsidRPr="003954D9">
        <w:rPr>
          <w:sz w:val="23"/>
          <w:lang w:eastAsia="en-GB"/>
        </w:rPr>
        <w:t xml:space="preserve">Skälig levnadsnivå har beräknats som summan av Riksnorm, Faktisk boendeutgift, Hushållsel, Barnomsorgsutgift, Lokala resor, Fack och A-kasseavgift och Hemförsäkring. </w:t>
      </w:r>
    </w:p>
    <w:p w14:paraId="641AAD9A" w14:textId="33019C3E" w:rsidR="00A70DA8" w:rsidRPr="003954D9" w:rsidRDefault="00A70DA8" w:rsidP="00117C0D">
      <w:pPr>
        <w:rPr>
          <w:sz w:val="23"/>
          <w:lang w:eastAsia="en-GB"/>
        </w:rPr>
      </w:pPr>
    </w:p>
    <w:p w14:paraId="3664CF5F" w14:textId="61964A02" w:rsidR="00A70DA8" w:rsidRPr="003954D9" w:rsidRDefault="00A70DA8" w:rsidP="00117C0D">
      <w:pPr>
        <w:rPr>
          <w:sz w:val="23"/>
          <w:lang w:eastAsia="en-GB"/>
        </w:rPr>
      </w:pPr>
      <w:r w:rsidRPr="003954D9">
        <w:rPr>
          <w:sz w:val="23"/>
          <w:lang w:eastAsia="en-GB"/>
        </w:rPr>
        <w:t>2014 i Göteborg var den skäliga levnadsnivån efter det att hyran var betald följande i kronor per mån</w:t>
      </w:r>
      <w:r w:rsidR="00F32099" w:rsidRPr="003954D9">
        <w:rPr>
          <w:sz w:val="23"/>
          <w:lang w:eastAsia="en-GB"/>
        </w:rPr>
        <w:t xml:space="preserve">ad för de olika hushållstyperna: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1157"/>
        <w:gridCol w:w="960"/>
        <w:gridCol w:w="1002"/>
      </w:tblGrid>
      <w:tr w:rsidR="00A70DA8" w:rsidRPr="003954D9" w14:paraId="37B063B4" w14:textId="77777777" w:rsidTr="00F32099">
        <w:trPr>
          <w:trHeight w:val="227"/>
        </w:trPr>
        <w:tc>
          <w:tcPr>
            <w:tcW w:w="2298" w:type="dxa"/>
            <w:vMerge w:val="restart"/>
          </w:tcPr>
          <w:p w14:paraId="6BA267A2" w14:textId="77777777" w:rsidR="00A70DA8" w:rsidRPr="003954D9" w:rsidRDefault="00A70DA8">
            <w:pPr>
              <w:autoSpaceDE w:val="0"/>
              <w:autoSpaceDN w:val="0"/>
              <w:adjustRightInd w:val="0"/>
              <w:rPr>
                <w:rFonts w:ascii="Calibri" w:hAnsi="Calibri" w:cs="Calibri"/>
                <w:b/>
                <w:bCs/>
                <w:color w:val="000000"/>
                <w:sz w:val="16"/>
                <w:szCs w:val="16"/>
              </w:rPr>
            </w:pPr>
            <w:bookmarkStart w:id="469" w:name="OLE_LINK1"/>
            <w:r w:rsidRPr="003954D9">
              <w:rPr>
                <w:rFonts w:ascii="Calibri" w:hAnsi="Calibri" w:cs="Calibri"/>
                <w:b/>
                <w:bCs/>
                <w:color w:val="000000"/>
                <w:sz w:val="16"/>
                <w:szCs w:val="16"/>
              </w:rPr>
              <w:t>Hushållstyp</w:t>
            </w:r>
          </w:p>
        </w:tc>
        <w:tc>
          <w:tcPr>
            <w:tcW w:w="1157" w:type="dxa"/>
            <w:vMerge w:val="restart"/>
          </w:tcPr>
          <w:p w14:paraId="7FC5044A" w14:textId="77777777"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Personer/</w:t>
            </w:r>
          </w:p>
          <w:p w14:paraId="506E9834" w14:textId="6A68B735" w:rsidR="00A70DA8" w:rsidRPr="003954D9" w:rsidRDefault="00365C66">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hus</w:t>
            </w:r>
            <w:r w:rsidR="00A70DA8" w:rsidRPr="003954D9">
              <w:rPr>
                <w:rFonts w:ascii="Calibri" w:hAnsi="Calibri" w:cs="Calibri"/>
                <w:b/>
                <w:bCs/>
                <w:color w:val="000000"/>
                <w:sz w:val="16"/>
                <w:szCs w:val="16"/>
              </w:rPr>
              <w:t>.</w:t>
            </w:r>
          </w:p>
        </w:tc>
        <w:tc>
          <w:tcPr>
            <w:tcW w:w="1962" w:type="dxa"/>
            <w:gridSpan w:val="2"/>
          </w:tcPr>
          <w:p w14:paraId="3DD1E187" w14:textId="50D3C275"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Skälig levnadsnivå när hyran är betald</w:t>
            </w:r>
          </w:p>
        </w:tc>
      </w:tr>
      <w:tr w:rsidR="00A70DA8" w:rsidRPr="003954D9" w14:paraId="43B038D3" w14:textId="77777777" w:rsidTr="00F32099">
        <w:trPr>
          <w:trHeight w:val="227"/>
        </w:trPr>
        <w:tc>
          <w:tcPr>
            <w:tcW w:w="2298" w:type="dxa"/>
            <w:vMerge/>
          </w:tcPr>
          <w:p w14:paraId="04EDB03C" w14:textId="77777777" w:rsidR="00A70DA8" w:rsidRPr="003954D9" w:rsidRDefault="00A70DA8">
            <w:pPr>
              <w:autoSpaceDE w:val="0"/>
              <w:autoSpaceDN w:val="0"/>
              <w:adjustRightInd w:val="0"/>
              <w:jc w:val="right"/>
              <w:rPr>
                <w:rFonts w:ascii="Calibri" w:hAnsi="Calibri" w:cs="Calibri"/>
                <w:color w:val="000000"/>
                <w:sz w:val="22"/>
                <w:szCs w:val="22"/>
              </w:rPr>
            </w:pPr>
          </w:p>
        </w:tc>
        <w:tc>
          <w:tcPr>
            <w:tcW w:w="1157" w:type="dxa"/>
            <w:vMerge/>
          </w:tcPr>
          <w:p w14:paraId="2D8E97FC" w14:textId="77777777" w:rsidR="00A70DA8" w:rsidRPr="003954D9" w:rsidRDefault="00A70DA8">
            <w:pPr>
              <w:autoSpaceDE w:val="0"/>
              <w:autoSpaceDN w:val="0"/>
              <w:adjustRightInd w:val="0"/>
              <w:jc w:val="right"/>
              <w:rPr>
                <w:rFonts w:ascii="Calibri" w:hAnsi="Calibri" w:cs="Calibri"/>
                <w:color w:val="000000"/>
                <w:sz w:val="22"/>
                <w:szCs w:val="22"/>
              </w:rPr>
            </w:pPr>
          </w:p>
        </w:tc>
        <w:tc>
          <w:tcPr>
            <w:tcW w:w="960" w:type="dxa"/>
          </w:tcPr>
          <w:p w14:paraId="52695C23" w14:textId="6D1E428E"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 hushåll</w:t>
            </w:r>
          </w:p>
        </w:tc>
        <w:tc>
          <w:tcPr>
            <w:tcW w:w="1002" w:type="dxa"/>
          </w:tcPr>
          <w:p w14:paraId="2F009065" w14:textId="4D1FBD00"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Per person</w:t>
            </w:r>
          </w:p>
        </w:tc>
      </w:tr>
      <w:tr w:rsidR="00A70DA8" w:rsidRPr="003954D9" w14:paraId="2B27F285" w14:textId="77777777" w:rsidTr="00F32099">
        <w:trPr>
          <w:trHeight w:val="227"/>
        </w:trPr>
        <w:tc>
          <w:tcPr>
            <w:tcW w:w="2298" w:type="dxa"/>
          </w:tcPr>
          <w:p w14:paraId="5A80D117" w14:textId="632C6941" w:rsidR="00A70DA8" w:rsidRPr="003954D9" w:rsidRDefault="00A70DA8">
            <w:pPr>
              <w:autoSpaceDE w:val="0"/>
              <w:autoSpaceDN w:val="0"/>
              <w:adjustRightInd w:val="0"/>
              <w:rPr>
                <w:rFonts w:ascii="Calibri" w:hAnsi="Calibri" w:cs="Calibri"/>
                <w:b/>
                <w:bCs/>
                <w:color w:val="000000"/>
                <w:sz w:val="16"/>
                <w:szCs w:val="16"/>
              </w:rPr>
            </w:pPr>
            <w:proofErr w:type="spellStart"/>
            <w:r w:rsidRPr="003954D9">
              <w:rPr>
                <w:rFonts w:ascii="Calibri" w:hAnsi="Calibri" w:cs="Calibri"/>
                <w:b/>
                <w:bCs/>
                <w:color w:val="000000"/>
                <w:sz w:val="16"/>
                <w:szCs w:val="16"/>
              </w:rPr>
              <w:t>Ensamsb</w:t>
            </w:r>
            <w:proofErr w:type="spellEnd"/>
            <w:r w:rsidRPr="003954D9">
              <w:rPr>
                <w:rFonts w:ascii="Calibri" w:hAnsi="Calibri" w:cs="Calibri"/>
                <w:b/>
                <w:bCs/>
                <w:color w:val="000000"/>
                <w:sz w:val="16"/>
                <w:szCs w:val="16"/>
              </w:rPr>
              <w:t xml:space="preserve">.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1157" w:type="dxa"/>
          </w:tcPr>
          <w:p w14:paraId="1AE2426A"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w:t>
            </w:r>
          </w:p>
        </w:tc>
        <w:tc>
          <w:tcPr>
            <w:tcW w:w="960" w:type="dxa"/>
          </w:tcPr>
          <w:p w14:paraId="751A94ED"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5 283</w:t>
            </w:r>
          </w:p>
        </w:tc>
        <w:tc>
          <w:tcPr>
            <w:tcW w:w="1002" w:type="dxa"/>
          </w:tcPr>
          <w:p w14:paraId="17D03FB0"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5 283</w:t>
            </w:r>
          </w:p>
        </w:tc>
      </w:tr>
      <w:tr w:rsidR="00A70DA8" w:rsidRPr="003954D9" w14:paraId="5B975600" w14:textId="77777777" w:rsidTr="00F32099">
        <w:trPr>
          <w:trHeight w:val="227"/>
        </w:trPr>
        <w:tc>
          <w:tcPr>
            <w:tcW w:w="2298" w:type="dxa"/>
          </w:tcPr>
          <w:p w14:paraId="368F98E8" w14:textId="094DBE54"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Ensambo. u. barn </w:t>
            </w:r>
            <w:r w:rsidR="00365C66" w:rsidRPr="003954D9">
              <w:rPr>
                <w:rFonts w:ascii="Calibri" w:hAnsi="Calibri" w:cs="Calibri"/>
                <w:b/>
                <w:bCs/>
                <w:color w:val="000000"/>
                <w:sz w:val="16"/>
                <w:szCs w:val="16"/>
              </w:rPr>
              <w:t>65-år</w:t>
            </w:r>
          </w:p>
        </w:tc>
        <w:tc>
          <w:tcPr>
            <w:tcW w:w="1157" w:type="dxa"/>
          </w:tcPr>
          <w:p w14:paraId="3DE9C5C9"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1,00</w:t>
            </w:r>
          </w:p>
        </w:tc>
        <w:tc>
          <w:tcPr>
            <w:tcW w:w="960" w:type="dxa"/>
          </w:tcPr>
          <w:p w14:paraId="4C559120"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5 062</w:t>
            </w:r>
          </w:p>
        </w:tc>
        <w:tc>
          <w:tcPr>
            <w:tcW w:w="1002" w:type="dxa"/>
          </w:tcPr>
          <w:p w14:paraId="09AD620E"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5 062</w:t>
            </w:r>
          </w:p>
        </w:tc>
      </w:tr>
      <w:tr w:rsidR="00A70DA8" w:rsidRPr="003954D9" w14:paraId="1D6FE5FF" w14:textId="77777777" w:rsidTr="00F32099">
        <w:trPr>
          <w:trHeight w:val="227"/>
        </w:trPr>
        <w:tc>
          <w:tcPr>
            <w:tcW w:w="2298" w:type="dxa"/>
          </w:tcPr>
          <w:p w14:paraId="57CB3090" w14:textId="0706058C"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Ensamst. m.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1157" w:type="dxa"/>
          </w:tcPr>
          <w:p w14:paraId="2912FA1A"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2,90</w:t>
            </w:r>
          </w:p>
        </w:tc>
        <w:tc>
          <w:tcPr>
            <w:tcW w:w="960" w:type="dxa"/>
          </w:tcPr>
          <w:p w14:paraId="58117F9A"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10 759</w:t>
            </w:r>
          </w:p>
        </w:tc>
        <w:tc>
          <w:tcPr>
            <w:tcW w:w="1002" w:type="dxa"/>
          </w:tcPr>
          <w:p w14:paraId="32590DB7"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3 705</w:t>
            </w:r>
          </w:p>
        </w:tc>
      </w:tr>
      <w:tr w:rsidR="00A70DA8" w:rsidRPr="003954D9" w14:paraId="2243358B" w14:textId="77777777" w:rsidTr="00F32099">
        <w:trPr>
          <w:trHeight w:val="227"/>
        </w:trPr>
        <w:tc>
          <w:tcPr>
            <w:tcW w:w="2298" w:type="dxa"/>
          </w:tcPr>
          <w:p w14:paraId="68D72A2C" w14:textId="17B66021"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u. barn </w:t>
            </w:r>
            <w:r w:rsidR="00365C66" w:rsidRPr="003954D9">
              <w:rPr>
                <w:rFonts w:ascii="Calibri" w:hAnsi="Calibri" w:cs="Calibri"/>
                <w:b/>
                <w:bCs/>
                <w:color w:val="000000"/>
                <w:sz w:val="16"/>
                <w:szCs w:val="16"/>
              </w:rPr>
              <w:t>18–64</w:t>
            </w:r>
            <w:r w:rsidRPr="003954D9">
              <w:rPr>
                <w:rFonts w:ascii="Calibri" w:hAnsi="Calibri" w:cs="Calibri"/>
                <w:b/>
                <w:bCs/>
                <w:color w:val="000000"/>
                <w:sz w:val="16"/>
                <w:szCs w:val="16"/>
              </w:rPr>
              <w:t xml:space="preserve"> år</w:t>
            </w:r>
          </w:p>
        </w:tc>
        <w:tc>
          <w:tcPr>
            <w:tcW w:w="1157" w:type="dxa"/>
          </w:tcPr>
          <w:p w14:paraId="2179BF37"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2,00</w:t>
            </w:r>
          </w:p>
        </w:tc>
        <w:tc>
          <w:tcPr>
            <w:tcW w:w="960" w:type="dxa"/>
          </w:tcPr>
          <w:p w14:paraId="56A963AA"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8 847</w:t>
            </w:r>
          </w:p>
        </w:tc>
        <w:tc>
          <w:tcPr>
            <w:tcW w:w="1002" w:type="dxa"/>
          </w:tcPr>
          <w:p w14:paraId="3B6163EC"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4 423</w:t>
            </w:r>
          </w:p>
        </w:tc>
      </w:tr>
      <w:tr w:rsidR="00A70DA8" w:rsidRPr="003954D9" w14:paraId="33D25565" w14:textId="77777777" w:rsidTr="00F32099">
        <w:trPr>
          <w:trHeight w:val="227"/>
        </w:trPr>
        <w:tc>
          <w:tcPr>
            <w:tcW w:w="2298" w:type="dxa"/>
          </w:tcPr>
          <w:p w14:paraId="0769E30D" w14:textId="6520111B"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u. barn </w:t>
            </w:r>
            <w:r w:rsidR="00365C66" w:rsidRPr="003954D9">
              <w:rPr>
                <w:rFonts w:ascii="Calibri" w:hAnsi="Calibri" w:cs="Calibri"/>
                <w:b/>
                <w:bCs/>
                <w:color w:val="000000"/>
                <w:sz w:val="16"/>
                <w:szCs w:val="16"/>
              </w:rPr>
              <w:t>65-år</w:t>
            </w:r>
          </w:p>
        </w:tc>
        <w:tc>
          <w:tcPr>
            <w:tcW w:w="1157" w:type="dxa"/>
          </w:tcPr>
          <w:p w14:paraId="04381D21"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2,00</w:t>
            </w:r>
          </w:p>
        </w:tc>
        <w:tc>
          <w:tcPr>
            <w:tcW w:w="960" w:type="dxa"/>
          </w:tcPr>
          <w:p w14:paraId="77C21F53"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8 409</w:t>
            </w:r>
          </w:p>
        </w:tc>
        <w:tc>
          <w:tcPr>
            <w:tcW w:w="1002" w:type="dxa"/>
          </w:tcPr>
          <w:p w14:paraId="6D38B706"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4 204</w:t>
            </w:r>
          </w:p>
        </w:tc>
      </w:tr>
      <w:tr w:rsidR="00A70DA8" w:rsidRPr="003954D9" w14:paraId="2FF9FB04" w14:textId="77777777" w:rsidTr="00F32099">
        <w:trPr>
          <w:trHeight w:val="227"/>
        </w:trPr>
        <w:tc>
          <w:tcPr>
            <w:tcW w:w="2298" w:type="dxa"/>
          </w:tcPr>
          <w:p w14:paraId="2722D30B" w14:textId="2FBEFC44"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1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1157" w:type="dxa"/>
          </w:tcPr>
          <w:p w14:paraId="7E070E2E"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3,15</w:t>
            </w:r>
          </w:p>
        </w:tc>
        <w:tc>
          <w:tcPr>
            <w:tcW w:w="960" w:type="dxa"/>
          </w:tcPr>
          <w:p w14:paraId="6FB7FBF6"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12 410</w:t>
            </w:r>
          </w:p>
        </w:tc>
        <w:tc>
          <w:tcPr>
            <w:tcW w:w="1002" w:type="dxa"/>
          </w:tcPr>
          <w:p w14:paraId="0049F2F3"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3 934</w:t>
            </w:r>
          </w:p>
        </w:tc>
      </w:tr>
      <w:tr w:rsidR="00A70DA8" w:rsidRPr="003954D9" w14:paraId="110E5743" w14:textId="77777777" w:rsidTr="00F32099">
        <w:trPr>
          <w:trHeight w:val="227"/>
        </w:trPr>
        <w:tc>
          <w:tcPr>
            <w:tcW w:w="2298" w:type="dxa"/>
          </w:tcPr>
          <w:p w14:paraId="241F9EC6" w14:textId="378630E0"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2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1157" w:type="dxa"/>
          </w:tcPr>
          <w:p w14:paraId="6C1ADD61"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4,10</w:t>
            </w:r>
          </w:p>
        </w:tc>
        <w:tc>
          <w:tcPr>
            <w:tcW w:w="960" w:type="dxa"/>
          </w:tcPr>
          <w:p w14:paraId="5DABCF11"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15 151</w:t>
            </w:r>
          </w:p>
        </w:tc>
        <w:tc>
          <w:tcPr>
            <w:tcW w:w="1002" w:type="dxa"/>
          </w:tcPr>
          <w:p w14:paraId="2333B0B2"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3 700</w:t>
            </w:r>
          </w:p>
        </w:tc>
      </w:tr>
      <w:tr w:rsidR="00A70DA8" w:rsidRPr="003954D9" w14:paraId="24E16A72" w14:textId="77777777" w:rsidTr="00F32099">
        <w:trPr>
          <w:trHeight w:val="227"/>
        </w:trPr>
        <w:tc>
          <w:tcPr>
            <w:tcW w:w="2298" w:type="dxa"/>
          </w:tcPr>
          <w:p w14:paraId="6E365A76" w14:textId="1FD385FC"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Sambo. m. 3 - barn </w:t>
            </w:r>
            <w:r w:rsidR="00365C66" w:rsidRPr="003954D9">
              <w:rPr>
                <w:rFonts w:ascii="Calibri" w:hAnsi="Calibri" w:cs="Calibri"/>
                <w:b/>
                <w:bCs/>
                <w:color w:val="000000"/>
                <w:sz w:val="16"/>
                <w:szCs w:val="16"/>
              </w:rPr>
              <w:t>0–19</w:t>
            </w:r>
            <w:r w:rsidRPr="003954D9">
              <w:rPr>
                <w:rFonts w:ascii="Calibri" w:hAnsi="Calibri" w:cs="Calibri"/>
                <w:b/>
                <w:bCs/>
                <w:color w:val="000000"/>
                <w:sz w:val="16"/>
                <w:szCs w:val="16"/>
              </w:rPr>
              <w:t xml:space="preserve"> år</w:t>
            </w:r>
          </w:p>
        </w:tc>
        <w:tc>
          <w:tcPr>
            <w:tcW w:w="1157" w:type="dxa"/>
          </w:tcPr>
          <w:p w14:paraId="363958C1"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5,68</w:t>
            </w:r>
          </w:p>
        </w:tc>
        <w:tc>
          <w:tcPr>
            <w:tcW w:w="960" w:type="dxa"/>
          </w:tcPr>
          <w:p w14:paraId="510EAF91"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19 489</w:t>
            </w:r>
          </w:p>
        </w:tc>
        <w:tc>
          <w:tcPr>
            <w:tcW w:w="1002" w:type="dxa"/>
          </w:tcPr>
          <w:p w14:paraId="3B722425"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3 431</w:t>
            </w:r>
          </w:p>
        </w:tc>
      </w:tr>
      <w:tr w:rsidR="00A70DA8" w:rsidRPr="003954D9" w14:paraId="3D48C73A" w14:textId="77777777" w:rsidTr="00F32099">
        <w:trPr>
          <w:trHeight w:val="227"/>
        </w:trPr>
        <w:tc>
          <w:tcPr>
            <w:tcW w:w="2298" w:type="dxa"/>
          </w:tcPr>
          <w:p w14:paraId="76BD6A6E" w14:textId="77777777"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 xml:space="preserve">Övr. hushåll u. barn </w:t>
            </w:r>
          </w:p>
        </w:tc>
        <w:tc>
          <w:tcPr>
            <w:tcW w:w="1157" w:type="dxa"/>
          </w:tcPr>
          <w:p w14:paraId="5BA9080D"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2,59</w:t>
            </w:r>
          </w:p>
        </w:tc>
        <w:tc>
          <w:tcPr>
            <w:tcW w:w="960" w:type="dxa"/>
          </w:tcPr>
          <w:p w14:paraId="7EA6D1EE"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11 633</w:t>
            </w:r>
          </w:p>
        </w:tc>
        <w:tc>
          <w:tcPr>
            <w:tcW w:w="1002" w:type="dxa"/>
          </w:tcPr>
          <w:p w14:paraId="60D09749"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4 491</w:t>
            </w:r>
          </w:p>
        </w:tc>
      </w:tr>
      <w:tr w:rsidR="00A70DA8" w:rsidRPr="003954D9" w14:paraId="0822BCE4" w14:textId="77777777" w:rsidTr="00F32099">
        <w:trPr>
          <w:trHeight w:val="227"/>
        </w:trPr>
        <w:tc>
          <w:tcPr>
            <w:tcW w:w="2298" w:type="dxa"/>
          </w:tcPr>
          <w:p w14:paraId="2C0FD1A4" w14:textId="77777777" w:rsidR="00A70DA8" w:rsidRPr="003954D9" w:rsidRDefault="00A70DA8">
            <w:pPr>
              <w:autoSpaceDE w:val="0"/>
              <w:autoSpaceDN w:val="0"/>
              <w:adjustRightInd w:val="0"/>
              <w:rPr>
                <w:rFonts w:ascii="Calibri" w:hAnsi="Calibri" w:cs="Calibri"/>
                <w:b/>
                <w:bCs/>
                <w:color w:val="000000"/>
                <w:sz w:val="16"/>
                <w:szCs w:val="16"/>
              </w:rPr>
            </w:pPr>
            <w:r w:rsidRPr="003954D9">
              <w:rPr>
                <w:rFonts w:ascii="Calibri" w:hAnsi="Calibri" w:cs="Calibri"/>
                <w:b/>
                <w:bCs/>
                <w:color w:val="000000"/>
                <w:sz w:val="16"/>
                <w:szCs w:val="16"/>
              </w:rPr>
              <w:t>Övr. hushåll m. barn</w:t>
            </w:r>
          </w:p>
        </w:tc>
        <w:tc>
          <w:tcPr>
            <w:tcW w:w="1157" w:type="dxa"/>
          </w:tcPr>
          <w:p w14:paraId="75EA44AF"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4,43</w:t>
            </w:r>
          </w:p>
        </w:tc>
        <w:tc>
          <w:tcPr>
            <w:tcW w:w="960" w:type="dxa"/>
          </w:tcPr>
          <w:p w14:paraId="3759F20C"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17 445</w:t>
            </w:r>
          </w:p>
        </w:tc>
        <w:tc>
          <w:tcPr>
            <w:tcW w:w="1002" w:type="dxa"/>
          </w:tcPr>
          <w:p w14:paraId="10A79599" w14:textId="77777777" w:rsidR="00A70DA8" w:rsidRPr="003954D9" w:rsidRDefault="00A70DA8">
            <w:pPr>
              <w:autoSpaceDE w:val="0"/>
              <w:autoSpaceDN w:val="0"/>
              <w:adjustRightInd w:val="0"/>
              <w:jc w:val="right"/>
              <w:rPr>
                <w:rFonts w:ascii="Calibri" w:hAnsi="Calibri" w:cs="Calibri"/>
                <w:color w:val="000000"/>
                <w:sz w:val="16"/>
                <w:szCs w:val="16"/>
              </w:rPr>
            </w:pPr>
            <w:r w:rsidRPr="003954D9">
              <w:rPr>
                <w:rFonts w:ascii="Calibri" w:hAnsi="Calibri" w:cs="Calibri"/>
                <w:color w:val="000000"/>
                <w:sz w:val="16"/>
                <w:szCs w:val="16"/>
              </w:rPr>
              <w:t>3 936</w:t>
            </w:r>
          </w:p>
        </w:tc>
      </w:tr>
      <w:bookmarkEnd w:id="469"/>
    </w:tbl>
    <w:p w14:paraId="6A21A34A" w14:textId="77777777" w:rsidR="00A70DA8" w:rsidRPr="003954D9" w:rsidRDefault="00A70DA8" w:rsidP="00117C0D">
      <w:pPr>
        <w:rPr>
          <w:sz w:val="23"/>
          <w:lang w:eastAsia="en-GB"/>
        </w:rPr>
      </w:pPr>
    </w:p>
    <w:p w14:paraId="27824F10" w14:textId="77777777" w:rsidR="00A70DA8" w:rsidRPr="003954D9" w:rsidRDefault="00A70DA8" w:rsidP="00117C0D">
      <w:pPr>
        <w:rPr>
          <w:b/>
          <w:bCs/>
          <w:sz w:val="23"/>
          <w:lang w:eastAsia="en-GB"/>
        </w:rPr>
      </w:pPr>
      <w:r w:rsidRPr="003954D9">
        <w:rPr>
          <w:b/>
          <w:bCs/>
          <w:sz w:val="23"/>
          <w:lang w:eastAsia="en-GB"/>
        </w:rPr>
        <w:t>Riksnorm</w:t>
      </w:r>
    </w:p>
    <w:p w14:paraId="4D1FD1FB" w14:textId="66353881" w:rsidR="00A70DA8" w:rsidRPr="003954D9" w:rsidRDefault="00A70DA8" w:rsidP="00117C0D">
      <w:pPr>
        <w:rPr>
          <w:sz w:val="23"/>
          <w:lang w:eastAsia="en-GB"/>
        </w:rPr>
      </w:pPr>
      <w:r w:rsidRPr="003954D9">
        <w:rPr>
          <w:sz w:val="23"/>
          <w:lang w:eastAsia="en-GB"/>
        </w:rPr>
        <w:t xml:space="preserve">Normen för ett hushåll utgör summan av de personliga kostnaderna för samtliga medlemmar i hushållet och de gemensamma hushållskostnaderna. Tillsammans med skäliga kostnader för vissa andra behov avgör riksnormen nivån på försörjningsstödet. Beloppen bestäms av regeringen inför varje nytt kalenderår och gäller som miniminivå för de behov som den ska täcka. Riksnormen inkluderar kostnader för livsmedel, kläder och skor, fritid och lek, hygien, barn- och ungdomsförsäkring, förbrukningsvaror, dagstidning, telefon och </w:t>
      </w:r>
      <w:r w:rsidR="00365C66" w:rsidRPr="003954D9">
        <w:rPr>
          <w:sz w:val="23"/>
          <w:lang w:eastAsia="en-GB"/>
        </w:rPr>
        <w:t>TV-avgift</w:t>
      </w:r>
      <w:r w:rsidRPr="003954D9">
        <w:rPr>
          <w:sz w:val="23"/>
          <w:lang w:eastAsia="en-GB"/>
        </w:rPr>
        <w:t>.</w:t>
      </w:r>
    </w:p>
    <w:p w14:paraId="58C77ABA" w14:textId="77777777" w:rsidR="00A70DA8" w:rsidRPr="003954D9" w:rsidRDefault="00A70DA8" w:rsidP="00117C0D">
      <w:pPr>
        <w:rPr>
          <w:sz w:val="23"/>
          <w:lang w:eastAsia="en-GB"/>
        </w:rPr>
      </w:pPr>
    </w:p>
    <w:p w14:paraId="77BC04AA" w14:textId="77777777" w:rsidR="00A70DA8" w:rsidRPr="003954D9" w:rsidRDefault="00A70DA8" w:rsidP="00117C0D">
      <w:pPr>
        <w:rPr>
          <w:b/>
          <w:bCs/>
          <w:sz w:val="23"/>
          <w:lang w:eastAsia="en-GB"/>
        </w:rPr>
      </w:pPr>
      <w:r w:rsidRPr="003954D9">
        <w:rPr>
          <w:b/>
          <w:bCs/>
          <w:sz w:val="23"/>
          <w:lang w:eastAsia="en-GB"/>
        </w:rPr>
        <w:t>Boendeutgift</w:t>
      </w:r>
    </w:p>
    <w:p w14:paraId="030BD876" w14:textId="77777777" w:rsidR="00A70DA8" w:rsidRPr="003954D9" w:rsidRDefault="00A70DA8" w:rsidP="00117C0D">
      <w:pPr>
        <w:rPr>
          <w:sz w:val="23"/>
          <w:lang w:eastAsia="en-GB"/>
        </w:rPr>
      </w:pPr>
      <w:r w:rsidRPr="003954D9">
        <w:rPr>
          <w:sz w:val="23"/>
          <w:lang w:eastAsia="en-GB"/>
        </w:rPr>
        <w:t>Faktisk årshyra</w:t>
      </w:r>
    </w:p>
    <w:p w14:paraId="787BCD27" w14:textId="77777777" w:rsidR="00A70DA8" w:rsidRPr="003954D9" w:rsidRDefault="00A70DA8" w:rsidP="00117C0D">
      <w:pPr>
        <w:rPr>
          <w:sz w:val="23"/>
          <w:lang w:eastAsia="en-GB"/>
        </w:rPr>
      </w:pPr>
    </w:p>
    <w:p w14:paraId="407A4A68" w14:textId="77777777" w:rsidR="00A70DA8" w:rsidRPr="003954D9" w:rsidRDefault="00A70DA8" w:rsidP="00117C0D">
      <w:pPr>
        <w:rPr>
          <w:b/>
          <w:bCs/>
          <w:sz w:val="23"/>
          <w:lang w:eastAsia="en-GB"/>
        </w:rPr>
      </w:pPr>
      <w:r w:rsidRPr="003954D9">
        <w:rPr>
          <w:b/>
          <w:bCs/>
          <w:sz w:val="23"/>
          <w:lang w:eastAsia="en-GB"/>
        </w:rPr>
        <w:t>Hushållsel</w:t>
      </w:r>
    </w:p>
    <w:p w14:paraId="2E853E4A" w14:textId="77777777" w:rsidR="00A70DA8" w:rsidRPr="003954D9" w:rsidRDefault="00A70DA8" w:rsidP="00117C0D">
      <w:pPr>
        <w:rPr>
          <w:sz w:val="23"/>
          <w:lang w:eastAsia="en-GB"/>
        </w:rPr>
      </w:pPr>
      <w:r w:rsidRPr="003954D9">
        <w:rPr>
          <w:sz w:val="23"/>
          <w:lang w:eastAsia="en-GB"/>
        </w:rPr>
        <w:t>Hushållselen beräknas genom att varje hushåll tilldelas en el-förbrukning efter hushållstorlek. Elpriserna är differentierade beroende på förbrukningen.</w:t>
      </w:r>
    </w:p>
    <w:p w14:paraId="48B373CD" w14:textId="77777777" w:rsidR="00A70DA8" w:rsidRPr="003954D9" w:rsidRDefault="00A70DA8" w:rsidP="00117C0D">
      <w:pPr>
        <w:rPr>
          <w:sz w:val="23"/>
          <w:lang w:eastAsia="en-GB"/>
        </w:rPr>
      </w:pPr>
    </w:p>
    <w:p w14:paraId="276E4DED" w14:textId="77777777" w:rsidR="00A70DA8" w:rsidRPr="003954D9" w:rsidRDefault="00A70DA8" w:rsidP="00117C0D">
      <w:pPr>
        <w:rPr>
          <w:b/>
          <w:bCs/>
          <w:sz w:val="23"/>
          <w:lang w:eastAsia="en-GB"/>
        </w:rPr>
      </w:pPr>
      <w:r w:rsidRPr="003954D9">
        <w:rPr>
          <w:b/>
          <w:bCs/>
          <w:sz w:val="23"/>
          <w:lang w:eastAsia="en-GB"/>
        </w:rPr>
        <w:t>Barnomsorgsutgift</w:t>
      </w:r>
    </w:p>
    <w:p w14:paraId="4DB03764" w14:textId="306A3F79" w:rsidR="00A70DA8" w:rsidRPr="003954D9" w:rsidRDefault="00A70DA8" w:rsidP="00117C0D">
      <w:pPr>
        <w:rPr>
          <w:sz w:val="23"/>
          <w:lang w:eastAsia="en-GB"/>
        </w:rPr>
      </w:pPr>
      <w:r w:rsidRPr="003954D9">
        <w:rPr>
          <w:sz w:val="23"/>
          <w:lang w:eastAsia="en-GB"/>
        </w:rPr>
        <w:t xml:space="preserve">Utgiften beräknas enligt modellen för maxtaxa för samtliga hushåll med barn i åldrarna </w:t>
      </w:r>
      <w:r w:rsidR="00365C66" w:rsidRPr="003954D9">
        <w:rPr>
          <w:sz w:val="23"/>
          <w:lang w:eastAsia="en-GB"/>
        </w:rPr>
        <w:t>2–9</w:t>
      </w:r>
      <w:r w:rsidRPr="003954D9">
        <w:rPr>
          <w:sz w:val="23"/>
          <w:lang w:eastAsia="en-GB"/>
        </w:rPr>
        <w:t xml:space="preserve"> år.</w:t>
      </w:r>
    </w:p>
    <w:p w14:paraId="7C49DD4D" w14:textId="77777777" w:rsidR="00A70DA8" w:rsidRPr="003954D9" w:rsidRDefault="00A70DA8" w:rsidP="00117C0D">
      <w:pPr>
        <w:rPr>
          <w:sz w:val="23"/>
          <w:lang w:eastAsia="en-GB"/>
        </w:rPr>
      </w:pPr>
    </w:p>
    <w:p w14:paraId="38BBDB58" w14:textId="77777777" w:rsidR="00A70DA8" w:rsidRPr="003954D9" w:rsidRDefault="00A70DA8" w:rsidP="00117C0D">
      <w:pPr>
        <w:rPr>
          <w:b/>
          <w:bCs/>
          <w:sz w:val="23"/>
          <w:lang w:eastAsia="en-GB"/>
        </w:rPr>
      </w:pPr>
      <w:r w:rsidRPr="003954D9">
        <w:rPr>
          <w:b/>
          <w:bCs/>
          <w:sz w:val="23"/>
          <w:lang w:eastAsia="en-GB"/>
        </w:rPr>
        <w:t>Lokala resor</w:t>
      </w:r>
    </w:p>
    <w:p w14:paraId="19DA88ED" w14:textId="77777777" w:rsidR="00A70DA8" w:rsidRPr="003954D9" w:rsidRDefault="00A70DA8" w:rsidP="00117C0D">
      <w:pPr>
        <w:rPr>
          <w:sz w:val="23"/>
          <w:lang w:eastAsia="en-GB"/>
        </w:rPr>
      </w:pPr>
      <w:r w:rsidRPr="003954D9">
        <w:rPr>
          <w:sz w:val="23"/>
          <w:lang w:eastAsia="en-GB"/>
        </w:rPr>
        <w:t>Alla personer 18 år eller äldre tilldelas en utgift för lokala resor. Storleken på denna utgift har beräknats genom insamling av uppgifter från olika kommuner som sedan vägs samman.</w:t>
      </w:r>
    </w:p>
    <w:p w14:paraId="6FC3AA49" w14:textId="77777777" w:rsidR="00A70DA8" w:rsidRPr="003954D9" w:rsidRDefault="00A70DA8" w:rsidP="00117C0D">
      <w:pPr>
        <w:rPr>
          <w:sz w:val="23"/>
          <w:lang w:eastAsia="en-GB"/>
        </w:rPr>
      </w:pPr>
    </w:p>
    <w:p w14:paraId="4068A995" w14:textId="77777777" w:rsidR="00A70DA8" w:rsidRPr="003954D9" w:rsidRDefault="00A70DA8" w:rsidP="00117C0D">
      <w:pPr>
        <w:rPr>
          <w:b/>
          <w:bCs/>
          <w:sz w:val="23"/>
          <w:lang w:eastAsia="en-GB"/>
        </w:rPr>
      </w:pPr>
      <w:r w:rsidRPr="003954D9">
        <w:rPr>
          <w:b/>
          <w:bCs/>
          <w:sz w:val="23"/>
          <w:lang w:eastAsia="en-GB"/>
        </w:rPr>
        <w:t>Fack och A-kasseavgift</w:t>
      </w:r>
    </w:p>
    <w:p w14:paraId="0A3E84BC" w14:textId="50A00528" w:rsidR="00A70DA8" w:rsidRPr="003954D9" w:rsidRDefault="00A70DA8" w:rsidP="00117C0D">
      <w:pPr>
        <w:rPr>
          <w:sz w:val="23"/>
          <w:lang w:eastAsia="en-GB"/>
        </w:rPr>
      </w:pPr>
      <w:r w:rsidRPr="003954D9">
        <w:rPr>
          <w:sz w:val="23"/>
          <w:lang w:eastAsia="en-GB"/>
        </w:rPr>
        <w:t xml:space="preserve">Personer som har en anställning och arbetar minst </w:t>
      </w:r>
      <w:r w:rsidR="00F32099" w:rsidRPr="003954D9">
        <w:rPr>
          <w:sz w:val="23"/>
          <w:lang w:eastAsia="en-GB"/>
        </w:rPr>
        <w:t>halv</w:t>
      </w:r>
      <w:r w:rsidRPr="003954D9">
        <w:rPr>
          <w:sz w:val="23"/>
          <w:lang w:eastAsia="en-GB"/>
        </w:rPr>
        <w:t xml:space="preserve">tid tilldelas en utgift för fack och a-kassa. En sammanvägning av olika fackförbund har använts. </w:t>
      </w:r>
    </w:p>
    <w:p w14:paraId="1B76DE57" w14:textId="77777777" w:rsidR="00A70DA8" w:rsidRPr="003954D9" w:rsidRDefault="00A70DA8" w:rsidP="00117C0D">
      <w:pPr>
        <w:rPr>
          <w:sz w:val="23"/>
          <w:lang w:eastAsia="en-GB"/>
        </w:rPr>
      </w:pPr>
    </w:p>
    <w:p w14:paraId="3A3C725E" w14:textId="77777777" w:rsidR="00A70DA8" w:rsidRPr="003954D9" w:rsidRDefault="00A70DA8" w:rsidP="00117C0D">
      <w:pPr>
        <w:rPr>
          <w:b/>
          <w:bCs/>
          <w:sz w:val="23"/>
          <w:lang w:eastAsia="en-GB"/>
        </w:rPr>
      </w:pPr>
      <w:r w:rsidRPr="003954D9">
        <w:rPr>
          <w:b/>
          <w:bCs/>
          <w:sz w:val="23"/>
          <w:lang w:eastAsia="en-GB"/>
        </w:rPr>
        <w:t>Hemförsäkring</w:t>
      </w:r>
    </w:p>
    <w:p w14:paraId="5C3B0F1B" w14:textId="3668A4D0" w:rsidR="00117C0D" w:rsidRPr="003954D9" w:rsidRDefault="00A70DA8" w:rsidP="00117C0D">
      <w:pPr>
        <w:rPr>
          <w:sz w:val="23"/>
        </w:rPr>
      </w:pPr>
      <w:r w:rsidRPr="003954D9">
        <w:rPr>
          <w:sz w:val="23"/>
          <w:lang w:eastAsia="en-GB"/>
        </w:rPr>
        <w:t>Uppgifter har hämtats från Konsumentverket. Utgiften påverkas av antalet hushållsmedlemmar och vilken region man bor i.</w:t>
      </w:r>
    </w:p>
    <w:p w14:paraId="60BF6B4E" w14:textId="77777777" w:rsidR="00117C0D" w:rsidRPr="003954D9" w:rsidRDefault="00117C0D" w:rsidP="00117C0D">
      <w:pPr>
        <w:rPr>
          <w:sz w:val="23"/>
        </w:rPr>
      </w:pPr>
    </w:p>
    <w:p w14:paraId="050EF5D3" w14:textId="77777777" w:rsidR="00A87742" w:rsidRPr="003954D9" w:rsidRDefault="00A87742" w:rsidP="00A87742"/>
    <w:p w14:paraId="4B26275B" w14:textId="77777777" w:rsidR="0069683E" w:rsidRPr="003954D9" w:rsidRDefault="0069683E"/>
    <w:p w14:paraId="0C40C711" w14:textId="77777777" w:rsidR="00A87742" w:rsidRPr="003954D9" w:rsidRDefault="00A87742"/>
    <w:sectPr w:rsidR="00A87742" w:rsidRPr="003954D9" w:rsidSect="0086297C">
      <w:headerReference w:type="even" r:id="rId38"/>
      <w:headerReference w:type="default" r:id="rId39"/>
      <w:footerReference w:type="default" r:id="rId40"/>
      <w:headerReference w:type="first" r:id="rId41"/>
      <w:endnotePr>
        <w:numFmt w:val="decimal"/>
      </w:endnotePr>
      <w:pgSz w:w="11904" w:h="16836"/>
      <w:pgMar w:top="567" w:right="987" w:bottom="567" w:left="1134"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641F5" w14:textId="77777777" w:rsidR="009E0F64" w:rsidRDefault="009E0F64" w:rsidP="00A47BC7">
      <w:r>
        <w:separator/>
      </w:r>
    </w:p>
  </w:endnote>
  <w:endnote w:type="continuationSeparator" w:id="0">
    <w:p w14:paraId="70DD1E59" w14:textId="77777777" w:rsidR="009E0F64" w:rsidRDefault="009E0F64" w:rsidP="00A4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CC4CF" w14:textId="77777777" w:rsidR="009E0F64" w:rsidRDefault="009E0F64"/>
  <w:p w14:paraId="371733DC" w14:textId="77777777" w:rsidR="009E0F64" w:rsidRPr="00841A70" w:rsidRDefault="009E0F64" w:rsidP="008877C3">
    <w:pPr>
      <w:pStyle w:val="Sidfo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1477" w14:textId="77777777" w:rsidR="009E0F64" w:rsidRDefault="009E0F64" w:rsidP="00A47BC7">
      <w:r>
        <w:separator/>
      </w:r>
    </w:p>
  </w:footnote>
  <w:footnote w:type="continuationSeparator" w:id="0">
    <w:p w14:paraId="154FF9C5" w14:textId="77777777" w:rsidR="009E0F64" w:rsidRDefault="009E0F64" w:rsidP="00A47BC7">
      <w:r>
        <w:continuationSeparator/>
      </w:r>
    </w:p>
  </w:footnote>
  <w:footnote w:id="1">
    <w:p w14:paraId="10736C9B" w14:textId="2F906597" w:rsidR="009E0F64" w:rsidRDefault="009E0F64">
      <w:pPr>
        <w:pStyle w:val="Fotnotstext"/>
      </w:pPr>
      <w:r>
        <w:rPr>
          <w:rStyle w:val="Fotnotsreferens"/>
        </w:rPr>
        <w:footnoteRef/>
      </w:r>
      <w:r>
        <w:t xml:space="preserve"> Rädda Barnen: Barnfattigdom i Sverige Årsrapport 2015, s. 58. Siffrorna avser år 2013</w:t>
      </w:r>
    </w:p>
  </w:footnote>
  <w:footnote w:id="2">
    <w:p w14:paraId="4829ECD2" w14:textId="28A1FB88" w:rsidR="009E0F64" w:rsidRPr="00046B36" w:rsidRDefault="009E0F64" w:rsidP="001E04D0">
      <w:pPr>
        <w:rPr>
          <w:i/>
        </w:rPr>
      </w:pPr>
      <w:r w:rsidRPr="00A3000C">
        <w:rPr>
          <w:rStyle w:val="Fotnotsreferens"/>
          <w:i/>
          <w:sz w:val="20"/>
          <w:szCs w:val="20"/>
        </w:rPr>
        <w:footnoteRef/>
      </w:r>
      <w:r w:rsidRPr="00046B36">
        <w:rPr>
          <w:i/>
        </w:rPr>
        <w:t xml:space="preserve"> </w:t>
      </w:r>
      <w:r w:rsidRPr="00A3000C">
        <w:rPr>
          <w:rFonts w:asciiTheme="majorHAnsi" w:eastAsia="Times New Roman" w:hAnsiTheme="majorHAnsi" w:cs="Times New Roman"/>
          <w:color w:val="333333"/>
          <w:sz w:val="20"/>
          <w:szCs w:val="20"/>
          <w:shd w:val="clear" w:color="auto" w:fill="FFFFFF"/>
        </w:rPr>
        <w:t>SCB:s statistikdatabas:</w:t>
      </w:r>
      <w:r>
        <w:rPr>
          <w:rFonts w:asciiTheme="majorHAnsi" w:eastAsia="Times New Roman" w:hAnsiTheme="majorHAnsi" w:cs="Times New Roman"/>
          <w:color w:val="333333"/>
          <w:sz w:val="20"/>
          <w:szCs w:val="20"/>
          <w:shd w:val="clear" w:color="auto" w:fill="FFFFFF"/>
        </w:rPr>
        <w:t xml:space="preserve"> </w:t>
      </w:r>
      <w:r w:rsidRPr="00A3000C">
        <w:rPr>
          <w:rFonts w:asciiTheme="majorHAnsi" w:eastAsia="Times New Roman" w:hAnsiTheme="majorHAnsi" w:cs="Times New Roman"/>
          <w:color w:val="333333"/>
          <w:sz w:val="20"/>
          <w:szCs w:val="20"/>
          <w:shd w:val="clear" w:color="auto" w:fill="FFFFFF"/>
        </w:rPr>
        <w:t>Disponibel inkomst för hushåll efter region, hushållstyp och ålder. År 2011 – 2014 och Disponibel inkomst per konsumtionsenhet för personer efter region, upplåtelseform, ålder och hushållstyp. År 2012 – 2014</w:t>
      </w:r>
    </w:p>
  </w:footnote>
  <w:footnote w:id="3">
    <w:p w14:paraId="54C85B83" w14:textId="693B654C" w:rsidR="009E0F64" w:rsidRPr="00A3000C" w:rsidRDefault="009E0F64" w:rsidP="001E04D0">
      <w:pPr>
        <w:rPr>
          <w:rFonts w:asciiTheme="majorHAnsi" w:eastAsia="Times New Roman" w:hAnsiTheme="majorHAnsi" w:cs="Times New Roman"/>
          <w:sz w:val="20"/>
          <w:szCs w:val="20"/>
        </w:rPr>
      </w:pPr>
      <w:r w:rsidRPr="00A3000C">
        <w:rPr>
          <w:rStyle w:val="Fotnotsreferens"/>
          <w:i/>
          <w:sz w:val="20"/>
          <w:szCs w:val="20"/>
        </w:rPr>
        <w:footnoteRef/>
      </w:r>
      <w:r w:rsidRPr="00A3000C">
        <w:rPr>
          <w:i/>
        </w:rPr>
        <w:t xml:space="preserve"> </w:t>
      </w:r>
      <w:r w:rsidRPr="00A3000C">
        <w:rPr>
          <w:rFonts w:asciiTheme="majorHAnsi" w:eastAsia="Times New Roman" w:hAnsiTheme="majorHAnsi" w:cs="Times New Roman"/>
          <w:color w:val="333333"/>
          <w:sz w:val="20"/>
          <w:szCs w:val="20"/>
          <w:shd w:val="clear" w:color="auto" w:fill="FFFFFF"/>
        </w:rPr>
        <w:t>Den disponibla inkomsten divideras med den konsumtionsvikt som gäller för hushållet</w:t>
      </w:r>
      <w:r>
        <w:rPr>
          <w:rFonts w:asciiTheme="majorHAnsi" w:eastAsia="Times New Roman" w:hAnsiTheme="majorHAnsi" w:cs="Times New Roman"/>
          <w:color w:val="333333"/>
          <w:sz w:val="20"/>
          <w:szCs w:val="20"/>
          <w:shd w:val="clear" w:color="auto" w:fill="FFFFFF"/>
        </w:rPr>
        <w:t>: e</w:t>
      </w:r>
      <w:r w:rsidRPr="00A3000C">
        <w:rPr>
          <w:rFonts w:asciiTheme="majorHAnsi" w:eastAsia="Times New Roman" w:hAnsiTheme="majorHAnsi" w:cs="Times New Roman"/>
          <w:color w:val="333333"/>
          <w:sz w:val="20"/>
          <w:szCs w:val="20"/>
          <w:shd w:val="clear" w:color="auto" w:fill="FFFFFF"/>
        </w:rPr>
        <w:t>nsamboende 1,00</w:t>
      </w:r>
      <w:r>
        <w:rPr>
          <w:rFonts w:asciiTheme="majorHAnsi" w:eastAsia="Times New Roman" w:hAnsiTheme="majorHAnsi" w:cs="Times New Roman"/>
          <w:color w:val="333333"/>
          <w:sz w:val="20"/>
          <w:szCs w:val="20"/>
          <w:shd w:val="clear" w:color="auto" w:fill="FFFFFF"/>
        </w:rPr>
        <w:t>, s</w:t>
      </w:r>
      <w:r w:rsidRPr="00A3000C">
        <w:rPr>
          <w:rFonts w:asciiTheme="majorHAnsi" w:eastAsia="Times New Roman" w:hAnsiTheme="majorHAnsi" w:cs="Times New Roman"/>
          <w:color w:val="333333"/>
          <w:sz w:val="20"/>
          <w:szCs w:val="20"/>
          <w:shd w:val="clear" w:color="auto" w:fill="FFFFFF"/>
        </w:rPr>
        <w:t>ammanboende par 1,51</w:t>
      </w:r>
      <w:r>
        <w:rPr>
          <w:rFonts w:asciiTheme="majorHAnsi" w:eastAsia="Times New Roman" w:hAnsiTheme="majorHAnsi" w:cs="Times New Roman"/>
          <w:color w:val="333333"/>
          <w:sz w:val="20"/>
          <w:szCs w:val="20"/>
          <w:shd w:val="clear" w:color="auto" w:fill="FFFFFF"/>
        </w:rPr>
        <w:t>, y</w:t>
      </w:r>
      <w:r w:rsidRPr="00A3000C">
        <w:rPr>
          <w:rFonts w:asciiTheme="majorHAnsi" w:eastAsia="Times New Roman" w:hAnsiTheme="majorHAnsi" w:cs="Times New Roman"/>
          <w:color w:val="333333"/>
          <w:sz w:val="20"/>
          <w:szCs w:val="20"/>
          <w:shd w:val="clear" w:color="auto" w:fill="FFFFFF"/>
        </w:rPr>
        <w:t>tterligare vuxen 0,60</w:t>
      </w:r>
      <w:r>
        <w:rPr>
          <w:rFonts w:asciiTheme="majorHAnsi" w:eastAsia="Times New Roman" w:hAnsiTheme="majorHAnsi" w:cs="Times New Roman"/>
          <w:color w:val="333333"/>
          <w:sz w:val="20"/>
          <w:szCs w:val="20"/>
          <w:shd w:val="clear" w:color="auto" w:fill="FFFFFF"/>
        </w:rPr>
        <w:t>, f</w:t>
      </w:r>
      <w:r w:rsidRPr="00A3000C">
        <w:rPr>
          <w:rFonts w:asciiTheme="majorHAnsi" w:eastAsia="Times New Roman" w:hAnsiTheme="majorHAnsi" w:cs="Times New Roman"/>
          <w:color w:val="333333"/>
          <w:sz w:val="20"/>
          <w:szCs w:val="20"/>
          <w:shd w:val="clear" w:color="auto" w:fill="FFFFFF"/>
        </w:rPr>
        <w:t>örsta barnet 0–19 år 0,52</w:t>
      </w:r>
      <w:r>
        <w:rPr>
          <w:rFonts w:asciiTheme="majorHAnsi" w:eastAsia="Times New Roman" w:hAnsiTheme="majorHAnsi" w:cs="Times New Roman"/>
          <w:color w:val="333333"/>
          <w:sz w:val="20"/>
          <w:szCs w:val="20"/>
          <w:shd w:val="clear" w:color="auto" w:fill="FFFFFF"/>
        </w:rPr>
        <w:t>, a</w:t>
      </w:r>
      <w:r w:rsidRPr="00A3000C">
        <w:rPr>
          <w:rFonts w:asciiTheme="majorHAnsi" w:eastAsia="Times New Roman" w:hAnsiTheme="majorHAnsi" w:cs="Times New Roman"/>
          <w:color w:val="333333"/>
          <w:sz w:val="20"/>
          <w:szCs w:val="20"/>
          <w:shd w:val="clear" w:color="auto" w:fill="FFFFFF"/>
        </w:rPr>
        <w:t>ndra och påföljande barn 0–19 år 0,42</w:t>
      </w:r>
    </w:p>
    <w:p w14:paraId="73EC22D8" w14:textId="6B05B39C" w:rsidR="009E0F64" w:rsidRPr="00A3000C" w:rsidRDefault="009E0F64">
      <w:pPr>
        <w:pStyle w:val="Fotnotstext"/>
        <w:rPr>
          <w:i/>
        </w:rPr>
      </w:pPr>
    </w:p>
  </w:footnote>
  <w:footnote w:id="4">
    <w:p w14:paraId="7B821994" w14:textId="3B0D0771" w:rsidR="009E0F64" w:rsidRDefault="009E0F64">
      <w:pPr>
        <w:pStyle w:val="Fotnotstext"/>
      </w:pPr>
      <w:r>
        <w:rPr>
          <w:rStyle w:val="Fotnotsreferens"/>
        </w:rPr>
        <w:footnoteRef/>
      </w:r>
      <w:r>
        <w:t xml:space="preserve"> 1 rok= 1 rum och kök, 1 rokv= 1 rum och kokvrå, 2 rok= 2 rum och kök, 2 rokv= 2 rum och kokvrå, 3 rok= 3 rum och kök, 4 rok= 4 rum och kök, 5- rok= 5 rum och kök eller större.</w:t>
      </w:r>
    </w:p>
  </w:footnote>
  <w:footnote w:id="5">
    <w:p w14:paraId="6EC8DAE5" w14:textId="4206A46D" w:rsidR="009E0F64" w:rsidRPr="00EB1393" w:rsidRDefault="009E0F64" w:rsidP="008D711B">
      <w:pPr>
        <w:pStyle w:val="Rubrik1"/>
        <w:shd w:val="clear" w:color="auto" w:fill="FFFFFF"/>
        <w:spacing w:before="0"/>
        <w:textAlignment w:val="baseline"/>
        <w:rPr>
          <w:rFonts w:eastAsia="Times New Roman" w:cs="Times New Roman"/>
          <w:bCs w:val="0"/>
          <w:color w:val="333333"/>
          <w:sz w:val="20"/>
          <w:szCs w:val="20"/>
          <w:bdr w:val="none" w:sz="0" w:space="0" w:color="auto" w:frame="1"/>
        </w:rPr>
      </w:pPr>
      <w:r w:rsidRPr="005F3286">
        <w:rPr>
          <w:rStyle w:val="Fotnotsreferens"/>
          <w:b/>
          <w:i/>
          <w:sz w:val="20"/>
          <w:szCs w:val="20"/>
        </w:rPr>
        <w:footnoteRef/>
      </w:r>
      <w:r w:rsidRPr="005F3286">
        <w:rPr>
          <w:b/>
          <w:sz w:val="20"/>
          <w:szCs w:val="20"/>
        </w:rPr>
        <w:t xml:space="preserve"> </w:t>
      </w:r>
      <w:r w:rsidRPr="00EB1393">
        <w:rPr>
          <w:sz w:val="20"/>
          <w:szCs w:val="20"/>
        </w:rPr>
        <w:t xml:space="preserve">SCB </w:t>
      </w:r>
      <w:r w:rsidRPr="00EB1393">
        <w:rPr>
          <w:rFonts w:eastAsia="Times New Roman" w:cs="Times New Roman"/>
          <w:bCs w:val="0"/>
          <w:color w:val="333333"/>
          <w:sz w:val="20"/>
          <w:szCs w:val="20"/>
          <w:bdr w:val="none" w:sz="0" w:space="0" w:color="auto" w:frame="1"/>
        </w:rPr>
        <w:t>Hyresgäster – tjänar mindre, betalar mer (http://www.scb.se/sv_/Hitta-statistik/Artiklar/Hyresgaster--tjanar-mindre-betalar-mer/)</w:t>
      </w:r>
    </w:p>
  </w:footnote>
  <w:footnote w:id="6">
    <w:p w14:paraId="1BDB5AAB" w14:textId="2947C96A" w:rsidR="009E0F64" w:rsidRPr="00EB1393" w:rsidRDefault="009E0F64" w:rsidP="008D711B">
      <w:pPr>
        <w:pStyle w:val="Rubrik1"/>
        <w:shd w:val="clear" w:color="auto" w:fill="FFFFFF"/>
        <w:spacing w:before="0"/>
        <w:textAlignment w:val="baseline"/>
        <w:rPr>
          <w:rFonts w:eastAsia="Times New Roman" w:cs="Times New Roman"/>
          <w:bCs w:val="0"/>
          <w:color w:val="333333"/>
          <w:sz w:val="20"/>
          <w:szCs w:val="20"/>
          <w:bdr w:val="none" w:sz="0" w:space="0" w:color="auto" w:frame="1"/>
        </w:rPr>
      </w:pPr>
      <w:r w:rsidRPr="00EB1393">
        <w:rPr>
          <w:rStyle w:val="Fotnotsreferens"/>
          <w:rFonts w:hint="eastAsia"/>
          <w:i/>
          <w:sz w:val="20"/>
          <w:szCs w:val="20"/>
        </w:rPr>
        <w:footnoteRef/>
      </w:r>
      <w:r w:rsidRPr="00EB1393">
        <w:rPr>
          <w:rStyle w:val="Fotnotsreferens"/>
          <w:rFonts w:hint="eastAsia"/>
          <w:i/>
          <w:sz w:val="20"/>
          <w:szCs w:val="20"/>
        </w:rPr>
        <w:t xml:space="preserve"> </w:t>
      </w:r>
      <w:r w:rsidRPr="00EB1393">
        <w:rPr>
          <w:rFonts w:eastAsia="Times New Roman" w:cs="Times New Roman"/>
          <w:bCs w:val="0"/>
          <w:color w:val="333333"/>
          <w:sz w:val="20"/>
          <w:szCs w:val="20"/>
          <w:bdr w:val="none" w:sz="0" w:space="0" w:color="auto" w:frame="1"/>
        </w:rPr>
        <w:t xml:space="preserve">Balanserade ekonomiska villkor – En skattereform för hyresrätten, SABO, Fastighetsägarna och Hyresgästföreningen, 2010 </w:t>
      </w:r>
    </w:p>
    <w:p w14:paraId="42CADAAA" w14:textId="01F257C2" w:rsidR="009E0F64" w:rsidRPr="00DF572C" w:rsidRDefault="009E0F64" w:rsidP="00DF572C">
      <w:pPr>
        <w:pStyle w:val="Rubrik1"/>
        <w:shd w:val="clear" w:color="auto" w:fill="FFFFFF"/>
        <w:spacing w:before="0" w:line="330" w:lineRule="atLeast"/>
        <w:textAlignment w:val="baseline"/>
        <w:rPr>
          <w:rFonts w:eastAsia="Times New Roman" w:cs="Times New Roman"/>
          <w:b/>
          <w:bCs w:val="0"/>
          <w:color w:val="333333"/>
          <w:sz w:val="20"/>
          <w:szCs w:val="20"/>
          <w:bdr w:val="none" w:sz="0" w:space="0" w:color="auto" w:frame="1"/>
        </w:rPr>
      </w:pPr>
    </w:p>
  </w:footnote>
  <w:footnote w:id="7">
    <w:p w14:paraId="48286978" w14:textId="68FC36CD" w:rsidR="009E0F64" w:rsidRPr="00261572" w:rsidRDefault="009E0F64" w:rsidP="00261572">
      <w:pPr>
        <w:rPr>
          <w:rFonts w:asciiTheme="majorHAnsi" w:hAnsiTheme="majorHAnsi"/>
          <w:sz w:val="20"/>
          <w:szCs w:val="20"/>
        </w:rPr>
      </w:pPr>
      <w:r w:rsidRPr="00261572">
        <w:rPr>
          <w:rStyle w:val="Fotnotsreferens"/>
          <w:rFonts w:asciiTheme="majorHAnsi" w:hAnsiTheme="majorHAnsi"/>
          <w:i/>
          <w:sz w:val="20"/>
          <w:szCs w:val="20"/>
        </w:rPr>
        <w:footnoteRef/>
      </w:r>
      <w:r>
        <w:rPr>
          <w:rFonts w:asciiTheme="majorHAnsi" w:hAnsiTheme="majorHAnsi"/>
          <w:i/>
          <w:sz w:val="20"/>
          <w:szCs w:val="20"/>
          <w:vertAlign w:val="superscript"/>
        </w:rPr>
        <w:t xml:space="preserve"> o </w:t>
      </w:r>
      <w:r w:rsidRPr="00261572">
        <w:rPr>
          <w:rFonts w:asciiTheme="majorHAnsi" w:hAnsiTheme="majorHAnsi"/>
          <w:i/>
          <w:sz w:val="20"/>
          <w:szCs w:val="20"/>
          <w:vertAlign w:val="superscript"/>
        </w:rPr>
        <w:t>5</w:t>
      </w:r>
      <w:r w:rsidRPr="00261572">
        <w:rPr>
          <w:rFonts w:asciiTheme="majorHAnsi" w:hAnsiTheme="majorHAnsi"/>
          <w:i/>
          <w:sz w:val="20"/>
          <w:szCs w:val="20"/>
        </w:rPr>
        <w:t xml:space="preserve"> </w:t>
      </w:r>
      <w:r w:rsidRPr="00261572">
        <w:rPr>
          <w:rFonts w:asciiTheme="majorHAnsi" w:hAnsiTheme="majorHAnsi"/>
          <w:sz w:val="20"/>
          <w:szCs w:val="20"/>
        </w:rPr>
        <w:t>Av integritetsskäl anger inte SCB andelen när antalet i gruppen blir för litet.</w:t>
      </w:r>
    </w:p>
    <w:p w14:paraId="31E6B544" w14:textId="6751CCBD" w:rsidR="009E0F64" w:rsidRDefault="009E0F64">
      <w:pPr>
        <w:pStyle w:val="Fotnotstext"/>
      </w:pPr>
    </w:p>
  </w:footnote>
  <w:footnote w:id="8">
    <w:p w14:paraId="1D70B5B7" w14:textId="72D8256F" w:rsidR="009E0F64" w:rsidRDefault="009E0F64">
      <w:pPr>
        <w:pStyle w:val="Fotnotstext"/>
      </w:pPr>
      <w:r w:rsidRPr="007656C8">
        <w:rPr>
          <w:rStyle w:val="Fotnotsreferens"/>
          <w:i/>
        </w:rPr>
        <w:footnoteRef/>
      </w:r>
      <w:r w:rsidRPr="007656C8">
        <w:rPr>
          <w:i/>
        </w:rPr>
        <w:t xml:space="preserve"> </w:t>
      </w:r>
      <w:r w:rsidRPr="00261572">
        <w:rPr>
          <w:rFonts w:asciiTheme="majorHAnsi" w:hAnsiTheme="majorHAnsi"/>
        </w:rPr>
        <w:t>Av integritetsskäl anger inte SCB andelen när antalet i gruppen blir för litet.</w:t>
      </w:r>
    </w:p>
  </w:footnote>
  <w:footnote w:id="9">
    <w:p w14:paraId="4D79EBD3" w14:textId="58D91693" w:rsidR="009E0F64" w:rsidRPr="006F289F" w:rsidRDefault="009E0F64" w:rsidP="00264DD1">
      <w:pPr>
        <w:pStyle w:val="Fotnotstext"/>
      </w:pPr>
      <w:r w:rsidRPr="006F289F">
        <w:rPr>
          <w:rStyle w:val="Fotnotsreferens"/>
        </w:rPr>
        <w:footnoteRef/>
      </w:r>
      <w:r w:rsidRPr="006F289F">
        <w:t xml:space="preserve"> Försäkringskassan: Vägledning 2004:10 Version 10 s. 96</w:t>
      </w:r>
      <w:r>
        <w:t xml:space="preserve"> </w:t>
      </w:r>
      <w:r w:rsidRPr="006F289F">
        <w:t>-</w:t>
      </w:r>
      <w:r>
        <w:t xml:space="preserve"> </w:t>
      </w:r>
      <w:r w:rsidRPr="006F289F">
        <w:t>97</w:t>
      </w:r>
    </w:p>
  </w:footnote>
  <w:footnote w:id="10">
    <w:p w14:paraId="5958D65E" w14:textId="77777777" w:rsidR="009E0F64" w:rsidRDefault="009E0F64" w:rsidP="00264DD1">
      <w:pPr>
        <w:pStyle w:val="Fotnotstext"/>
      </w:pPr>
      <w:r>
        <w:rPr>
          <w:rStyle w:val="Fotnotsreferens"/>
        </w:rPr>
        <w:footnoteRef/>
      </w:r>
      <w:r>
        <w:t xml:space="preserve"> Pensionsmyndighetens hemsida</w:t>
      </w:r>
    </w:p>
  </w:footnote>
  <w:footnote w:id="11">
    <w:p w14:paraId="18E4C1B8" w14:textId="77777777" w:rsidR="009E0F64" w:rsidRDefault="009E0F64" w:rsidP="00CE29A8">
      <w:r w:rsidRPr="002D458D">
        <w:rPr>
          <w:rStyle w:val="Fotnotsreferens"/>
          <w:i/>
          <w:sz w:val="20"/>
          <w:szCs w:val="20"/>
        </w:rPr>
        <w:footnoteRef/>
      </w:r>
      <w:r w:rsidRPr="002D458D">
        <w:rPr>
          <w:rFonts w:asciiTheme="majorHAnsi" w:hAnsiTheme="majorHAnsi"/>
          <w:i/>
          <w:sz w:val="20"/>
          <w:szCs w:val="20"/>
          <w:vertAlign w:val="superscript"/>
        </w:rPr>
        <w:t xml:space="preserve"> </w:t>
      </w:r>
      <w:r w:rsidRPr="002D458D">
        <w:rPr>
          <w:rFonts w:asciiTheme="majorHAnsi" w:eastAsia="Times New Roman" w:hAnsiTheme="majorHAnsi" w:cs="Times New Roman"/>
          <w:i/>
          <w:sz w:val="20"/>
          <w:szCs w:val="20"/>
        </w:rPr>
        <w:t>Uppföljning ekonomiskt bistånd, arbetsmarknad och vuxenutbildning per augusti 2014</w:t>
      </w:r>
      <w:r w:rsidRPr="002D458D">
        <w:rPr>
          <w:rFonts w:asciiTheme="majorHAnsi" w:eastAsia="Times New Roman" w:hAnsiTheme="majorHAnsi" w:cs="Times New Roman"/>
          <w:sz w:val="20"/>
          <w:szCs w:val="20"/>
        </w:rPr>
        <w:t>, Tobias Åström Sinisalo, Uppsala kommun, 2014</w:t>
      </w:r>
    </w:p>
  </w:footnote>
  <w:footnote w:id="12">
    <w:p w14:paraId="16032E91" w14:textId="77777777" w:rsidR="009E0F64" w:rsidRDefault="009E0F64" w:rsidP="00777212">
      <w:pPr>
        <w:pStyle w:val="Fotnotstext"/>
      </w:pPr>
      <w:r w:rsidRPr="0057321C">
        <w:rPr>
          <w:rStyle w:val="Fotnotsreferens"/>
          <w:i/>
        </w:rPr>
        <w:footnoteRef/>
      </w:r>
      <w:r>
        <w:t xml:space="preserve"> </w:t>
      </w:r>
      <w:r w:rsidRPr="003B678A">
        <w:rPr>
          <w:rFonts w:ascii="Calibri" w:hAnsi="Calibri" w:cs="Calibri"/>
        </w:rPr>
        <w:t>Boverket Rapport 2014:34 Flyttmönster till följd av omfattande renoveringar</w:t>
      </w:r>
    </w:p>
  </w:footnote>
  <w:footnote w:id="13">
    <w:p w14:paraId="064E8C2C" w14:textId="7F03C96D" w:rsidR="009E0F64" w:rsidRPr="00860977" w:rsidRDefault="009E0F64" w:rsidP="00B97EC4">
      <w:pPr>
        <w:widowControl w:val="0"/>
        <w:autoSpaceDE w:val="0"/>
        <w:autoSpaceDN w:val="0"/>
        <w:adjustRightInd w:val="0"/>
        <w:spacing w:line="1100" w:lineRule="atLeast"/>
        <w:rPr>
          <w:rFonts w:asciiTheme="majorHAnsi" w:hAnsiTheme="majorHAnsi" w:cs="Times New Roman"/>
          <w:i/>
        </w:rPr>
      </w:pPr>
      <w:r w:rsidRPr="003C67E4">
        <w:rPr>
          <w:rFonts w:asciiTheme="majorHAnsi" w:hAnsiTheme="majorHAnsi" w:cs="Times New Roman"/>
          <w:i/>
          <w:sz w:val="20"/>
          <w:szCs w:val="20"/>
          <w:vertAlign w:val="superscript"/>
        </w:rPr>
        <w:footnoteRef/>
      </w:r>
      <w:r w:rsidRPr="00860977">
        <w:rPr>
          <w:rFonts w:asciiTheme="majorHAnsi" w:hAnsiTheme="majorHAnsi" w:cs="Times New Roman"/>
          <w:i/>
        </w:rPr>
        <w:t xml:space="preserve"> </w:t>
      </w:r>
      <w:r w:rsidRPr="003C67E4">
        <w:rPr>
          <w:rFonts w:asciiTheme="majorHAnsi" w:hAnsiTheme="majorHAnsi" w:cs="Times New Roman"/>
          <w:sz w:val="20"/>
          <w:szCs w:val="20"/>
        </w:rPr>
        <w:t xml:space="preserve">Hyresgästföreningens hyresdatabas och </w:t>
      </w:r>
      <w:r w:rsidRPr="003C67E4">
        <w:rPr>
          <w:rFonts w:asciiTheme="majorHAnsi" w:hAnsiTheme="majorHAnsi" w:cs="Times New Roman"/>
          <w:i/>
          <w:sz w:val="20"/>
          <w:szCs w:val="20"/>
        </w:rPr>
        <w:t>Hållbar ombyggnad – enda vägen framåt</w:t>
      </w:r>
      <w:r>
        <w:rPr>
          <w:rFonts w:asciiTheme="majorHAnsi" w:hAnsiTheme="majorHAnsi" w:cs="Times New Roman"/>
          <w:i/>
          <w:sz w:val="20"/>
          <w:szCs w:val="20"/>
        </w:rPr>
        <w:t xml:space="preserve">, </w:t>
      </w:r>
      <w:r>
        <w:rPr>
          <w:rFonts w:asciiTheme="majorHAnsi" w:hAnsiTheme="majorHAnsi" w:cs="Times New Roman"/>
          <w:sz w:val="20"/>
          <w:szCs w:val="20"/>
        </w:rPr>
        <w:t>Hyresgästföreningen 2015</w:t>
      </w:r>
    </w:p>
  </w:footnote>
  <w:footnote w:id="14">
    <w:p w14:paraId="44BBE0D7" w14:textId="73093B95" w:rsidR="009E0F64" w:rsidRDefault="009E0F64" w:rsidP="00B97EC4">
      <w:pPr>
        <w:widowControl w:val="0"/>
        <w:autoSpaceDE w:val="0"/>
        <w:autoSpaceDN w:val="0"/>
        <w:adjustRightInd w:val="0"/>
      </w:pPr>
      <w:r w:rsidRPr="00863929">
        <w:rPr>
          <w:rStyle w:val="Fotnotsreferens"/>
          <w:sz w:val="20"/>
          <w:szCs w:val="20"/>
        </w:rPr>
        <w:footnoteRef/>
      </w:r>
      <w:r w:rsidRPr="00863929">
        <w:rPr>
          <w:rFonts w:asciiTheme="majorHAnsi" w:hAnsiTheme="majorHAnsi" w:cs="Times New Roman"/>
          <w:i/>
          <w:sz w:val="20"/>
          <w:szCs w:val="20"/>
        </w:rPr>
        <w:t>Så mycket höjs hyran vid renovering</w:t>
      </w:r>
      <w:r w:rsidRPr="00863929">
        <w:rPr>
          <w:rFonts w:asciiTheme="majorHAnsi" w:hAnsiTheme="majorHAnsi" w:cs="Times New Roman"/>
          <w:sz w:val="20"/>
          <w:szCs w:val="20"/>
        </w:rPr>
        <w:t>, Hem &amp; Hyra, 2013</w:t>
      </w:r>
    </w:p>
  </w:footnote>
  <w:footnote w:id="15">
    <w:p w14:paraId="76AD6F9E" w14:textId="77777777" w:rsidR="009E0F64" w:rsidRDefault="009E0F64" w:rsidP="00B136D0">
      <w:pPr>
        <w:pStyle w:val="Fotnotstext"/>
      </w:pPr>
      <w:r w:rsidRPr="00D61A70">
        <w:rPr>
          <w:rStyle w:val="Fotnotsreferens"/>
        </w:rPr>
        <w:footnoteRef/>
      </w:r>
      <w:r w:rsidRPr="00D61A70">
        <w:rPr>
          <w:rFonts w:asciiTheme="majorHAnsi" w:hAnsiTheme="majorHAnsi"/>
        </w:rPr>
        <w:t xml:space="preserve"> </w:t>
      </w:r>
      <w:r w:rsidRPr="00863929">
        <w:rPr>
          <w:rFonts w:asciiTheme="majorHAnsi" w:hAnsiTheme="majorHAnsi" w:cs="Times New Roman"/>
          <w:i/>
        </w:rPr>
        <w:t>Så mycket höjs hyran vid renovering</w:t>
      </w:r>
      <w:r w:rsidRPr="00863929">
        <w:rPr>
          <w:rFonts w:asciiTheme="majorHAnsi" w:hAnsiTheme="majorHAnsi" w:cs="Times New Roman"/>
        </w:rPr>
        <w:t>, Hem &amp; Hyra, 2013</w:t>
      </w:r>
    </w:p>
  </w:footnote>
  <w:footnote w:id="16">
    <w:p w14:paraId="76A00698" w14:textId="77777777" w:rsidR="009E0F64" w:rsidRPr="008802F2" w:rsidRDefault="009E0F64" w:rsidP="00B136D0">
      <w:pPr>
        <w:pStyle w:val="Fotnotstext"/>
        <w:rPr>
          <w:rFonts w:asciiTheme="majorHAnsi" w:hAnsiTheme="majorHAnsi" w:cs="Times New Roman"/>
          <w:i/>
        </w:rPr>
      </w:pPr>
      <w:r w:rsidRPr="008802F2">
        <w:rPr>
          <w:rFonts w:asciiTheme="majorHAnsi" w:hAnsiTheme="majorHAnsi" w:cs="Times New Roman"/>
          <w:i/>
          <w:vertAlign w:val="superscript"/>
        </w:rPr>
        <w:footnoteRef/>
      </w:r>
      <w:r w:rsidRPr="008802F2">
        <w:rPr>
          <w:rFonts w:asciiTheme="majorHAnsi" w:hAnsiTheme="majorHAnsi" w:cs="Times New Roman"/>
          <w:i/>
        </w:rPr>
        <w:t xml:space="preserve"> Hyresnämnden ger Stena Fastigheter rätt att chockhöja hyror, Hem &amp; Hyra, 2014</w:t>
      </w:r>
    </w:p>
  </w:footnote>
  <w:footnote w:id="17">
    <w:p w14:paraId="7429DB58" w14:textId="77777777" w:rsidR="009E0F64" w:rsidRPr="008802F2" w:rsidRDefault="009E0F64" w:rsidP="00B136D0">
      <w:pPr>
        <w:pStyle w:val="Fotnotstext"/>
        <w:rPr>
          <w:rFonts w:asciiTheme="majorHAnsi" w:hAnsiTheme="majorHAnsi" w:cs="Times New Roman"/>
        </w:rPr>
      </w:pPr>
      <w:r w:rsidRPr="008802F2">
        <w:rPr>
          <w:rFonts w:asciiTheme="majorHAnsi" w:hAnsiTheme="majorHAnsi" w:cs="Times New Roman"/>
          <w:vertAlign w:val="superscript"/>
        </w:rPr>
        <w:footnoteRef/>
      </w:r>
      <w:r w:rsidRPr="008802F2">
        <w:rPr>
          <w:rFonts w:asciiTheme="majorHAnsi" w:hAnsiTheme="majorHAnsi" w:cs="Times New Roman"/>
        </w:rPr>
        <w:t xml:space="preserve"> </w:t>
      </w:r>
      <w:r w:rsidRPr="008802F2">
        <w:rPr>
          <w:rFonts w:asciiTheme="majorHAnsi" w:hAnsiTheme="majorHAnsi" w:cs="Times New Roman"/>
          <w:i/>
        </w:rPr>
        <w:t>Faktablad</w:t>
      </w:r>
      <w:r w:rsidRPr="008802F2">
        <w:rPr>
          <w:rFonts w:asciiTheme="majorHAnsi" w:hAnsiTheme="majorHAnsi" w:cs="Times New Roman"/>
        </w:rPr>
        <w:t>, Nätverket för hyresgästernas boendetrygghet, 2014</w:t>
      </w:r>
    </w:p>
  </w:footnote>
  <w:footnote w:id="18">
    <w:p w14:paraId="0C2CC6BD" w14:textId="016CA1B0" w:rsidR="009E0F64" w:rsidRPr="00C32B4A" w:rsidRDefault="009E0F64" w:rsidP="00996319">
      <w:pPr>
        <w:pStyle w:val="Fotnotstext"/>
        <w:rPr>
          <w:rFonts w:asciiTheme="majorHAnsi" w:hAnsiTheme="majorHAnsi" w:cs="Times New Roman"/>
          <w:i/>
        </w:rPr>
      </w:pPr>
      <w:r w:rsidRPr="007E7FBE">
        <w:rPr>
          <w:rFonts w:asciiTheme="majorHAnsi" w:hAnsiTheme="majorHAnsi" w:cs="Times New Roman"/>
          <w:i/>
          <w:vertAlign w:val="superscript"/>
        </w:rPr>
        <w:footnoteRef/>
      </w:r>
      <w:r w:rsidRPr="00863929">
        <w:rPr>
          <w:rFonts w:asciiTheme="majorHAnsi" w:hAnsiTheme="majorHAnsi" w:cs="Times New Roman"/>
        </w:rPr>
        <w:t xml:space="preserve"> </w:t>
      </w:r>
      <w:r w:rsidRPr="00C32B4A">
        <w:rPr>
          <w:rFonts w:asciiTheme="majorHAnsi" w:hAnsiTheme="majorHAnsi" w:cs="Times New Roman"/>
          <w:i/>
        </w:rPr>
        <w:t>BO 39 SM 1501. Hyror i bostadslägenheter 2014</w:t>
      </w:r>
      <w:r>
        <w:rPr>
          <w:rFonts w:asciiTheme="majorHAnsi" w:hAnsiTheme="majorHAnsi" w:cs="Times New Roman"/>
          <w:i/>
        </w:rPr>
        <w:t xml:space="preserve">, </w:t>
      </w:r>
      <w:r>
        <w:rPr>
          <w:rFonts w:asciiTheme="majorHAnsi" w:hAnsiTheme="majorHAnsi" w:cs="Times New Roman"/>
        </w:rPr>
        <w:t xml:space="preserve">SCB </w:t>
      </w:r>
    </w:p>
  </w:footnote>
  <w:footnote w:id="19">
    <w:p w14:paraId="40C0E76D" w14:textId="24C970D9" w:rsidR="009E0F64" w:rsidRDefault="009E0F64">
      <w:pPr>
        <w:pStyle w:val="Fotnotstext"/>
      </w:pPr>
      <w:r w:rsidRPr="007E7FBE">
        <w:rPr>
          <w:rStyle w:val="Fotnotsreferens"/>
          <w:i/>
        </w:rPr>
        <w:footnoteRef/>
      </w:r>
      <w:r>
        <w:t xml:space="preserve"> </w:t>
      </w:r>
      <w:r w:rsidRPr="000A57A4">
        <w:rPr>
          <w:rFonts w:ascii="Calibri" w:hAnsi="Calibri" w:cs="Calibri"/>
          <w:i/>
        </w:rPr>
        <w:t>Flyttmönster till följd av omfattande renoveringar</w:t>
      </w:r>
      <w:r>
        <w:rPr>
          <w:rFonts w:ascii="Calibri" w:hAnsi="Calibri" w:cs="Calibri"/>
        </w:rPr>
        <w:t xml:space="preserve">, </w:t>
      </w:r>
      <w:r w:rsidRPr="003B678A">
        <w:rPr>
          <w:rFonts w:ascii="Calibri" w:hAnsi="Calibri" w:cs="Calibri"/>
        </w:rPr>
        <w:t>Boverket</w:t>
      </w:r>
      <w:r>
        <w:rPr>
          <w:rFonts w:ascii="Calibri" w:hAnsi="Calibri" w:cs="Calibri"/>
        </w:rPr>
        <w:t>,</w:t>
      </w:r>
      <w:r w:rsidRPr="003B678A">
        <w:rPr>
          <w:rFonts w:ascii="Calibri" w:hAnsi="Calibri" w:cs="Calibri"/>
        </w:rPr>
        <w:t xml:space="preserve"> Rapport</w:t>
      </w:r>
    </w:p>
  </w:footnote>
  <w:footnote w:id="20">
    <w:p w14:paraId="12C1AE1F" w14:textId="3BE581F9" w:rsidR="009E0F64" w:rsidRDefault="009E0F64" w:rsidP="002B6AAB">
      <w:pPr>
        <w:pStyle w:val="Fotnotstext"/>
      </w:pPr>
      <w:r w:rsidRPr="006A63C7">
        <w:rPr>
          <w:rStyle w:val="Fotnotsreferens"/>
          <w:i/>
        </w:rPr>
        <w:footnoteRef/>
      </w:r>
      <w:r>
        <w:t xml:space="preserve"> </w:t>
      </w:r>
      <w:r w:rsidRPr="003B678A">
        <w:rPr>
          <w:rFonts w:ascii="Calibri" w:hAnsi="Calibri" w:cs="Calibri"/>
        </w:rPr>
        <w:t xml:space="preserve">Boverket </w:t>
      </w:r>
      <w:r>
        <w:rPr>
          <w:rFonts w:ascii="Calibri" w:hAnsi="Calibri" w:cs="Calibri"/>
        </w:rPr>
        <w:t>a.a.</w:t>
      </w:r>
      <w:r w:rsidRPr="003B678A">
        <w:rPr>
          <w:rFonts w:ascii="Calibri" w:hAnsi="Calibri" w:cs="Calibri"/>
        </w:rPr>
        <w:t xml:space="preserve"> </w:t>
      </w:r>
    </w:p>
  </w:footnote>
  <w:footnote w:id="21">
    <w:p w14:paraId="2A27CC8C" w14:textId="53DEE0AA" w:rsidR="009E0F64" w:rsidRPr="003B678A" w:rsidRDefault="009E0F64" w:rsidP="002B6AAB">
      <w:pPr>
        <w:widowControl w:val="0"/>
        <w:autoSpaceDE w:val="0"/>
        <w:autoSpaceDN w:val="0"/>
        <w:adjustRightInd w:val="0"/>
        <w:rPr>
          <w:rFonts w:ascii="Calibri" w:hAnsi="Calibri" w:cs="Calibri"/>
          <w:sz w:val="20"/>
          <w:szCs w:val="20"/>
        </w:rPr>
      </w:pPr>
      <w:r w:rsidRPr="003B678A">
        <w:rPr>
          <w:rFonts w:ascii="Calibri" w:hAnsi="Calibri" w:cs="Calibri"/>
          <w:sz w:val="20"/>
          <w:szCs w:val="20"/>
          <w:vertAlign w:val="superscript"/>
        </w:rPr>
        <w:footnoteRef/>
      </w:r>
      <w:r>
        <w:rPr>
          <w:rFonts w:ascii="Calibri" w:hAnsi="Calibri" w:cs="Calibri"/>
          <w:sz w:val="20"/>
          <w:szCs w:val="20"/>
        </w:rPr>
        <w:t xml:space="preserve"> </w:t>
      </w:r>
      <w:r w:rsidRPr="003B678A">
        <w:rPr>
          <w:rFonts w:ascii="Calibri" w:hAnsi="Calibri" w:cs="Calibri"/>
          <w:sz w:val="20"/>
          <w:szCs w:val="20"/>
        </w:rPr>
        <w:t xml:space="preserve">Boverket </w:t>
      </w:r>
      <w:r>
        <w:rPr>
          <w:rFonts w:ascii="Calibri" w:hAnsi="Calibri" w:cs="Calibri"/>
          <w:sz w:val="20"/>
          <w:szCs w:val="20"/>
        </w:rPr>
        <w:t xml:space="preserve">a.a. </w:t>
      </w:r>
    </w:p>
  </w:footnote>
  <w:footnote w:id="22">
    <w:p w14:paraId="10499517" w14:textId="77777777" w:rsidR="009E0F64" w:rsidRDefault="009E0F64" w:rsidP="002B6AAB">
      <w:r w:rsidRPr="007E7FBE">
        <w:rPr>
          <w:rStyle w:val="Fotnotsreferens"/>
          <w:i/>
          <w:sz w:val="20"/>
          <w:szCs w:val="20"/>
        </w:rPr>
        <w:footnoteRef/>
      </w:r>
      <w:r w:rsidRPr="007E7FBE">
        <w:rPr>
          <w:i/>
        </w:rPr>
        <w:t xml:space="preserve"> </w:t>
      </w:r>
      <w:r w:rsidRPr="007873B3">
        <w:rPr>
          <w:rFonts w:asciiTheme="majorHAnsi" w:eastAsia="Times New Roman" w:hAnsiTheme="majorHAnsi" w:cs="Times New Roman"/>
          <w:sz w:val="20"/>
          <w:szCs w:val="20"/>
        </w:rPr>
        <w:t>”</w:t>
      </w:r>
      <w:proofErr w:type="gramStart"/>
      <w:r w:rsidRPr="007873B3">
        <w:rPr>
          <w:rFonts w:asciiTheme="majorHAnsi" w:eastAsia="Times New Roman" w:hAnsiTheme="majorHAnsi" w:cs="Times New Roman"/>
          <w:sz w:val="20"/>
          <w:szCs w:val="20"/>
        </w:rPr>
        <w:t>…men</w:t>
      </w:r>
      <w:proofErr w:type="gramEnd"/>
      <w:r w:rsidRPr="007873B3">
        <w:rPr>
          <w:rFonts w:asciiTheme="majorHAnsi" w:eastAsia="Times New Roman" w:hAnsiTheme="majorHAnsi" w:cs="Times New Roman"/>
          <w:sz w:val="20"/>
          <w:szCs w:val="20"/>
        </w:rPr>
        <w:t xml:space="preserve"> vart ska ni då ta vägen”, Sara Westin, Institutet för bostads- och urbanforskning, Uppsala Universitet, 2011</w:t>
      </w:r>
    </w:p>
  </w:footnote>
  <w:footnote w:id="23">
    <w:p w14:paraId="0DA5212D" w14:textId="0F1A4B9D" w:rsidR="009E0F64" w:rsidRPr="00F50763" w:rsidRDefault="009E0F64" w:rsidP="000A2D3F">
      <w:pPr>
        <w:widowControl w:val="0"/>
        <w:autoSpaceDE w:val="0"/>
        <w:autoSpaceDN w:val="0"/>
        <w:adjustRightInd w:val="0"/>
        <w:rPr>
          <w:rFonts w:ascii="Calibri" w:hAnsi="Calibri" w:cs="Calibri"/>
          <w:i/>
          <w:sz w:val="20"/>
          <w:szCs w:val="20"/>
        </w:rPr>
      </w:pPr>
      <w:r w:rsidRPr="00F50763">
        <w:rPr>
          <w:rStyle w:val="Fotnotsreferens"/>
          <w:i/>
          <w:sz w:val="20"/>
          <w:szCs w:val="20"/>
        </w:rPr>
        <w:footnoteRef/>
      </w:r>
      <w:r w:rsidRPr="00F50763">
        <w:rPr>
          <w:i/>
          <w:sz w:val="20"/>
          <w:szCs w:val="20"/>
        </w:rPr>
        <w:t xml:space="preserve"> </w:t>
      </w:r>
      <w:hyperlink r:id="rId1" w:history="1">
        <w:r w:rsidRPr="00F50763">
          <w:rPr>
            <w:rFonts w:ascii="Calibri" w:hAnsi="Calibri" w:cs="Calibri"/>
            <w:i/>
            <w:sz w:val="20"/>
            <w:szCs w:val="20"/>
          </w:rPr>
          <w:t>Knapphetens boningar: om fattiga barnfamiljers boende och ekonomi</w:t>
        </w:r>
      </w:hyperlink>
    </w:p>
    <w:p w14:paraId="455B6F40" w14:textId="435D2675" w:rsidR="009E0F64" w:rsidRPr="00F50763" w:rsidRDefault="000376F9" w:rsidP="00F50763">
      <w:pPr>
        <w:rPr>
          <w:rFonts w:ascii="Calibri" w:hAnsi="Calibri" w:cs="Calibri"/>
          <w:sz w:val="20"/>
          <w:szCs w:val="20"/>
        </w:rPr>
      </w:pPr>
      <w:hyperlink r:id="rId2" w:history="1">
        <w:r w:rsidR="009E0F64" w:rsidRPr="00F50763">
          <w:rPr>
            <w:rFonts w:ascii="Calibri" w:hAnsi="Calibri" w:cs="Calibri"/>
            <w:sz w:val="20"/>
            <w:szCs w:val="20"/>
          </w:rPr>
          <w:t>Torbjörn Hjort</w:t>
        </w:r>
      </w:hyperlink>
      <w:r w:rsidR="009E0F64" w:rsidRPr="00F50763">
        <w:rPr>
          <w:rFonts w:ascii="Calibri" w:hAnsi="Calibri" w:cs="Calibri"/>
          <w:sz w:val="20"/>
          <w:szCs w:val="20"/>
        </w:rPr>
        <w:t xml:space="preserve"> &amp; Salonen, T. 2000</w:t>
      </w:r>
      <w:r w:rsidR="009E0F64">
        <w:rPr>
          <w:rFonts w:ascii="Calibri" w:hAnsi="Calibri" w:cs="Calibri"/>
          <w:sz w:val="20"/>
          <w:szCs w:val="20"/>
        </w:rPr>
        <w:t xml:space="preserve">, </w:t>
      </w:r>
      <w:r w:rsidR="009E0F64" w:rsidRPr="00F50763">
        <w:rPr>
          <w:rFonts w:ascii="Calibri" w:hAnsi="Calibri" w:cs="Calibri"/>
          <w:sz w:val="20"/>
          <w:szCs w:val="20"/>
        </w:rPr>
        <w:t>Meddelanden från Socialhögskolan; vol. 2000:8</w:t>
      </w:r>
    </w:p>
  </w:footnote>
  <w:footnote w:id="24">
    <w:p w14:paraId="71E948C7" w14:textId="77777777" w:rsidR="009E0F64" w:rsidRDefault="009E0F64" w:rsidP="002B6AAB">
      <w:r w:rsidRPr="0057321C">
        <w:rPr>
          <w:rStyle w:val="Fotnotsreferens"/>
          <w:sz w:val="20"/>
          <w:szCs w:val="20"/>
        </w:rPr>
        <w:footnoteRef/>
      </w:r>
      <w:r w:rsidRPr="0057321C">
        <w:rPr>
          <w:rStyle w:val="Fotnotsreferens"/>
          <w:sz w:val="20"/>
          <w:szCs w:val="20"/>
        </w:rPr>
        <w:t xml:space="preserve"> </w:t>
      </w:r>
      <w:r w:rsidRPr="000A57A4">
        <w:rPr>
          <w:rFonts w:ascii="Calibri" w:hAnsi="Calibri" w:cs="Calibri"/>
          <w:i/>
          <w:sz w:val="20"/>
          <w:szCs w:val="20"/>
        </w:rPr>
        <w:t>Flyttmönster till följd av omfattande renoveringar</w:t>
      </w:r>
      <w:r>
        <w:rPr>
          <w:rFonts w:ascii="Calibri" w:hAnsi="Calibri" w:cs="Calibri"/>
          <w:sz w:val="20"/>
          <w:szCs w:val="20"/>
        </w:rPr>
        <w:t xml:space="preserve">, </w:t>
      </w:r>
      <w:r w:rsidRPr="003B678A">
        <w:rPr>
          <w:rFonts w:ascii="Calibri" w:hAnsi="Calibri" w:cs="Calibri"/>
          <w:sz w:val="20"/>
          <w:szCs w:val="20"/>
        </w:rPr>
        <w:t>Boverket</w:t>
      </w:r>
      <w:r>
        <w:rPr>
          <w:rFonts w:ascii="Calibri" w:hAnsi="Calibri" w:cs="Calibri"/>
          <w:sz w:val="20"/>
          <w:szCs w:val="20"/>
        </w:rPr>
        <w:t>,</w:t>
      </w:r>
      <w:r w:rsidRPr="003B678A">
        <w:rPr>
          <w:rFonts w:ascii="Calibri" w:hAnsi="Calibri" w:cs="Calibri"/>
          <w:sz w:val="20"/>
          <w:szCs w:val="20"/>
        </w:rPr>
        <w:t xml:space="preserve"> Rapport 2014:34</w:t>
      </w:r>
    </w:p>
  </w:footnote>
  <w:footnote w:id="25">
    <w:p w14:paraId="1D99E7B1" w14:textId="77777777" w:rsidR="009E0F64" w:rsidRPr="00CB0745" w:rsidRDefault="009E0F64" w:rsidP="002B6AAB">
      <w:pPr>
        <w:rPr>
          <w:rFonts w:ascii="Calibri" w:hAnsi="Calibri" w:cs="Calibri"/>
          <w:sz w:val="20"/>
          <w:szCs w:val="20"/>
          <w:lang w:val="en-GB"/>
        </w:rPr>
      </w:pPr>
      <w:r w:rsidRPr="0057321C">
        <w:rPr>
          <w:rStyle w:val="Fotnotsreferens"/>
          <w:sz w:val="20"/>
          <w:szCs w:val="20"/>
        </w:rPr>
        <w:footnoteRef/>
      </w:r>
      <w:r w:rsidRPr="00CB0745">
        <w:rPr>
          <w:rStyle w:val="Fotnotsreferens"/>
          <w:sz w:val="20"/>
          <w:szCs w:val="20"/>
          <w:lang w:val="en-GB"/>
        </w:rPr>
        <w:t xml:space="preserve"> </w:t>
      </w:r>
      <w:r>
        <w:rPr>
          <w:rFonts w:ascii="Calibri" w:hAnsi="Calibri" w:cs="Calibri"/>
          <w:i/>
          <w:sz w:val="20"/>
          <w:szCs w:val="20"/>
          <w:lang w:val="en-GB"/>
        </w:rPr>
        <w:t>Ho</w:t>
      </w:r>
      <w:r w:rsidRPr="000A57A4">
        <w:rPr>
          <w:rFonts w:ascii="Calibri" w:hAnsi="Calibri" w:cs="Calibri"/>
          <w:i/>
          <w:sz w:val="20"/>
          <w:szCs w:val="20"/>
          <w:lang w:val="en-GB"/>
        </w:rPr>
        <w:t>using Renewal—Doesn’t it Make You Sick</w:t>
      </w:r>
      <w:r w:rsidRPr="00CB0745">
        <w:rPr>
          <w:rFonts w:ascii="Calibri" w:hAnsi="Calibri" w:cs="Calibri"/>
          <w:i/>
          <w:sz w:val="20"/>
          <w:szCs w:val="20"/>
          <w:lang w:val="en-GB"/>
        </w:rPr>
        <w:t xml:space="preserve">? </w:t>
      </w:r>
      <w:proofErr w:type="gramStart"/>
      <w:r w:rsidRPr="00CB0745">
        <w:rPr>
          <w:rFonts w:ascii="Calibri" w:hAnsi="Calibri" w:cs="Calibri"/>
          <w:sz w:val="20"/>
          <w:szCs w:val="20"/>
          <w:lang w:val="en-GB"/>
        </w:rPr>
        <w:t>T Allen, Housing Studies 15, 443–461, 2000.</w:t>
      </w:r>
      <w:proofErr w:type="gramEnd"/>
      <w:r w:rsidRPr="00CB0745">
        <w:rPr>
          <w:rFonts w:ascii="Calibri" w:hAnsi="Calibri" w:cs="Calibri"/>
          <w:sz w:val="20"/>
          <w:szCs w:val="20"/>
          <w:lang w:val="en-GB"/>
        </w:rPr>
        <w:t xml:space="preserve"> </w:t>
      </w:r>
    </w:p>
    <w:p w14:paraId="345A2C45" w14:textId="77777777" w:rsidR="009E0F64" w:rsidRPr="00CB0745" w:rsidRDefault="009E0F64" w:rsidP="002B6AAB">
      <w:pPr>
        <w:rPr>
          <w:lang w:val="en-GB"/>
        </w:rPr>
      </w:pPr>
      <w:r w:rsidRPr="00CB0745">
        <w:rPr>
          <w:rFonts w:ascii="Calibri" w:hAnsi="Calibri" w:cs="Calibri"/>
          <w:sz w:val="20"/>
          <w:szCs w:val="20"/>
          <w:lang w:val="en-GB"/>
        </w:rPr>
        <w:t>/</w:t>
      </w:r>
      <w:r w:rsidRPr="000A57A4">
        <w:rPr>
          <w:rFonts w:ascii="Calibri" w:hAnsi="Calibri" w:cs="Calibri"/>
          <w:sz w:val="20"/>
          <w:szCs w:val="20"/>
          <w:lang w:val="en-GB"/>
        </w:rPr>
        <w:t xml:space="preserve"> </w:t>
      </w:r>
      <w:r w:rsidRPr="0002744A">
        <w:rPr>
          <w:rFonts w:ascii="Calibri" w:hAnsi="Calibri" w:cs="Calibri"/>
          <w:sz w:val="20"/>
          <w:szCs w:val="20"/>
          <w:lang w:val="en-GB"/>
        </w:rPr>
        <w:t>Measuring Gentrification and Displacement in Greater London</w:t>
      </w:r>
      <w:r>
        <w:rPr>
          <w:rFonts w:ascii="Calibri" w:hAnsi="Calibri" w:cs="Calibri"/>
          <w:sz w:val="20"/>
          <w:szCs w:val="20"/>
          <w:lang w:val="en-GB"/>
        </w:rPr>
        <w:t xml:space="preserve">, </w:t>
      </w:r>
      <w:r w:rsidRPr="00CB0745">
        <w:rPr>
          <w:rFonts w:ascii="Calibri" w:hAnsi="Calibri" w:cs="Calibri"/>
          <w:sz w:val="20"/>
          <w:szCs w:val="20"/>
          <w:lang w:val="en-GB"/>
        </w:rPr>
        <w:t xml:space="preserve">Rowland Atkinson, 2000/ </w:t>
      </w:r>
      <w:proofErr w:type="gramStart"/>
      <w:r w:rsidRPr="000A57A4">
        <w:rPr>
          <w:rFonts w:ascii="Calibri" w:hAnsi="Calibri" w:cs="Calibri"/>
          <w:i/>
          <w:sz w:val="20"/>
          <w:szCs w:val="20"/>
          <w:lang w:val="en-GB"/>
        </w:rPr>
        <w:t>Is</w:t>
      </w:r>
      <w:proofErr w:type="gramEnd"/>
      <w:r w:rsidRPr="000A57A4">
        <w:rPr>
          <w:rFonts w:ascii="Calibri" w:hAnsi="Calibri" w:cs="Calibri"/>
          <w:i/>
          <w:sz w:val="20"/>
          <w:szCs w:val="20"/>
          <w:lang w:val="en-GB"/>
        </w:rPr>
        <w:t xml:space="preserve"> it, or is not? The conceptualization of gentrification and displacement and its political implications in the case </w:t>
      </w:r>
      <w:r w:rsidRPr="00CB0745">
        <w:rPr>
          <w:rFonts w:ascii="Calibri" w:hAnsi="Calibri" w:cs="Calibri"/>
          <w:i/>
          <w:sz w:val="20"/>
          <w:szCs w:val="20"/>
          <w:lang w:val="en-GB"/>
        </w:rPr>
        <w:t>of Berlin-</w:t>
      </w:r>
      <w:r w:rsidRPr="000A57A4">
        <w:rPr>
          <w:rFonts w:ascii="Calibri" w:hAnsi="Calibri" w:cs="Calibri"/>
          <w:i/>
          <w:sz w:val="20"/>
          <w:szCs w:val="20"/>
          <w:lang w:val="de-DE"/>
        </w:rPr>
        <w:t>Prenzlauer Berg</w:t>
      </w:r>
      <w:r w:rsidRPr="00CB0745">
        <w:rPr>
          <w:rFonts w:ascii="Calibri" w:hAnsi="Calibri" w:cs="Calibri"/>
          <w:sz w:val="20"/>
          <w:szCs w:val="20"/>
          <w:lang w:val="en-GB"/>
        </w:rPr>
        <w:t xml:space="preserve">, Matthias Bernt &amp; Andrej Holm, 2009/ Förnyelse av storskaliga </w:t>
      </w:r>
      <w:proofErr w:type="spellStart"/>
      <w:r w:rsidRPr="00CB0745">
        <w:rPr>
          <w:rFonts w:ascii="Calibri" w:hAnsi="Calibri" w:cs="Calibri"/>
          <w:sz w:val="20"/>
          <w:szCs w:val="20"/>
          <w:lang w:val="en-GB"/>
        </w:rPr>
        <w:t>bostadsområden</w:t>
      </w:r>
      <w:proofErr w:type="spellEnd"/>
      <w:r w:rsidRPr="00CB0745">
        <w:rPr>
          <w:rFonts w:ascii="Calibri" w:hAnsi="Calibri" w:cs="Calibri"/>
          <w:sz w:val="20"/>
          <w:szCs w:val="20"/>
          <w:lang w:val="en-GB"/>
        </w:rPr>
        <w:t xml:space="preserve"> – </w:t>
      </w:r>
      <w:proofErr w:type="spellStart"/>
      <w:r w:rsidRPr="00CB0745">
        <w:rPr>
          <w:rFonts w:ascii="Calibri" w:hAnsi="Calibri" w:cs="Calibri"/>
          <w:sz w:val="20"/>
          <w:szCs w:val="20"/>
          <w:lang w:val="en-GB"/>
        </w:rPr>
        <w:t>en</w:t>
      </w:r>
      <w:proofErr w:type="spellEnd"/>
      <w:r w:rsidRPr="00CB0745">
        <w:rPr>
          <w:rFonts w:ascii="Calibri" w:hAnsi="Calibri" w:cs="Calibri"/>
          <w:sz w:val="20"/>
          <w:szCs w:val="20"/>
          <w:lang w:val="en-GB"/>
        </w:rPr>
        <w:t xml:space="preserve"> </w:t>
      </w:r>
      <w:proofErr w:type="spellStart"/>
      <w:r w:rsidRPr="00CB0745">
        <w:rPr>
          <w:rFonts w:ascii="Calibri" w:hAnsi="Calibri" w:cs="Calibri"/>
          <w:sz w:val="20"/>
          <w:szCs w:val="20"/>
          <w:lang w:val="en-GB"/>
        </w:rPr>
        <w:t>studie</w:t>
      </w:r>
      <w:proofErr w:type="spellEnd"/>
      <w:r w:rsidRPr="00CB0745">
        <w:rPr>
          <w:rFonts w:ascii="Calibri" w:hAnsi="Calibri" w:cs="Calibri"/>
          <w:sz w:val="20"/>
          <w:szCs w:val="20"/>
          <w:lang w:val="en-GB"/>
        </w:rPr>
        <w:t xml:space="preserve"> </w:t>
      </w:r>
      <w:proofErr w:type="spellStart"/>
      <w:r w:rsidRPr="00CB0745">
        <w:rPr>
          <w:rFonts w:ascii="Calibri" w:hAnsi="Calibri" w:cs="Calibri"/>
          <w:sz w:val="20"/>
          <w:szCs w:val="20"/>
          <w:lang w:val="en-GB"/>
        </w:rPr>
        <w:t>av</w:t>
      </w:r>
      <w:proofErr w:type="spellEnd"/>
      <w:r w:rsidRPr="00CB0745">
        <w:rPr>
          <w:rFonts w:ascii="Calibri" w:hAnsi="Calibri" w:cs="Calibri"/>
          <w:sz w:val="20"/>
          <w:szCs w:val="20"/>
          <w:lang w:val="en-GB"/>
        </w:rPr>
        <w:t xml:space="preserve"> </w:t>
      </w:r>
      <w:proofErr w:type="spellStart"/>
      <w:r w:rsidRPr="00CB0745">
        <w:rPr>
          <w:rFonts w:ascii="Calibri" w:hAnsi="Calibri" w:cs="Calibri"/>
          <w:sz w:val="20"/>
          <w:szCs w:val="20"/>
          <w:lang w:val="en-GB"/>
        </w:rPr>
        <w:t>effekter</w:t>
      </w:r>
      <w:proofErr w:type="spellEnd"/>
      <w:r w:rsidRPr="00CB0745">
        <w:rPr>
          <w:rFonts w:ascii="Calibri" w:hAnsi="Calibri" w:cs="Calibri"/>
          <w:sz w:val="20"/>
          <w:szCs w:val="20"/>
          <w:lang w:val="en-GB"/>
        </w:rPr>
        <w:t xml:space="preserve"> </w:t>
      </w:r>
      <w:proofErr w:type="spellStart"/>
      <w:r w:rsidRPr="00CB0745">
        <w:rPr>
          <w:rFonts w:ascii="Calibri" w:hAnsi="Calibri" w:cs="Calibri"/>
          <w:sz w:val="20"/>
          <w:szCs w:val="20"/>
          <w:lang w:val="en-GB"/>
        </w:rPr>
        <w:t>och</w:t>
      </w:r>
      <w:proofErr w:type="spellEnd"/>
      <w:r w:rsidRPr="00CB0745">
        <w:rPr>
          <w:rFonts w:ascii="Calibri" w:hAnsi="Calibri" w:cs="Calibri"/>
          <w:sz w:val="20"/>
          <w:szCs w:val="20"/>
          <w:lang w:val="en-GB"/>
        </w:rPr>
        <w:t xml:space="preserve"> </w:t>
      </w:r>
      <w:proofErr w:type="spellStart"/>
      <w:r w:rsidRPr="00CB0745">
        <w:rPr>
          <w:rFonts w:ascii="Calibri" w:hAnsi="Calibri" w:cs="Calibri"/>
          <w:sz w:val="20"/>
          <w:szCs w:val="20"/>
          <w:lang w:val="en-GB"/>
        </w:rPr>
        <w:t>effektivitet</w:t>
      </w:r>
      <w:proofErr w:type="spellEnd"/>
      <w:r w:rsidRPr="00CB0745">
        <w:rPr>
          <w:rFonts w:ascii="Calibri" w:hAnsi="Calibri" w:cs="Calibri"/>
          <w:sz w:val="20"/>
          <w:szCs w:val="20"/>
          <w:lang w:val="en-GB"/>
        </w:rPr>
        <w:t xml:space="preserve">, </w:t>
      </w:r>
      <w:proofErr w:type="spellStart"/>
      <w:r w:rsidRPr="00CB0745">
        <w:rPr>
          <w:rFonts w:ascii="Calibri" w:hAnsi="Calibri" w:cs="Calibri"/>
          <w:sz w:val="20"/>
          <w:szCs w:val="20"/>
          <w:lang w:val="en-GB"/>
        </w:rPr>
        <w:t>Göran</w:t>
      </w:r>
      <w:proofErr w:type="spellEnd"/>
      <w:r w:rsidRPr="00CB0745">
        <w:rPr>
          <w:rFonts w:ascii="Calibri" w:hAnsi="Calibri" w:cs="Calibri"/>
          <w:sz w:val="20"/>
          <w:szCs w:val="20"/>
          <w:lang w:val="en-GB"/>
        </w:rPr>
        <w:t xml:space="preserve"> </w:t>
      </w:r>
      <w:proofErr w:type="spellStart"/>
      <w:r w:rsidRPr="00CB0745">
        <w:rPr>
          <w:rFonts w:ascii="Calibri" w:hAnsi="Calibri" w:cs="Calibri"/>
          <w:sz w:val="20"/>
          <w:szCs w:val="20"/>
          <w:lang w:val="en-GB"/>
        </w:rPr>
        <w:t>Carlén</w:t>
      </w:r>
      <w:proofErr w:type="spellEnd"/>
      <w:r w:rsidRPr="00CB0745">
        <w:rPr>
          <w:rFonts w:ascii="Calibri" w:hAnsi="Calibri" w:cs="Calibri"/>
          <w:sz w:val="20"/>
          <w:szCs w:val="20"/>
          <w:lang w:val="en-GB"/>
        </w:rPr>
        <w:t xml:space="preserve"> &amp; </w:t>
      </w:r>
      <w:proofErr w:type="spellStart"/>
      <w:r w:rsidRPr="00CB0745">
        <w:rPr>
          <w:rFonts w:ascii="Calibri" w:hAnsi="Calibri" w:cs="Calibri"/>
          <w:sz w:val="20"/>
          <w:szCs w:val="20"/>
          <w:lang w:val="en-GB"/>
        </w:rPr>
        <w:t>Göran</w:t>
      </w:r>
      <w:proofErr w:type="spellEnd"/>
      <w:r w:rsidRPr="00CB0745">
        <w:rPr>
          <w:rFonts w:ascii="Calibri" w:hAnsi="Calibri" w:cs="Calibri"/>
          <w:sz w:val="20"/>
          <w:szCs w:val="20"/>
          <w:lang w:val="en-GB"/>
        </w:rPr>
        <w:t xml:space="preserve"> Cars, </w:t>
      </w:r>
      <w:proofErr w:type="spellStart"/>
      <w:r w:rsidRPr="00CB0745">
        <w:rPr>
          <w:rFonts w:ascii="Calibri" w:hAnsi="Calibri" w:cs="Calibri"/>
          <w:sz w:val="20"/>
          <w:szCs w:val="20"/>
          <w:lang w:val="en-GB"/>
        </w:rPr>
        <w:t>Statens</w:t>
      </w:r>
      <w:proofErr w:type="spellEnd"/>
      <w:r w:rsidRPr="00CB0745">
        <w:rPr>
          <w:rFonts w:ascii="Calibri" w:hAnsi="Calibri" w:cs="Calibri"/>
          <w:sz w:val="20"/>
          <w:szCs w:val="20"/>
          <w:lang w:val="en-GB"/>
        </w:rPr>
        <w:t xml:space="preserve"> </w:t>
      </w:r>
      <w:proofErr w:type="spellStart"/>
      <w:r w:rsidRPr="00CB0745">
        <w:rPr>
          <w:rFonts w:ascii="Calibri" w:hAnsi="Calibri" w:cs="Calibri"/>
          <w:sz w:val="20"/>
          <w:szCs w:val="20"/>
          <w:lang w:val="en-GB"/>
        </w:rPr>
        <w:t>råd</w:t>
      </w:r>
      <w:proofErr w:type="spellEnd"/>
      <w:r w:rsidRPr="00CB0745">
        <w:rPr>
          <w:rFonts w:ascii="Calibri" w:hAnsi="Calibri" w:cs="Calibri"/>
          <w:sz w:val="20"/>
          <w:szCs w:val="20"/>
          <w:lang w:val="en-GB"/>
        </w:rPr>
        <w:t xml:space="preserve"> </w:t>
      </w:r>
      <w:proofErr w:type="spellStart"/>
      <w:r w:rsidRPr="00CB0745">
        <w:rPr>
          <w:rFonts w:ascii="Calibri" w:hAnsi="Calibri" w:cs="Calibri"/>
          <w:sz w:val="20"/>
          <w:szCs w:val="20"/>
          <w:lang w:val="en-GB"/>
        </w:rPr>
        <w:t>för</w:t>
      </w:r>
      <w:proofErr w:type="spellEnd"/>
      <w:r w:rsidRPr="00CB0745">
        <w:rPr>
          <w:rFonts w:ascii="Calibri" w:hAnsi="Calibri" w:cs="Calibri"/>
          <w:sz w:val="20"/>
          <w:szCs w:val="20"/>
          <w:lang w:val="en-GB"/>
        </w:rPr>
        <w:t xml:space="preserve"> </w:t>
      </w:r>
      <w:proofErr w:type="spellStart"/>
      <w:r w:rsidRPr="00CB0745">
        <w:rPr>
          <w:rFonts w:ascii="Calibri" w:hAnsi="Calibri" w:cs="Calibri"/>
          <w:sz w:val="20"/>
          <w:szCs w:val="20"/>
          <w:lang w:val="en-GB"/>
        </w:rPr>
        <w:t>byggnadsforskning</w:t>
      </w:r>
      <w:proofErr w:type="spellEnd"/>
      <w:r w:rsidRPr="00CB0745">
        <w:rPr>
          <w:rFonts w:ascii="Calibri" w:hAnsi="Calibri" w:cs="Calibri"/>
          <w:sz w:val="20"/>
          <w:szCs w:val="20"/>
          <w:lang w:val="en-GB"/>
        </w:rPr>
        <w:t xml:space="preserve">, Stockholm, 1990/ </w:t>
      </w:r>
      <w:r w:rsidRPr="000A57A4">
        <w:rPr>
          <w:rFonts w:ascii="Calibri" w:hAnsi="Calibri" w:cs="Calibri"/>
          <w:i/>
          <w:sz w:val="20"/>
          <w:szCs w:val="20"/>
          <w:lang w:val="en-GB"/>
        </w:rPr>
        <w:t>Elderly people ́s experiences of housing renewal and forced relocation</w:t>
      </w:r>
      <w:r w:rsidRPr="00CB0745">
        <w:rPr>
          <w:rFonts w:ascii="Calibri" w:hAnsi="Calibri" w:cs="Calibri"/>
          <w:sz w:val="20"/>
          <w:szCs w:val="20"/>
          <w:lang w:val="en-GB"/>
        </w:rPr>
        <w:t xml:space="preserve">, Malin </w:t>
      </w:r>
      <w:proofErr w:type="spellStart"/>
      <w:r w:rsidRPr="00CB0745">
        <w:rPr>
          <w:rFonts w:ascii="Calibri" w:hAnsi="Calibri" w:cs="Calibri"/>
          <w:sz w:val="20"/>
          <w:szCs w:val="20"/>
          <w:lang w:val="en-GB"/>
        </w:rPr>
        <w:t>Ekström</w:t>
      </w:r>
      <w:proofErr w:type="spellEnd"/>
      <w:r w:rsidRPr="00CB0745">
        <w:rPr>
          <w:rFonts w:ascii="Calibri" w:hAnsi="Calibri" w:cs="Calibri"/>
          <w:sz w:val="20"/>
          <w:szCs w:val="20"/>
          <w:lang w:val="en-GB"/>
        </w:rPr>
        <w:t xml:space="preserve">, 1994. </w:t>
      </w:r>
    </w:p>
  </w:footnote>
  <w:footnote w:id="26">
    <w:p w14:paraId="02612B09" w14:textId="7E51EE41" w:rsidR="009E0F64" w:rsidRPr="00A96F10" w:rsidRDefault="009E0F64" w:rsidP="002B6AAB">
      <w:pPr>
        <w:rPr>
          <w:i/>
        </w:rPr>
      </w:pPr>
      <w:r w:rsidRPr="0057321C">
        <w:rPr>
          <w:rStyle w:val="Fotnotsreferens"/>
          <w:sz w:val="20"/>
          <w:szCs w:val="20"/>
        </w:rPr>
        <w:footnoteRef/>
      </w:r>
      <w:r w:rsidRPr="0057321C">
        <w:rPr>
          <w:rStyle w:val="Fotnotsreferens"/>
          <w:sz w:val="20"/>
          <w:szCs w:val="20"/>
        </w:rPr>
        <w:t xml:space="preserve"> </w:t>
      </w:r>
      <w:r w:rsidRPr="00A96F10">
        <w:rPr>
          <w:rFonts w:ascii="Calibri" w:hAnsi="Calibri" w:cs="Calibri"/>
          <w:i/>
          <w:sz w:val="20"/>
          <w:szCs w:val="20"/>
        </w:rPr>
        <w:t>Hemhörighet och Stadsförnyelse – belyst i fyrtiotalsstadsdelen Sanna i Göteborg. Hemhörighet och stadsförnyelse: belyst i fyrtiotalsstadsdelen Sanna i Göteborg</w:t>
      </w:r>
      <w:r>
        <w:rPr>
          <w:rFonts w:ascii="Calibri" w:hAnsi="Calibri" w:cs="Calibri"/>
          <w:i/>
          <w:sz w:val="20"/>
          <w:szCs w:val="20"/>
        </w:rPr>
        <w:t xml:space="preserve">, </w:t>
      </w:r>
      <w:r w:rsidRPr="00B45E72">
        <w:rPr>
          <w:rFonts w:ascii="Calibri" w:hAnsi="Calibri" w:cs="Calibri"/>
          <w:sz w:val="20"/>
          <w:szCs w:val="20"/>
        </w:rPr>
        <w:t>Hurtig, Eva</w:t>
      </w:r>
      <w:r>
        <w:rPr>
          <w:rFonts w:ascii="Calibri" w:hAnsi="Calibri" w:cs="Calibri"/>
          <w:sz w:val="20"/>
          <w:szCs w:val="20"/>
        </w:rPr>
        <w:t>,</w:t>
      </w:r>
      <w:r w:rsidRPr="00B45E72">
        <w:rPr>
          <w:rFonts w:ascii="Calibri" w:hAnsi="Calibri" w:cs="Calibri"/>
          <w:sz w:val="20"/>
          <w:szCs w:val="20"/>
        </w:rPr>
        <w:t xml:space="preserve"> 1995.</w:t>
      </w:r>
    </w:p>
  </w:footnote>
  <w:footnote w:id="27">
    <w:p w14:paraId="64BCB52F" w14:textId="77777777" w:rsidR="009E0F64" w:rsidRDefault="009E0F64" w:rsidP="002B6AAB">
      <w:pPr>
        <w:pStyle w:val="Fotnotstext"/>
      </w:pPr>
      <w:r w:rsidRPr="00E93091">
        <w:rPr>
          <w:rStyle w:val="Fotnotsreferens"/>
          <w:i/>
        </w:rPr>
        <w:footnoteRef/>
      </w:r>
      <w:r>
        <w:t xml:space="preserve"> </w:t>
      </w:r>
      <w:r w:rsidRPr="000A57A4">
        <w:rPr>
          <w:rFonts w:ascii="Calibri" w:hAnsi="Calibri" w:cs="Calibri"/>
          <w:i/>
        </w:rPr>
        <w:t>Flyttmönster till följd av omfattande renoveringar</w:t>
      </w:r>
      <w:r>
        <w:rPr>
          <w:rFonts w:ascii="Calibri" w:hAnsi="Calibri" w:cs="Calibri"/>
        </w:rPr>
        <w:t xml:space="preserve">, </w:t>
      </w:r>
      <w:r w:rsidRPr="003B678A">
        <w:rPr>
          <w:rFonts w:ascii="Calibri" w:hAnsi="Calibri" w:cs="Calibri"/>
        </w:rPr>
        <w:t>Boverket</w:t>
      </w:r>
      <w:r>
        <w:rPr>
          <w:rFonts w:ascii="Calibri" w:hAnsi="Calibri" w:cs="Calibri"/>
        </w:rPr>
        <w:t>,</w:t>
      </w:r>
      <w:r w:rsidRPr="003B678A">
        <w:rPr>
          <w:rFonts w:ascii="Calibri" w:hAnsi="Calibri" w:cs="Calibri"/>
        </w:rPr>
        <w:t xml:space="preserve"> Rapport 2014:34</w:t>
      </w:r>
    </w:p>
  </w:footnote>
  <w:footnote w:id="28">
    <w:p w14:paraId="367FBFC4" w14:textId="39D06C25" w:rsidR="009E0F64" w:rsidRPr="00CB0745" w:rsidRDefault="009E0F64" w:rsidP="002B6AAB">
      <w:pPr>
        <w:pStyle w:val="Fotnotstext"/>
        <w:rPr>
          <w:rFonts w:asciiTheme="majorHAnsi" w:hAnsiTheme="majorHAnsi"/>
          <w:lang w:val="en-GB"/>
        </w:rPr>
      </w:pPr>
      <w:r w:rsidRPr="003014D0">
        <w:rPr>
          <w:rStyle w:val="Fotnotsreferens"/>
          <w:i/>
        </w:rPr>
        <w:footnoteRef/>
      </w:r>
      <w:r w:rsidRPr="00CB0745">
        <w:rPr>
          <w:rFonts w:asciiTheme="majorHAnsi" w:hAnsiTheme="majorHAnsi"/>
          <w:lang w:val="en-GB"/>
        </w:rPr>
        <w:t xml:space="preserve"> </w:t>
      </w:r>
      <w:r w:rsidRPr="00CB0745">
        <w:rPr>
          <w:rFonts w:asciiTheme="majorHAnsi" w:hAnsiTheme="majorHAnsi"/>
          <w:i/>
          <w:lang w:val="en-GB"/>
        </w:rPr>
        <w:t>Municipal housing companies in Sweden - social by default</w:t>
      </w:r>
      <w:r w:rsidRPr="00CB0745">
        <w:rPr>
          <w:rFonts w:asciiTheme="majorHAnsi" w:hAnsiTheme="majorHAnsi"/>
          <w:lang w:val="en-GB"/>
        </w:rPr>
        <w:t xml:space="preserve">, Lena Magnusson </w:t>
      </w:r>
      <w:proofErr w:type="spellStart"/>
      <w:r w:rsidRPr="00CB0745">
        <w:rPr>
          <w:rFonts w:asciiTheme="majorHAnsi" w:hAnsiTheme="majorHAnsi"/>
          <w:lang w:val="en-GB"/>
        </w:rPr>
        <w:t>och</w:t>
      </w:r>
      <w:proofErr w:type="spellEnd"/>
      <w:r w:rsidRPr="00CB0745">
        <w:rPr>
          <w:rFonts w:asciiTheme="majorHAnsi" w:hAnsiTheme="majorHAnsi"/>
          <w:lang w:val="en-GB"/>
        </w:rPr>
        <w:t xml:space="preserve"> Bengt Turner, Housing, theory and society, 2008 </w:t>
      </w:r>
    </w:p>
  </w:footnote>
  <w:footnote w:id="29">
    <w:p w14:paraId="7A614AE5" w14:textId="5B294BFC" w:rsidR="009E0F64" w:rsidRDefault="009E0F64">
      <w:pPr>
        <w:pStyle w:val="Fotnotstext"/>
      </w:pPr>
      <w:r>
        <w:rPr>
          <w:rStyle w:val="Fotnotsreferens"/>
        </w:rPr>
        <w:footnoteRef/>
      </w:r>
      <w:r>
        <w:t xml:space="preserve"> </w:t>
      </w:r>
      <w:r w:rsidRPr="000A57A4">
        <w:rPr>
          <w:rFonts w:ascii="Calibri" w:hAnsi="Calibri" w:cs="Calibri"/>
          <w:i/>
        </w:rPr>
        <w:t>Flyttmönster till följd av omfattande renoveringar</w:t>
      </w:r>
      <w:r>
        <w:rPr>
          <w:rFonts w:ascii="Calibri" w:hAnsi="Calibri" w:cs="Calibri"/>
        </w:rPr>
        <w:t xml:space="preserve">, </w:t>
      </w:r>
      <w:r w:rsidRPr="003B678A">
        <w:rPr>
          <w:rFonts w:ascii="Calibri" w:hAnsi="Calibri" w:cs="Calibri"/>
        </w:rPr>
        <w:t>Boverket</w:t>
      </w:r>
      <w:r>
        <w:rPr>
          <w:rFonts w:ascii="Calibri" w:hAnsi="Calibri" w:cs="Calibri"/>
        </w:rPr>
        <w:t>,</w:t>
      </w:r>
      <w:r w:rsidRPr="003B678A">
        <w:rPr>
          <w:rFonts w:ascii="Calibri" w:hAnsi="Calibri" w:cs="Calibri"/>
        </w:rPr>
        <w:t xml:space="preserve"> Rapport 2014:34</w:t>
      </w:r>
    </w:p>
  </w:footnote>
  <w:footnote w:id="30">
    <w:p w14:paraId="4AB18F83" w14:textId="2CFC4212" w:rsidR="009E0F64" w:rsidRPr="00CB0745" w:rsidRDefault="009E0F64">
      <w:pPr>
        <w:pStyle w:val="Fotnotstext"/>
        <w:rPr>
          <w:rFonts w:asciiTheme="majorHAnsi" w:hAnsiTheme="majorHAnsi"/>
          <w:lang w:val="en-GB"/>
        </w:rPr>
      </w:pPr>
      <w:r w:rsidRPr="003014D0">
        <w:rPr>
          <w:rStyle w:val="Fotnotsreferens"/>
          <w:i/>
        </w:rPr>
        <w:footnoteRef/>
      </w:r>
      <w:r w:rsidRPr="00CB0745">
        <w:rPr>
          <w:lang w:val="en-GB"/>
        </w:rPr>
        <w:t xml:space="preserve"> </w:t>
      </w:r>
      <w:r w:rsidRPr="00CB0745">
        <w:rPr>
          <w:rFonts w:asciiTheme="majorHAnsi" w:hAnsiTheme="majorHAnsi"/>
          <w:i/>
          <w:lang w:val="en-GB"/>
        </w:rPr>
        <w:t>Challenges of renovating the Gothenburg multi-family building stock - An analysis of comprehensive building-specific information, including energy performance, ownership and affordability</w:t>
      </w:r>
      <w:r w:rsidRPr="00CB0745">
        <w:rPr>
          <w:rFonts w:asciiTheme="majorHAnsi" w:hAnsiTheme="majorHAnsi"/>
          <w:lang w:val="en-GB"/>
        </w:rPr>
        <w:t xml:space="preserve">, </w:t>
      </w:r>
      <w:hyperlink r:id="rId3" w:tooltip="Mikael Mangold (Institutionen för bygg- och miljöteknik, Vatten Miljö Teknik)" w:history="1">
        <w:r w:rsidRPr="003954D9">
          <w:rPr>
            <w:rFonts w:asciiTheme="majorHAnsi" w:hAnsiTheme="majorHAnsi"/>
            <w:i/>
            <w:lang w:val="en-GB"/>
          </w:rPr>
          <w:t>Mikael Mangold</w:t>
        </w:r>
      </w:hyperlink>
      <w:r w:rsidRPr="003954D9">
        <w:rPr>
          <w:rFonts w:asciiTheme="majorHAnsi" w:hAnsiTheme="majorHAnsi"/>
          <w:i/>
          <w:lang w:val="en-GB"/>
        </w:rPr>
        <w:t>,</w:t>
      </w:r>
      <w:r w:rsidRPr="00CB0745">
        <w:rPr>
          <w:rFonts w:asciiTheme="majorHAnsi" w:hAnsiTheme="majorHAnsi"/>
          <w:lang w:val="en-GB"/>
        </w:rPr>
        <w:t xml:space="preserve"> Chalmers, 2016</w:t>
      </w:r>
    </w:p>
  </w:footnote>
  <w:footnote w:id="31">
    <w:p w14:paraId="5DEC9E10" w14:textId="77777777" w:rsidR="009E0F64" w:rsidRDefault="009E0F64" w:rsidP="002B6AAB">
      <w:pPr>
        <w:pStyle w:val="Fotnotstext"/>
      </w:pPr>
      <w:r w:rsidRPr="003014D0">
        <w:rPr>
          <w:rFonts w:asciiTheme="majorHAnsi" w:hAnsiTheme="majorHAnsi"/>
          <w:i/>
          <w:vertAlign w:val="superscript"/>
        </w:rPr>
        <w:footnoteRef/>
      </w:r>
      <w:r w:rsidRPr="003B38AF">
        <w:rPr>
          <w:rFonts w:asciiTheme="majorHAnsi" w:hAnsiTheme="majorHAnsi"/>
        </w:rPr>
        <w:t xml:space="preserve"> </w:t>
      </w:r>
      <w:r w:rsidRPr="003B38AF">
        <w:rPr>
          <w:rFonts w:asciiTheme="majorHAnsi" w:hAnsiTheme="majorHAnsi"/>
          <w:i/>
        </w:rPr>
        <w:t>Skolsegregation och skolval</w:t>
      </w:r>
      <w:r w:rsidRPr="003B38AF">
        <w:rPr>
          <w:rFonts w:asciiTheme="majorHAnsi" w:hAnsiTheme="majorHAnsi"/>
        </w:rPr>
        <w:t>, Anders Böhlmark, Helena Holmlund, Mikael Lindahl, IFAU Rapport 2015:5</w:t>
      </w:r>
    </w:p>
  </w:footnote>
  <w:footnote w:id="32">
    <w:p w14:paraId="5978C02D" w14:textId="57F3985B" w:rsidR="009E0F64" w:rsidRPr="00020DF1" w:rsidRDefault="009E0F64" w:rsidP="002B6AAB">
      <w:pPr>
        <w:pStyle w:val="Fotnotstext"/>
        <w:rPr>
          <w:rFonts w:asciiTheme="majorHAnsi" w:hAnsiTheme="majorHAnsi"/>
        </w:rPr>
      </w:pPr>
      <w:r w:rsidRPr="003014D0">
        <w:rPr>
          <w:rFonts w:asciiTheme="majorHAnsi" w:hAnsiTheme="majorHAnsi"/>
          <w:i/>
          <w:vertAlign w:val="superscript"/>
        </w:rPr>
        <w:footnoteRef/>
      </w:r>
      <w:r w:rsidRPr="00020DF1">
        <w:rPr>
          <w:rFonts w:asciiTheme="majorHAnsi" w:hAnsiTheme="majorHAnsi"/>
        </w:rPr>
        <w:t xml:space="preserve"> </w:t>
      </w:r>
      <w:r w:rsidRPr="00020DF1">
        <w:rPr>
          <w:rFonts w:asciiTheme="majorHAnsi" w:hAnsiTheme="majorHAnsi"/>
          <w:i/>
        </w:rPr>
        <w:t>Långsiktigt reformprogram för minskad segregation år 2017–2025</w:t>
      </w:r>
      <w:r w:rsidRPr="00020DF1">
        <w:rPr>
          <w:rFonts w:asciiTheme="majorHAnsi" w:hAnsiTheme="majorHAnsi"/>
        </w:rPr>
        <w:t>, Regeringskansliet, 2016</w:t>
      </w:r>
    </w:p>
  </w:footnote>
  <w:footnote w:id="33">
    <w:p w14:paraId="4F8D5BCB" w14:textId="41FBAB43" w:rsidR="009E0F64" w:rsidRDefault="009E0F64" w:rsidP="006A3D27">
      <w:pPr>
        <w:pStyle w:val="Fotnotstext"/>
      </w:pPr>
      <w:r w:rsidRPr="00773870">
        <w:rPr>
          <w:rStyle w:val="Fotnotsreferens"/>
          <w:i/>
        </w:rPr>
        <w:footnoteRef/>
      </w:r>
      <w:r>
        <w:t xml:space="preserve"> </w:t>
      </w:r>
      <w:r w:rsidRPr="003B678A">
        <w:rPr>
          <w:rFonts w:ascii="Calibri" w:hAnsi="Calibri" w:cs="Calibri"/>
        </w:rPr>
        <w:t>Boverket</w:t>
      </w:r>
      <w:r>
        <w:rPr>
          <w:rFonts w:ascii="Calibri" w:hAnsi="Calibri" w:cs="Calibri"/>
        </w:rPr>
        <w:t xml:space="preserve"> a.a.</w:t>
      </w:r>
    </w:p>
  </w:footnote>
  <w:footnote w:id="34">
    <w:p w14:paraId="4E183EAC" w14:textId="77777777" w:rsidR="009E0F64" w:rsidRPr="000A57A4" w:rsidRDefault="009E0F64" w:rsidP="006A3D27">
      <w:pPr>
        <w:pStyle w:val="Fotnotstext"/>
        <w:rPr>
          <w:rFonts w:asciiTheme="majorHAnsi" w:hAnsiTheme="majorHAnsi"/>
        </w:rPr>
      </w:pPr>
      <w:r w:rsidRPr="003014D0">
        <w:rPr>
          <w:rFonts w:asciiTheme="majorHAnsi" w:hAnsiTheme="majorHAnsi"/>
          <w:i/>
          <w:vertAlign w:val="superscript"/>
        </w:rPr>
        <w:footnoteRef/>
      </w:r>
      <w:r w:rsidRPr="000A57A4">
        <w:rPr>
          <w:rFonts w:asciiTheme="majorHAnsi" w:hAnsiTheme="majorHAnsi"/>
          <w:vertAlign w:val="superscript"/>
        </w:rPr>
        <w:t xml:space="preserve"> </w:t>
      </w:r>
      <w:r w:rsidRPr="000A57A4">
        <w:rPr>
          <w:rFonts w:asciiTheme="majorHAnsi" w:hAnsiTheme="majorHAnsi"/>
        </w:rPr>
        <w:t>Fastighetsvärlden 1/2015</w:t>
      </w:r>
    </w:p>
  </w:footnote>
  <w:footnote w:id="35">
    <w:p w14:paraId="431ED7A4" w14:textId="77777777" w:rsidR="009E0F64" w:rsidRDefault="009E0F64" w:rsidP="002B6AAB">
      <w:pPr>
        <w:pStyle w:val="Fotnotstext"/>
      </w:pPr>
      <w:r w:rsidRPr="00991398">
        <w:rPr>
          <w:rFonts w:asciiTheme="majorHAnsi" w:hAnsiTheme="majorHAnsi"/>
          <w:i/>
          <w:vertAlign w:val="superscript"/>
        </w:rPr>
        <w:footnoteRef/>
      </w:r>
      <w:r w:rsidRPr="00991398">
        <w:rPr>
          <w:rFonts w:asciiTheme="majorHAnsi" w:hAnsiTheme="majorHAnsi"/>
          <w:i/>
        </w:rPr>
        <w:t xml:space="preserve"> Nya ägare tar sig an miljonprogram, </w:t>
      </w:r>
      <w:r w:rsidRPr="00991398">
        <w:rPr>
          <w:rFonts w:asciiTheme="majorHAnsi" w:hAnsiTheme="majorHAnsi"/>
        </w:rPr>
        <w:t>Torbjörn Isacson, SvD, 2013</w:t>
      </w:r>
    </w:p>
  </w:footnote>
  <w:footnote w:id="36">
    <w:p w14:paraId="11438DD1" w14:textId="77777777" w:rsidR="009E0F64" w:rsidRDefault="009E0F64" w:rsidP="002B6AAB">
      <w:pPr>
        <w:pStyle w:val="Fotnotstext"/>
      </w:pPr>
      <w:r w:rsidRPr="003014D0">
        <w:rPr>
          <w:rStyle w:val="Fotnotsreferens"/>
          <w:i/>
        </w:rPr>
        <w:footnoteRef/>
      </w:r>
      <w:r>
        <w:t xml:space="preserve"> </w:t>
      </w:r>
      <w:r w:rsidRPr="000A57A4">
        <w:rPr>
          <w:rFonts w:ascii="Calibri" w:hAnsi="Calibri" w:cs="Calibri"/>
          <w:i/>
        </w:rPr>
        <w:t>Flyttmönster till följd av omfattande renoveringar</w:t>
      </w:r>
      <w:r>
        <w:rPr>
          <w:rFonts w:ascii="Calibri" w:hAnsi="Calibri" w:cs="Calibri"/>
        </w:rPr>
        <w:t xml:space="preserve">, </w:t>
      </w:r>
      <w:r w:rsidRPr="003B678A">
        <w:rPr>
          <w:rFonts w:ascii="Calibri" w:hAnsi="Calibri" w:cs="Calibri"/>
        </w:rPr>
        <w:t>Boverket</w:t>
      </w:r>
      <w:r>
        <w:rPr>
          <w:rFonts w:ascii="Calibri" w:hAnsi="Calibri" w:cs="Calibri"/>
        </w:rPr>
        <w:t>,</w:t>
      </w:r>
      <w:r w:rsidRPr="003B678A">
        <w:rPr>
          <w:rFonts w:ascii="Calibri" w:hAnsi="Calibri" w:cs="Calibri"/>
        </w:rPr>
        <w:t xml:space="preserve"> Rapport 2014:34</w:t>
      </w:r>
      <w:r>
        <w:rPr>
          <w:rFonts w:ascii="Calibri" w:hAnsi="Calibri" w:cs="Calibri"/>
        </w:rPr>
        <w:t>.</w:t>
      </w:r>
    </w:p>
  </w:footnote>
  <w:footnote w:id="37">
    <w:p w14:paraId="7D0DA504" w14:textId="7EDC5001" w:rsidR="008C0CFE" w:rsidRPr="008C0CFE" w:rsidRDefault="008C0CFE">
      <w:pPr>
        <w:pStyle w:val="Fotnotstext"/>
      </w:pPr>
      <w:r>
        <w:rPr>
          <w:rStyle w:val="Fotnotsreferens"/>
        </w:rPr>
        <w:footnoteRef/>
      </w:r>
      <w:r>
        <w:t xml:space="preserve"> </w:t>
      </w:r>
      <w:r w:rsidRPr="008C0CFE">
        <w:rPr>
          <w:rFonts w:asciiTheme="majorHAnsi" w:hAnsiTheme="majorHAnsi"/>
          <w:i/>
          <w:lang w:val="en-GB"/>
        </w:rPr>
        <w:t xml:space="preserve">Experter </w:t>
      </w:r>
      <w:proofErr w:type="spellStart"/>
      <w:r w:rsidRPr="008C0CFE">
        <w:rPr>
          <w:rFonts w:asciiTheme="majorHAnsi" w:hAnsiTheme="majorHAnsi"/>
          <w:i/>
          <w:lang w:val="en-GB"/>
        </w:rPr>
        <w:t>oroas</w:t>
      </w:r>
      <w:proofErr w:type="spellEnd"/>
      <w:r w:rsidRPr="008C0CFE">
        <w:rPr>
          <w:rFonts w:asciiTheme="majorHAnsi" w:hAnsiTheme="majorHAnsi"/>
          <w:i/>
          <w:lang w:val="en-GB"/>
        </w:rPr>
        <w:t xml:space="preserve"> </w:t>
      </w:r>
      <w:proofErr w:type="spellStart"/>
      <w:r w:rsidRPr="008C0CFE">
        <w:rPr>
          <w:rFonts w:asciiTheme="majorHAnsi" w:hAnsiTheme="majorHAnsi"/>
          <w:i/>
          <w:lang w:val="en-GB"/>
        </w:rPr>
        <w:t>av</w:t>
      </w:r>
      <w:proofErr w:type="spellEnd"/>
      <w:r w:rsidRPr="008C0CFE">
        <w:rPr>
          <w:rFonts w:asciiTheme="majorHAnsi" w:hAnsiTheme="majorHAnsi"/>
          <w:i/>
          <w:lang w:val="en-GB"/>
        </w:rPr>
        <w:t xml:space="preserve"> </w:t>
      </w:r>
      <w:proofErr w:type="spellStart"/>
      <w:r w:rsidRPr="008C0CFE">
        <w:rPr>
          <w:rFonts w:asciiTheme="majorHAnsi" w:hAnsiTheme="majorHAnsi"/>
          <w:i/>
          <w:lang w:val="en-GB"/>
        </w:rPr>
        <w:t>utförsäljningar</w:t>
      </w:r>
      <w:proofErr w:type="spellEnd"/>
      <w:r w:rsidRPr="008C0CFE">
        <w:rPr>
          <w:rFonts w:asciiTheme="majorHAnsi" w:hAnsiTheme="majorHAnsi"/>
          <w:i/>
          <w:lang w:val="en-GB"/>
        </w:rPr>
        <w:t xml:space="preserve">, </w:t>
      </w:r>
      <w:proofErr w:type="spellStart"/>
      <w:r w:rsidRPr="008C0CFE">
        <w:rPr>
          <w:rFonts w:asciiTheme="majorHAnsi" w:hAnsiTheme="majorHAnsi"/>
          <w:i/>
          <w:lang w:val="en-GB"/>
        </w:rPr>
        <w:t>SvD</w:t>
      </w:r>
      <w:proofErr w:type="spellEnd"/>
      <w:r>
        <w:t xml:space="preserve"> Näringsliv, 170111</w:t>
      </w:r>
    </w:p>
  </w:footnote>
  <w:footnote w:id="38">
    <w:p w14:paraId="01B50592" w14:textId="77777777" w:rsidR="009E0F64" w:rsidRDefault="009E0F64" w:rsidP="00B51E9C">
      <w:pPr>
        <w:widowControl w:val="0"/>
        <w:autoSpaceDE w:val="0"/>
        <w:autoSpaceDN w:val="0"/>
        <w:adjustRightInd w:val="0"/>
      </w:pPr>
      <w:r w:rsidRPr="00AF1B1C">
        <w:rPr>
          <w:rFonts w:ascii="Calibri" w:hAnsi="Calibri" w:cs="Calibri"/>
          <w:sz w:val="20"/>
          <w:szCs w:val="20"/>
          <w:vertAlign w:val="superscript"/>
        </w:rPr>
        <w:footnoteRef/>
      </w:r>
      <w:r w:rsidRPr="00AF1B1C">
        <w:rPr>
          <w:rFonts w:ascii="Calibri" w:hAnsi="Calibri" w:cs="Calibri"/>
          <w:sz w:val="20"/>
          <w:szCs w:val="20"/>
        </w:rPr>
        <w:t xml:space="preserve"> </w:t>
      </w:r>
      <w:r w:rsidRPr="00AF1B1C">
        <w:rPr>
          <w:rFonts w:ascii="Calibri" w:hAnsi="Calibri" w:cs="Calibri"/>
          <w:i/>
          <w:sz w:val="20"/>
          <w:szCs w:val="20"/>
        </w:rPr>
        <w:t>Det svenska hyressättningssystemet</w:t>
      </w:r>
      <w:r w:rsidRPr="00AF1B1C">
        <w:rPr>
          <w:rFonts w:ascii="Calibri" w:hAnsi="Calibri" w:cs="Calibri"/>
          <w:sz w:val="20"/>
          <w:szCs w:val="20"/>
        </w:rPr>
        <w:t>, Boverket Rapport 2014:13</w:t>
      </w:r>
    </w:p>
  </w:footnote>
  <w:footnote w:id="39">
    <w:p w14:paraId="18A3594E" w14:textId="77777777" w:rsidR="009E0F64" w:rsidRPr="002655FD" w:rsidRDefault="009E0F64" w:rsidP="00B51E9C">
      <w:pPr>
        <w:widowControl w:val="0"/>
        <w:autoSpaceDE w:val="0"/>
        <w:autoSpaceDN w:val="0"/>
        <w:adjustRightInd w:val="0"/>
        <w:rPr>
          <w:rFonts w:ascii="Calibri" w:hAnsi="Calibri" w:cs="Calibri"/>
          <w:sz w:val="20"/>
          <w:szCs w:val="20"/>
        </w:rPr>
      </w:pPr>
      <w:r w:rsidRPr="002655FD">
        <w:rPr>
          <w:rFonts w:ascii="Calibri" w:hAnsi="Calibri" w:cs="Calibri"/>
          <w:sz w:val="20"/>
          <w:szCs w:val="20"/>
          <w:vertAlign w:val="superscript"/>
        </w:rPr>
        <w:footnoteRef/>
      </w:r>
      <w:r w:rsidRPr="002655FD">
        <w:rPr>
          <w:rFonts w:ascii="Calibri" w:hAnsi="Calibri" w:cs="Calibri"/>
          <w:sz w:val="20"/>
          <w:szCs w:val="20"/>
        </w:rPr>
        <w:t xml:space="preserve"> </w:t>
      </w:r>
      <w:r w:rsidRPr="005F5181">
        <w:rPr>
          <w:rFonts w:ascii="Calibri" w:hAnsi="Calibri" w:cs="Calibri"/>
          <w:i/>
          <w:sz w:val="20"/>
          <w:szCs w:val="20"/>
        </w:rPr>
        <w:t>Hyreslagen – en kommentar</w:t>
      </w:r>
      <w:r w:rsidRPr="002655FD">
        <w:rPr>
          <w:rFonts w:ascii="Calibri" w:hAnsi="Calibri" w:cs="Calibri"/>
          <w:sz w:val="20"/>
          <w:szCs w:val="20"/>
        </w:rPr>
        <w:t>, Leif Holmqvist &amp; Rune Thomson, 2010</w:t>
      </w:r>
    </w:p>
  </w:footnote>
  <w:footnote w:id="40">
    <w:p w14:paraId="4DA5BFB5" w14:textId="77777777" w:rsidR="009E0F64" w:rsidRPr="002655FD" w:rsidRDefault="009E0F64" w:rsidP="00B51E9C">
      <w:pPr>
        <w:widowControl w:val="0"/>
        <w:autoSpaceDE w:val="0"/>
        <w:autoSpaceDN w:val="0"/>
        <w:adjustRightInd w:val="0"/>
        <w:rPr>
          <w:rFonts w:ascii="Calibri" w:hAnsi="Calibri" w:cs="Calibri"/>
          <w:sz w:val="20"/>
          <w:szCs w:val="20"/>
        </w:rPr>
      </w:pPr>
      <w:r w:rsidRPr="002655FD">
        <w:rPr>
          <w:rFonts w:ascii="Calibri" w:hAnsi="Calibri" w:cs="Calibri"/>
          <w:sz w:val="20"/>
          <w:szCs w:val="20"/>
          <w:vertAlign w:val="superscript"/>
        </w:rPr>
        <w:footnoteRef/>
      </w:r>
      <w:r w:rsidRPr="002655FD">
        <w:rPr>
          <w:rFonts w:ascii="Calibri" w:hAnsi="Calibri" w:cs="Calibri"/>
          <w:sz w:val="20"/>
          <w:szCs w:val="20"/>
        </w:rPr>
        <w:t xml:space="preserve"> </w:t>
      </w:r>
      <w:r w:rsidRPr="00075BDC">
        <w:rPr>
          <w:rFonts w:ascii="Calibri" w:hAnsi="Calibri" w:cs="Calibri"/>
          <w:i/>
          <w:sz w:val="20"/>
          <w:szCs w:val="20"/>
        </w:rPr>
        <w:t>Fakta från Boverket</w:t>
      </w:r>
      <w:r w:rsidRPr="002655FD">
        <w:rPr>
          <w:rFonts w:ascii="Calibri" w:hAnsi="Calibri" w:cs="Calibri"/>
          <w:sz w:val="20"/>
          <w:szCs w:val="20"/>
        </w:rPr>
        <w:t>,</w:t>
      </w:r>
      <w:r>
        <w:rPr>
          <w:rFonts w:ascii="Calibri" w:hAnsi="Calibri" w:cs="Calibri"/>
          <w:sz w:val="20"/>
          <w:szCs w:val="20"/>
        </w:rPr>
        <w:t xml:space="preserve"> Boverket,</w:t>
      </w:r>
      <w:r w:rsidRPr="002655FD">
        <w:rPr>
          <w:rFonts w:ascii="Calibri" w:hAnsi="Calibri" w:cs="Calibri"/>
          <w:sz w:val="20"/>
          <w:szCs w:val="20"/>
        </w:rPr>
        <w:t xml:space="preserve"> 2014</w:t>
      </w:r>
    </w:p>
  </w:footnote>
  <w:footnote w:id="41">
    <w:p w14:paraId="6AB86056" w14:textId="185846FD" w:rsidR="009E0F64" w:rsidRPr="00EA64C6" w:rsidRDefault="009E0F64" w:rsidP="00B51E9C">
      <w:pPr>
        <w:widowControl w:val="0"/>
        <w:autoSpaceDE w:val="0"/>
        <w:autoSpaceDN w:val="0"/>
        <w:adjustRightInd w:val="0"/>
        <w:rPr>
          <w:rFonts w:ascii="Calibri" w:hAnsi="Calibri" w:cs="Calibri"/>
          <w:sz w:val="20"/>
          <w:szCs w:val="20"/>
        </w:rPr>
      </w:pPr>
      <w:r w:rsidRPr="00EA64C6">
        <w:rPr>
          <w:rFonts w:ascii="Calibri" w:hAnsi="Calibri" w:cs="Calibri"/>
          <w:sz w:val="20"/>
          <w:szCs w:val="20"/>
          <w:vertAlign w:val="superscript"/>
        </w:rPr>
        <w:footnoteRef/>
      </w:r>
      <w:r w:rsidRPr="00EA64C6">
        <w:rPr>
          <w:rFonts w:ascii="Calibri" w:hAnsi="Calibri" w:cs="Calibri"/>
          <w:sz w:val="20"/>
          <w:szCs w:val="20"/>
        </w:rPr>
        <w:t xml:space="preserve"> </w:t>
      </w:r>
      <w:r w:rsidRPr="00B97EC4">
        <w:rPr>
          <w:rFonts w:ascii="Calibri" w:hAnsi="Calibri" w:cs="Calibri"/>
          <w:i/>
          <w:sz w:val="20"/>
          <w:szCs w:val="20"/>
        </w:rPr>
        <w:t>Hyresgästinflytande vid ombyggnad, Bostadshyresgästernas reella besittningsskydd,</w:t>
      </w:r>
      <w:r w:rsidRPr="00927AF3">
        <w:rPr>
          <w:rFonts w:ascii="Calibri" w:hAnsi="Calibri" w:cs="Calibri"/>
          <w:sz w:val="20"/>
          <w:szCs w:val="20"/>
        </w:rPr>
        <w:t xml:space="preserve"> Ludvig Hansson, Examensarbete i hyresrätt, Juridiska institutionen, Göteborgs Universitet o Handelshögskolan, 2015</w:t>
      </w:r>
      <w:r>
        <w:rPr>
          <w:rFonts w:ascii="Calibri" w:hAnsi="Calibri" w:cs="Calibri"/>
          <w:sz w:val="20"/>
          <w:szCs w:val="20"/>
        </w:rPr>
        <w:t>,</w:t>
      </w:r>
      <w:r w:rsidRPr="00927AF3">
        <w:rPr>
          <w:rFonts w:ascii="Calibri" w:hAnsi="Calibri" w:cs="Calibri"/>
          <w:sz w:val="20"/>
          <w:szCs w:val="20"/>
        </w:rPr>
        <w:t xml:space="preserve"> </w:t>
      </w:r>
      <w:r>
        <w:rPr>
          <w:rFonts w:ascii="Calibri" w:hAnsi="Calibri" w:cs="Calibri"/>
          <w:sz w:val="20"/>
          <w:szCs w:val="20"/>
        </w:rPr>
        <w:t>s 18</w:t>
      </w:r>
      <w:r w:rsidRPr="00EA64C6">
        <w:rPr>
          <w:rFonts w:ascii="Calibri" w:hAnsi="Calibri" w:cs="Calibri"/>
          <w:sz w:val="20"/>
          <w:szCs w:val="20"/>
        </w:rPr>
        <w:t xml:space="preserve"> </w:t>
      </w:r>
    </w:p>
  </w:footnote>
  <w:footnote w:id="42">
    <w:p w14:paraId="3E54BE6D" w14:textId="77777777" w:rsidR="009E0F64" w:rsidRDefault="009E0F64" w:rsidP="00B51E9C">
      <w:r w:rsidRPr="00A2551D">
        <w:rPr>
          <w:rStyle w:val="Fotnotsreferens"/>
          <w:i/>
          <w:sz w:val="20"/>
          <w:szCs w:val="20"/>
        </w:rPr>
        <w:footnoteRef/>
      </w:r>
      <w:r>
        <w:t xml:space="preserve"> </w:t>
      </w:r>
      <w:r w:rsidRPr="00A2551D">
        <w:rPr>
          <w:rFonts w:asciiTheme="majorHAnsi" w:hAnsiTheme="majorHAnsi"/>
          <w:i/>
          <w:sz w:val="20"/>
          <w:szCs w:val="20"/>
        </w:rPr>
        <w:t>Hållbar ombyggnad – enda vägen framåt</w:t>
      </w:r>
      <w:r>
        <w:rPr>
          <w:rFonts w:asciiTheme="majorHAnsi" w:hAnsiTheme="majorHAnsi"/>
          <w:i/>
          <w:sz w:val="20"/>
          <w:szCs w:val="20"/>
        </w:rPr>
        <w:t>, Hyresgästföreningen, 2015, s.11</w:t>
      </w:r>
      <w:r w:rsidRPr="00A2551D">
        <w:rPr>
          <w:rFonts w:asciiTheme="majorHAnsi" w:hAnsiTheme="majorHAnsi"/>
          <w:i/>
          <w:sz w:val="20"/>
          <w:szCs w:val="20"/>
        </w:rPr>
        <w:t xml:space="preserve"> </w:t>
      </w:r>
    </w:p>
  </w:footnote>
  <w:footnote w:id="43">
    <w:p w14:paraId="0A4D74B6" w14:textId="6972E2BB" w:rsidR="009E0F64" w:rsidRDefault="009E0F64" w:rsidP="00B4444F">
      <w:r w:rsidRPr="004E3A45">
        <w:rPr>
          <w:rStyle w:val="Fotnotsreferens"/>
          <w:sz w:val="20"/>
          <w:szCs w:val="20"/>
        </w:rPr>
        <w:footnoteRef/>
      </w:r>
      <w:r w:rsidRPr="004E3A45">
        <w:rPr>
          <w:rFonts w:asciiTheme="majorHAnsi" w:hAnsiTheme="majorHAnsi"/>
          <w:sz w:val="20"/>
          <w:szCs w:val="20"/>
        </w:rPr>
        <w:t xml:space="preserve"> </w:t>
      </w:r>
      <w:r w:rsidRPr="004E3A45">
        <w:rPr>
          <w:rFonts w:asciiTheme="majorHAnsi" w:eastAsia="Times New Roman" w:hAnsiTheme="majorHAnsi" w:cs="Times New Roman"/>
          <w:i/>
          <w:sz w:val="20"/>
          <w:szCs w:val="20"/>
        </w:rPr>
        <w:t>Hem för miljoner, Förutsättningar för upprustning av rekordårens bostäder</w:t>
      </w:r>
      <w:r w:rsidRPr="004E3A45">
        <w:rPr>
          <w:rFonts w:asciiTheme="majorHAnsi" w:eastAsia="Times New Roman" w:hAnsiTheme="majorHAnsi" w:cs="Times New Roman"/>
          <w:sz w:val="20"/>
          <w:szCs w:val="20"/>
        </w:rPr>
        <w:t>, SABO, 2009</w:t>
      </w:r>
      <w:r>
        <w:rPr>
          <w:rFonts w:asciiTheme="majorHAnsi" w:eastAsia="Times New Roman" w:hAnsiTheme="majorHAnsi" w:cs="Times New Roman"/>
          <w:sz w:val="20"/>
          <w:szCs w:val="20"/>
        </w:rPr>
        <w:t>, s.14</w:t>
      </w:r>
    </w:p>
  </w:footnote>
  <w:footnote w:id="44">
    <w:p w14:paraId="58831F3D" w14:textId="77777777" w:rsidR="009E0F64" w:rsidRDefault="009E0F64" w:rsidP="00B51E9C">
      <w:pPr>
        <w:widowControl w:val="0"/>
        <w:autoSpaceDE w:val="0"/>
        <w:autoSpaceDN w:val="0"/>
        <w:adjustRightInd w:val="0"/>
      </w:pPr>
      <w:r w:rsidRPr="00440915">
        <w:rPr>
          <w:rFonts w:ascii="Calibri" w:hAnsi="Calibri" w:cs="Calibri"/>
          <w:sz w:val="20"/>
          <w:szCs w:val="20"/>
          <w:vertAlign w:val="superscript"/>
        </w:rPr>
        <w:footnoteRef/>
      </w:r>
      <w:r w:rsidRPr="00940256">
        <w:rPr>
          <w:rFonts w:ascii="Calibri" w:hAnsi="Calibri" w:cs="Calibri"/>
          <w:sz w:val="20"/>
          <w:szCs w:val="20"/>
        </w:rPr>
        <w:t xml:space="preserve"> </w:t>
      </w:r>
      <w:bookmarkStart w:id="240" w:name="Hyresgastinflytande"/>
      <w:r>
        <w:rPr>
          <w:rFonts w:ascii="Calibri" w:hAnsi="Calibri" w:cs="Calibri"/>
          <w:sz w:val="20"/>
          <w:szCs w:val="20"/>
        </w:rPr>
        <w:t xml:space="preserve">Hyreslagen, </w:t>
      </w:r>
      <w:r w:rsidRPr="00940256">
        <w:rPr>
          <w:rFonts w:ascii="Calibri" w:hAnsi="Calibri" w:cs="Calibri"/>
          <w:sz w:val="20"/>
          <w:szCs w:val="20"/>
        </w:rPr>
        <w:t>Hyresgästinflytande vid förbättrings- och ändringsarbete</w:t>
      </w:r>
      <w:bookmarkEnd w:id="240"/>
      <w:r>
        <w:rPr>
          <w:rFonts w:ascii="Calibri" w:hAnsi="Calibri" w:cs="Calibri"/>
          <w:sz w:val="20"/>
          <w:szCs w:val="20"/>
        </w:rPr>
        <w:t xml:space="preserve">, </w:t>
      </w:r>
      <w:bookmarkStart w:id="241" w:name="18d"/>
      <w:bookmarkEnd w:id="241"/>
      <w:r w:rsidRPr="00940256">
        <w:rPr>
          <w:rFonts w:ascii="Calibri" w:hAnsi="Calibri" w:cs="Calibri"/>
          <w:bCs/>
          <w:sz w:val="20"/>
          <w:szCs w:val="20"/>
        </w:rPr>
        <w:t>18 d §</w:t>
      </w:r>
    </w:p>
  </w:footnote>
  <w:footnote w:id="45">
    <w:p w14:paraId="39525F0C" w14:textId="77777777" w:rsidR="009E0F64" w:rsidRPr="00523800" w:rsidRDefault="009E0F64" w:rsidP="00B51E9C">
      <w:pPr>
        <w:widowControl w:val="0"/>
        <w:autoSpaceDE w:val="0"/>
        <w:autoSpaceDN w:val="0"/>
        <w:adjustRightInd w:val="0"/>
        <w:rPr>
          <w:rFonts w:ascii="Calibri" w:hAnsi="Calibri" w:cs="Calibri"/>
          <w:sz w:val="20"/>
          <w:szCs w:val="20"/>
        </w:rPr>
      </w:pPr>
      <w:r w:rsidRPr="005F5181">
        <w:rPr>
          <w:rFonts w:ascii="Calibri" w:hAnsi="Calibri" w:cs="Calibri"/>
          <w:sz w:val="20"/>
          <w:szCs w:val="20"/>
          <w:vertAlign w:val="superscript"/>
        </w:rPr>
        <w:footnoteRef/>
      </w:r>
      <w:r w:rsidRPr="00523800">
        <w:rPr>
          <w:rFonts w:ascii="Calibri" w:hAnsi="Calibri" w:cs="Calibri"/>
          <w:sz w:val="20"/>
          <w:szCs w:val="20"/>
        </w:rPr>
        <w:t xml:space="preserve"> A.a. Ludvig Hansson s 24</w:t>
      </w:r>
    </w:p>
  </w:footnote>
  <w:footnote w:id="46">
    <w:p w14:paraId="1BBDC547" w14:textId="77777777" w:rsidR="009E0F64" w:rsidRDefault="009E0F64" w:rsidP="00DF6180">
      <w:pPr>
        <w:pStyle w:val="Fotnotstext"/>
      </w:pPr>
      <w:r w:rsidRPr="00F30D66">
        <w:rPr>
          <w:rFonts w:ascii="Calibri" w:hAnsi="Calibri" w:cs="Calibri"/>
          <w:i/>
          <w:vertAlign w:val="superscript"/>
        </w:rPr>
        <w:footnoteRef/>
      </w:r>
      <w:r w:rsidRPr="00F30D66">
        <w:rPr>
          <w:rFonts w:ascii="Calibri" w:hAnsi="Calibri" w:cs="Calibri"/>
          <w:i/>
          <w:vertAlign w:val="superscript"/>
        </w:rPr>
        <w:t xml:space="preserve"> </w:t>
      </w:r>
      <w:r w:rsidRPr="007568B2">
        <w:rPr>
          <w:rFonts w:ascii="Calibri" w:hAnsi="Calibri" w:cs="Calibri"/>
          <w:i/>
        </w:rPr>
        <w:t>Ombyggnad, En kartläggning och förslag till förändringar</w:t>
      </w:r>
      <w:r w:rsidRPr="007568B2">
        <w:rPr>
          <w:rFonts w:ascii="Calibri" w:hAnsi="Calibri" w:cs="Calibri"/>
        </w:rPr>
        <w:t>, Hyresgästföreningen, 2012</w:t>
      </w:r>
    </w:p>
  </w:footnote>
  <w:footnote w:id="47">
    <w:p w14:paraId="5A45FB4D" w14:textId="77777777" w:rsidR="009E0F64" w:rsidRPr="00D935D9" w:rsidRDefault="009E0F64" w:rsidP="00DF6180">
      <w:pPr>
        <w:pStyle w:val="Fotnotstext"/>
        <w:rPr>
          <w:rFonts w:ascii="Calibri" w:hAnsi="Calibri" w:cs="Calibri"/>
        </w:rPr>
      </w:pPr>
      <w:r w:rsidRPr="00B34C44">
        <w:rPr>
          <w:rStyle w:val="Fotnotsreferens"/>
        </w:rPr>
        <w:footnoteRef/>
      </w:r>
      <w:r>
        <w:t xml:space="preserve"> </w:t>
      </w:r>
      <w:proofErr w:type="spellStart"/>
      <w:r w:rsidRPr="00D935D9">
        <w:rPr>
          <w:rFonts w:ascii="Calibri" w:hAnsi="Calibri" w:cs="Calibri"/>
        </w:rPr>
        <w:t>Prop</w:t>
      </w:r>
      <w:proofErr w:type="spellEnd"/>
      <w:r w:rsidRPr="00D935D9">
        <w:rPr>
          <w:rFonts w:ascii="Calibri" w:hAnsi="Calibri" w:cs="Calibri"/>
        </w:rPr>
        <w:t xml:space="preserve"> 2001/02:41 s 24</w:t>
      </w:r>
    </w:p>
  </w:footnote>
  <w:footnote w:id="48">
    <w:p w14:paraId="49C68FE4" w14:textId="77777777" w:rsidR="009E0F64" w:rsidRDefault="009E0F64" w:rsidP="00DF6180">
      <w:pPr>
        <w:pStyle w:val="Fotnotstext"/>
      </w:pPr>
      <w:r w:rsidRPr="00AE7857">
        <w:rPr>
          <w:rStyle w:val="Fotnotsreferens"/>
        </w:rPr>
        <w:footnoteRef/>
      </w:r>
      <w:r>
        <w:t xml:space="preserve"> </w:t>
      </w:r>
      <w:r w:rsidRPr="007568B2">
        <w:rPr>
          <w:rFonts w:ascii="Calibri" w:hAnsi="Calibri" w:cs="Calibri"/>
          <w:i/>
        </w:rPr>
        <w:t>Ombyggnad, En kartläggning och förslag till förändringar</w:t>
      </w:r>
      <w:r w:rsidRPr="007568B2">
        <w:rPr>
          <w:rFonts w:ascii="Calibri" w:hAnsi="Calibri" w:cs="Calibri"/>
        </w:rPr>
        <w:t>, Hyresgästföreningen, 2012</w:t>
      </w:r>
    </w:p>
  </w:footnote>
  <w:footnote w:id="49">
    <w:p w14:paraId="618AEC47" w14:textId="77777777" w:rsidR="009E0F64" w:rsidRDefault="009E0F64" w:rsidP="00DF6180">
      <w:pPr>
        <w:pStyle w:val="Fotnotstext"/>
      </w:pPr>
      <w:r w:rsidRPr="00D935D9">
        <w:rPr>
          <w:rFonts w:asciiTheme="majorHAnsi" w:hAnsiTheme="majorHAnsi" w:cs="Calibri"/>
          <w:vertAlign w:val="superscript"/>
        </w:rPr>
        <w:footnoteRef/>
      </w:r>
      <w:r w:rsidRPr="00D935D9">
        <w:rPr>
          <w:rFonts w:ascii="Calibri" w:hAnsi="Calibri" w:cs="Calibri"/>
        </w:rPr>
        <w:t xml:space="preserve"> </w:t>
      </w:r>
      <w:r w:rsidRPr="005F5181">
        <w:rPr>
          <w:rFonts w:ascii="Calibri" w:hAnsi="Calibri" w:cs="Calibri"/>
        </w:rPr>
        <w:t xml:space="preserve">A.a. Ludvig Hansson s </w:t>
      </w:r>
      <w:r>
        <w:rPr>
          <w:rFonts w:ascii="Calibri" w:hAnsi="Calibri" w:cs="Calibri"/>
        </w:rPr>
        <w:t>6</w:t>
      </w:r>
    </w:p>
  </w:footnote>
  <w:footnote w:id="50">
    <w:p w14:paraId="29974074" w14:textId="77777777" w:rsidR="009E0F64" w:rsidRPr="00BA366B" w:rsidRDefault="009E0F64" w:rsidP="00DF6180">
      <w:pPr>
        <w:pStyle w:val="Fotnotstext"/>
        <w:rPr>
          <w:rFonts w:ascii="Calibri" w:hAnsi="Calibri" w:cs="Calibri"/>
        </w:rPr>
      </w:pPr>
      <w:r w:rsidRPr="00BA366B">
        <w:rPr>
          <w:rStyle w:val="Fotnotsreferens"/>
        </w:rPr>
        <w:footnoteRef/>
      </w:r>
      <w:r>
        <w:t xml:space="preserve"> </w:t>
      </w:r>
      <w:r w:rsidRPr="00BA366B">
        <w:rPr>
          <w:rFonts w:ascii="Calibri" w:hAnsi="Calibri" w:cs="Calibri"/>
        </w:rPr>
        <w:t>Kommittédirektiv 2015:83</w:t>
      </w:r>
    </w:p>
  </w:footnote>
  <w:footnote w:id="51">
    <w:p w14:paraId="28151AD0" w14:textId="77777777" w:rsidR="009E0F64" w:rsidRPr="00CB0745" w:rsidRDefault="009E0F64" w:rsidP="00B51E9C">
      <w:pPr>
        <w:widowControl w:val="0"/>
        <w:autoSpaceDE w:val="0"/>
        <w:autoSpaceDN w:val="0"/>
        <w:adjustRightInd w:val="0"/>
        <w:rPr>
          <w:rFonts w:ascii="Calibri" w:hAnsi="Calibri" w:cs="Calibri"/>
          <w:sz w:val="20"/>
          <w:szCs w:val="20"/>
          <w:lang w:val="en-GB"/>
        </w:rPr>
      </w:pPr>
      <w:r w:rsidRPr="004878F5">
        <w:rPr>
          <w:rFonts w:ascii="Calibri" w:hAnsi="Calibri" w:cs="Calibri"/>
          <w:sz w:val="20"/>
          <w:szCs w:val="20"/>
          <w:vertAlign w:val="superscript"/>
        </w:rPr>
        <w:footnoteRef/>
      </w:r>
      <w:r w:rsidRPr="00CB0745">
        <w:rPr>
          <w:rFonts w:ascii="Calibri" w:hAnsi="Calibri" w:cs="Calibri"/>
          <w:sz w:val="20"/>
          <w:szCs w:val="20"/>
          <w:vertAlign w:val="superscript"/>
          <w:lang w:val="en-GB"/>
        </w:rPr>
        <w:t xml:space="preserve"> </w:t>
      </w:r>
      <w:r w:rsidRPr="00CB0745">
        <w:rPr>
          <w:rFonts w:ascii="Calibri" w:hAnsi="Calibri" w:cs="Calibri"/>
          <w:sz w:val="20"/>
          <w:szCs w:val="20"/>
          <w:lang w:val="en-GB"/>
        </w:rPr>
        <w:t>Prop. 1996/97:30 s 73</w:t>
      </w:r>
    </w:p>
  </w:footnote>
  <w:footnote w:id="52">
    <w:p w14:paraId="4CB27408" w14:textId="77777777" w:rsidR="009E0F64" w:rsidRPr="00CB0745" w:rsidRDefault="009E0F64" w:rsidP="00B51E9C">
      <w:pPr>
        <w:widowControl w:val="0"/>
        <w:autoSpaceDE w:val="0"/>
        <w:autoSpaceDN w:val="0"/>
        <w:adjustRightInd w:val="0"/>
        <w:rPr>
          <w:rFonts w:ascii="Calibri" w:hAnsi="Calibri" w:cs="Calibri"/>
          <w:sz w:val="20"/>
          <w:szCs w:val="20"/>
          <w:lang w:val="en-GB"/>
        </w:rPr>
      </w:pPr>
      <w:r w:rsidRPr="008C3406">
        <w:rPr>
          <w:rStyle w:val="Fotnotsreferens"/>
          <w:sz w:val="20"/>
          <w:szCs w:val="20"/>
        </w:rPr>
        <w:footnoteRef/>
      </w:r>
      <w:r w:rsidRPr="00CB0745">
        <w:rPr>
          <w:lang w:val="en-GB"/>
        </w:rPr>
        <w:t xml:space="preserve"> </w:t>
      </w:r>
      <w:proofErr w:type="spellStart"/>
      <w:r w:rsidRPr="00CB0745">
        <w:rPr>
          <w:rFonts w:ascii="Calibri" w:hAnsi="Calibri" w:cs="Calibri"/>
          <w:sz w:val="20"/>
          <w:szCs w:val="20"/>
          <w:lang w:val="en-GB"/>
        </w:rPr>
        <w:t>A.a</w:t>
      </w:r>
      <w:proofErr w:type="spellEnd"/>
      <w:r w:rsidRPr="00CB0745">
        <w:rPr>
          <w:rFonts w:ascii="Calibri" w:hAnsi="Calibri" w:cs="Calibri"/>
          <w:sz w:val="20"/>
          <w:szCs w:val="20"/>
          <w:lang w:val="en-GB"/>
        </w:rPr>
        <w:t>.</w:t>
      </w:r>
    </w:p>
  </w:footnote>
  <w:footnote w:id="53">
    <w:p w14:paraId="751A21E8" w14:textId="77777777" w:rsidR="009E0F64" w:rsidRPr="00CB0745" w:rsidRDefault="009E0F64" w:rsidP="00B51E9C">
      <w:pPr>
        <w:pStyle w:val="Fotnotstext"/>
        <w:rPr>
          <w:lang w:val="en-GB"/>
        </w:rPr>
      </w:pPr>
      <w:r w:rsidRPr="00FE1975">
        <w:rPr>
          <w:rStyle w:val="Fotnotsreferens"/>
        </w:rPr>
        <w:footnoteRef/>
      </w:r>
      <w:r w:rsidRPr="00CB0745">
        <w:rPr>
          <w:lang w:val="en-GB"/>
        </w:rPr>
        <w:t xml:space="preserve"> </w:t>
      </w:r>
      <w:proofErr w:type="spellStart"/>
      <w:r w:rsidRPr="00CB0745">
        <w:rPr>
          <w:rFonts w:ascii="Calibri" w:hAnsi="Calibri" w:cs="Calibri"/>
          <w:lang w:val="en-GB"/>
        </w:rPr>
        <w:t>A.a</w:t>
      </w:r>
      <w:proofErr w:type="spellEnd"/>
      <w:r w:rsidRPr="00CB0745">
        <w:rPr>
          <w:rFonts w:ascii="Calibri" w:hAnsi="Calibri" w:cs="Calibri"/>
          <w:lang w:val="en-GB"/>
        </w:rPr>
        <w:t xml:space="preserve">. </w:t>
      </w:r>
      <w:proofErr w:type="spellStart"/>
      <w:r w:rsidRPr="00CB0745">
        <w:rPr>
          <w:rFonts w:ascii="Calibri" w:hAnsi="Calibri" w:cs="Calibri"/>
          <w:lang w:val="en-GB"/>
        </w:rPr>
        <w:t>Ludvig</w:t>
      </w:r>
      <w:proofErr w:type="spellEnd"/>
      <w:r w:rsidRPr="00CB0745">
        <w:rPr>
          <w:rFonts w:ascii="Calibri" w:hAnsi="Calibri" w:cs="Calibri"/>
          <w:lang w:val="en-GB"/>
        </w:rPr>
        <w:t xml:space="preserve"> Hansson s 25</w:t>
      </w:r>
    </w:p>
  </w:footnote>
  <w:footnote w:id="54">
    <w:p w14:paraId="0693BAAB" w14:textId="77777777" w:rsidR="009E0F64" w:rsidRPr="00523800" w:rsidRDefault="009E0F64" w:rsidP="00B51E9C">
      <w:pPr>
        <w:widowControl w:val="0"/>
        <w:autoSpaceDE w:val="0"/>
        <w:autoSpaceDN w:val="0"/>
        <w:adjustRightInd w:val="0"/>
      </w:pPr>
      <w:r w:rsidRPr="007568B2">
        <w:rPr>
          <w:rStyle w:val="Fotnotsreferens"/>
          <w:sz w:val="20"/>
          <w:szCs w:val="20"/>
        </w:rPr>
        <w:footnoteRef/>
      </w:r>
      <w:r w:rsidRPr="00523800">
        <w:t xml:space="preserve"> </w:t>
      </w:r>
      <w:r w:rsidRPr="00523800">
        <w:rPr>
          <w:rFonts w:ascii="Calibri" w:hAnsi="Calibri" w:cs="Calibri"/>
          <w:sz w:val="20"/>
          <w:szCs w:val="20"/>
        </w:rPr>
        <w:t>Prop. 1996/97:30 s 73</w:t>
      </w:r>
    </w:p>
  </w:footnote>
  <w:footnote w:id="55">
    <w:p w14:paraId="6C6CEF7C" w14:textId="77777777" w:rsidR="009E0F64" w:rsidRPr="007568B2" w:rsidRDefault="009E0F64" w:rsidP="00B51E9C">
      <w:pPr>
        <w:pStyle w:val="Fotnotstext"/>
        <w:rPr>
          <w:rFonts w:ascii="Calibri" w:hAnsi="Calibri" w:cs="Calibri"/>
        </w:rPr>
      </w:pPr>
      <w:r w:rsidRPr="007568B2">
        <w:rPr>
          <w:rStyle w:val="Fotnotsreferens"/>
        </w:rPr>
        <w:footnoteRef/>
      </w:r>
      <w:r w:rsidRPr="007568B2">
        <w:rPr>
          <w:rFonts w:asciiTheme="majorHAnsi" w:hAnsiTheme="majorHAnsi"/>
        </w:rPr>
        <w:t xml:space="preserve"> </w:t>
      </w:r>
      <w:r w:rsidRPr="007568B2">
        <w:rPr>
          <w:rFonts w:ascii="Calibri" w:hAnsi="Calibri" w:cs="Calibri"/>
          <w:i/>
        </w:rPr>
        <w:t>Ombyggnad, En kartläggning och förslag till förändringar</w:t>
      </w:r>
      <w:r w:rsidRPr="007568B2">
        <w:rPr>
          <w:rFonts w:ascii="Calibri" w:hAnsi="Calibri" w:cs="Calibri"/>
        </w:rPr>
        <w:t xml:space="preserve">, Hyresgästföreningen, 2012 </w:t>
      </w:r>
    </w:p>
  </w:footnote>
  <w:footnote w:id="56">
    <w:p w14:paraId="2A2C5F2F" w14:textId="01C6F248" w:rsidR="009E0F64" w:rsidRPr="003B678A" w:rsidRDefault="009E0F64" w:rsidP="00B51E9C">
      <w:pPr>
        <w:widowControl w:val="0"/>
        <w:autoSpaceDE w:val="0"/>
        <w:autoSpaceDN w:val="0"/>
        <w:adjustRightInd w:val="0"/>
        <w:rPr>
          <w:rFonts w:ascii="Calibri" w:hAnsi="Calibri" w:cs="Calibri"/>
          <w:sz w:val="20"/>
          <w:szCs w:val="20"/>
        </w:rPr>
      </w:pPr>
      <w:r w:rsidRPr="003B678A">
        <w:rPr>
          <w:rFonts w:ascii="Calibri" w:hAnsi="Calibri" w:cs="Calibri"/>
          <w:sz w:val="20"/>
          <w:szCs w:val="20"/>
          <w:vertAlign w:val="superscript"/>
        </w:rPr>
        <w:footnoteRef/>
      </w:r>
      <w:r w:rsidRPr="003B678A">
        <w:rPr>
          <w:rFonts w:ascii="Calibri" w:hAnsi="Calibri" w:cs="Calibri"/>
          <w:sz w:val="20"/>
          <w:szCs w:val="20"/>
        </w:rPr>
        <w:t xml:space="preserve"> </w:t>
      </w:r>
      <w:r w:rsidRPr="00EA64C6">
        <w:rPr>
          <w:rFonts w:ascii="Calibri" w:hAnsi="Calibri" w:cs="Calibri"/>
          <w:sz w:val="20"/>
          <w:szCs w:val="20"/>
        </w:rPr>
        <w:t>A.a. Ludvig Hansson</w:t>
      </w:r>
    </w:p>
  </w:footnote>
  <w:footnote w:id="57">
    <w:p w14:paraId="034C60B9" w14:textId="5A14265F" w:rsidR="009E0F64" w:rsidRPr="004F37F0" w:rsidRDefault="009E0F64" w:rsidP="00B51E9C">
      <w:pPr>
        <w:widowControl w:val="0"/>
        <w:autoSpaceDE w:val="0"/>
        <w:autoSpaceDN w:val="0"/>
        <w:adjustRightInd w:val="0"/>
        <w:rPr>
          <w:rFonts w:ascii="Calibri" w:hAnsi="Calibri" w:cs="Calibri"/>
          <w:sz w:val="20"/>
          <w:szCs w:val="20"/>
        </w:rPr>
      </w:pPr>
      <w:r w:rsidRPr="003B678A">
        <w:rPr>
          <w:rFonts w:ascii="Calibri" w:hAnsi="Calibri" w:cs="Calibri"/>
          <w:sz w:val="20"/>
          <w:szCs w:val="20"/>
          <w:vertAlign w:val="superscript"/>
        </w:rPr>
        <w:footnoteRef/>
      </w:r>
      <w:r w:rsidRPr="004F37F0">
        <w:rPr>
          <w:rFonts w:ascii="Calibri" w:hAnsi="Calibri" w:cs="Calibri"/>
          <w:sz w:val="20"/>
          <w:szCs w:val="20"/>
        </w:rPr>
        <w:t xml:space="preserve"> A.a. </w:t>
      </w:r>
      <w:r w:rsidRPr="00EA64C6">
        <w:rPr>
          <w:rFonts w:ascii="Calibri" w:hAnsi="Calibri" w:cs="Calibri"/>
          <w:sz w:val="20"/>
          <w:szCs w:val="20"/>
        </w:rPr>
        <w:t>Ludvig Hansson</w:t>
      </w:r>
      <w:r w:rsidRPr="004F37F0">
        <w:rPr>
          <w:rFonts w:ascii="Calibri" w:hAnsi="Calibri" w:cs="Calibri"/>
          <w:sz w:val="20"/>
          <w:szCs w:val="20"/>
        </w:rPr>
        <w:t xml:space="preserve"> sid 4</w:t>
      </w:r>
    </w:p>
  </w:footnote>
  <w:footnote w:id="58">
    <w:p w14:paraId="64045D0A" w14:textId="7FD00086" w:rsidR="009E0F64" w:rsidRDefault="009E0F64" w:rsidP="00E4748A">
      <w:r w:rsidRPr="00E4748A">
        <w:rPr>
          <w:rStyle w:val="Fotnotsreferens"/>
          <w:sz w:val="20"/>
          <w:szCs w:val="20"/>
        </w:rPr>
        <w:footnoteRef/>
      </w:r>
      <w:r>
        <w:t xml:space="preserve"> </w:t>
      </w:r>
      <w:r w:rsidRPr="00E4748A">
        <w:rPr>
          <w:rFonts w:ascii="Calibri" w:hAnsi="Calibri" w:cs="Calibri"/>
          <w:sz w:val="20"/>
          <w:szCs w:val="20"/>
        </w:rPr>
        <w:t>Hyresgästinflytande vid förbättrings- och ändringsarbeten, särskilt om hyreshöjningar, Juridi</w:t>
      </w:r>
      <w:r>
        <w:rPr>
          <w:rFonts w:ascii="Calibri" w:hAnsi="Calibri" w:cs="Calibri"/>
          <w:sz w:val="20"/>
          <w:szCs w:val="20"/>
        </w:rPr>
        <w:t xml:space="preserve">ska fakulteten, </w:t>
      </w:r>
      <w:r w:rsidRPr="00E4748A">
        <w:rPr>
          <w:rFonts w:ascii="Calibri" w:hAnsi="Calibri" w:cs="Calibri"/>
          <w:sz w:val="20"/>
          <w:szCs w:val="20"/>
        </w:rPr>
        <w:t>Karin Wetterberg, 2016</w:t>
      </w:r>
    </w:p>
  </w:footnote>
  <w:footnote w:id="59">
    <w:p w14:paraId="4BD70AEB" w14:textId="77777777" w:rsidR="009E0F64" w:rsidRPr="00CB0745" w:rsidRDefault="009E0F64" w:rsidP="00B51E9C">
      <w:pPr>
        <w:pStyle w:val="Fotnotstext"/>
        <w:rPr>
          <w:rFonts w:ascii="Calibri" w:hAnsi="Calibri" w:cs="Calibri"/>
          <w:i/>
          <w:lang w:val="en-GB"/>
        </w:rPr>
      </w:pPr>
      <w:r w:rsidRPr="00A12B9E">
        <w:rPr>
          <w:rFonts w:ascii="Calibri" w:hAnsi="Calibri" w:cs="Calibri"/>
          <w:i/>
          <w:vertAlign w:val="superscript"/>
        </w:rPr>
        <w:footnoteRef/>
      </w:r>
      <w:r w:rsidRPr="00CB0745">
        <w:rPr>
          <w:rFonts w:ascii="Calibri" w:hAnsi="Calibri" w:cs="Calibri"/>
          <w:i/>
          <w:lang w:val="en-GB"/>
        </w:rPr>
        <w:t xml:space="preserve"> ÖH 6317-11; 2011-12-06, ÖH 90-13, 2013-12-13 s 7, se </w:t>
      </w:r>
      <w:proofErr w:type="spellStart"/>
      <w:proofErr w:type="gramStart"/>
      <w:r w:rsidRPr="00CB0745">
        <w:rPr>
          <w:rFonts w:ascii="Calibri" w:hAnsi="Calibri" w:cs="Calibri"/>
          <w:i/>
          <w:lang w:val="en-GB"/>
        </w:rPr>
        <w:t>a.a</w:t>
      </w:r>
      <w:proofErr w:type="spellEnd"/>
      <w:proofErr w:type="gramEnd"/>
      <w:r w:rsidRPr="00CB0745">
        <w:rPr>
          <w:rFonts w:ascii="Calibri" w:hAnsi="Calibri" w:cs="Calibri"/>
          <w:i/>
          <w:lang w:val="en-GB"/>
        </w:rPr>
        <w:t xml:space="preserve">. </w:t>
      </w:r>
      <w:proofErr w:type="spellStart"/>
      <w:r w:rsidRPr="00CB0745">
        <w:rPr>
          <w:rFonts w:ascii="Calibri" w:hAnsi="Calibri" w:cs="Calibri"/>
          <w:i/>
          <w:lang w:val="en-GB"/>
        </w:rPr>
        <w:t>Ludvig</w:t>
      </w:r>
      <w:proofErr w:type="spellEnd"/>
      <w:r w:rsidRPr="00CB0745">
        <w:rPr>
          <w:rFonts w:ascii="Calibri" w:hAnsi="Calibri" w:cs="Calibri"/>
          <w:i/>
          <w:lang w:val="en-GB"/>
        </w:rPr>
        <w:t xml:space="preserve"> Hansson s26 ff. </w:t>
      </w:r>
    </w:p>
  </w:footnote>
  <w:footnote w:id="60">
    <w:p w14:paraId="13CAA893" w14:textId="77777777" w:rsidR="009E0F64" w:rsidRPr="00CB0745" w:rsidRDefault="009E0F64" w:rsidP="00B51E9C">
      <w:pPr>
        <w:pStyle w:val="Fotnotstext"/>
        <w:rPr>
          <w:rFonts w:ascii="Calibri" w:hAnsi="Calibri" w:cs="Calibri"/>
          <w:i/>
          <w:lang w:val="en-GB"/>
        </w:rPr>
      </w:pPr>
      <w:r w:rsidRPr="00DB458F">
        <w:rPr>
          <w:rFonts w:ascii="Calibri" w:hAnsi="Calibri" w:cs="Calibri"/>
          <w:i/>
          <w:vertAlign w:val="superscript"/>
        </w:rPr>
        <w:footnoteRef/>
      </w:r>
      <w:r w:rsidRPr="00CB0745">
        <w:rPr>
          <w:rFonts w:ascii="Calibri" w:hAnsi="Calibri" w:cs="Calibri"/>
          <w:i/>
          <w:lang w:val="en-GB"/>
        </w:rPr>
        <w:t xml:space="preserve"> Prop. 2001/02:41 s 70</w:t>
      </w:r>
    </w:p>
  </w:footnote>
  <w:footnote w:id="61">
    <w:p w14:paraId="60B1C2A7" w14:textId="77777777" w:rsidR="009E0F64" w:rsidRDefault="009E0F64" w:rsidP="00B51E9C">
      <w:pPr>
        <w:pStyle w:val="Fotnotstext"/>
      </w:pPr>
      <w:r w:rsidRPr="00CA3D21">
        <w:rPr>
          <w:rFonts w:ascii="Calibri" w:hAnsi="Calibri" w:cs="Calibri"/>
          <w:i/>
          <w:vertAlign w:val="superscript"/>
        </w:rPr>
        <w:footnoteRef/>
      </w:r>
      <w:r w:rsidRPr="00CA3D21">
        <w:rPr>
          <w:rFonts w:ascii="Calibri" w:hAnsi="Calibri" w:cs="Calibri"/>
          <w:i/>
          <w:vertAlign w:val="superscript"/>
        </w:rPr>
        <w:t xml:space="preserve"> </w:t>
      </w:r>
      <w:r>
        <w:rPr>
          <w:rFonts w:ascii="Calibri" w:hAnsi="Calibri" w:cs="Calibri"/>
          <w:i/>
          <w:vertAlign w:val="superscript"/>
        </w:rPr>
        <w:t xml:space="preserve"> </w:t>
      </w:r>
      <w:r>
        <w:rPr>
          <w:rFonts w:ascii="Calibri" w:hAnsi="Calibri" w:cs="Calibri"/>
          <w:i/>
        </w:rPr>
        <w:t xml:space="preserve">ÖH </w:t>
      </w:r>
      <w:proofErr w:type="gramStart"/>
      <w:r>
        <w:rPr>
          <w:rFonts w:ascii="Calibri" w:hAnsi="Calibri" w:cs="Calibri"/>
          <w:i/>
        </w:rPr>
        <w:t>9599-13:2014</w:t>
      </w:r>
      <w:proofErr w:type="gramEnd"/>
      <w:r>
        <w:rPr>
          <w:rFonts w:ascii="Calibri" w:hAnsi="Calibri" w:cs="Calibri"/>
          <w:i/>
        </w:rPr>
        <w:t>-11-20, se a.a. Ludvig Hansson s. 27-28</w:t>
      </w:r>
    </w:p>
  </w:footnote>
  <w:footnote w:id="62">
    <w:p w14:paraId="1E8563CD" w14:textId="77777777" w:rsidR="009E0F64" w:rsidRPr="004268F7" w:rsidRDefault="009E0F64" w:rsidP="00B51E9C">
      <w:pPr>
        <w:pStyle w:val="Fotnotstext"/>
        <w:rPr>
          <w:rFonts w:ascii="Calibri" w:hAnsi="Calibri" w:cs="Calibri"/>
          <w:i/>
        </w:rPr>
      </w:pPr>
      <w:r w:rsidRPr="004268F7">
        <w:rPr>
          <w:rFonts w:ascii="Calibri" w:hAnsi="Calibri" w:cs="Calibri"/>
          <w:vertAlign w:val="superscript"/>
        </w:rPr>
        <w:footnoteRef/>
      </w:r>
      <w:r w:rsidRPr="004268F7">
        <w:rPr>
          <w:rFonts w:ascii="Calibri" w:hAnsi="Calibri" w:cs="Calibri"/>
          <w:i/>
        </w:rPr>
        <w:t xml:space="preserve"> HN 5802-14; 2015-02-03</w:t>
      </w:r>
      <w:r>
        <w:rPr>
          <w:rFonts w:ascii="Calibri" w:hAnsi="Calibri" w:cs="Calibri"/>
          <w:i/>
        </w:rPr>
        <w:t>, se a.a. Ludvig Hansson s. 28</w:t>
      </w:r>
    </w:p>
  </w:footnote>
  <w:footnote w:id="63">
    <w:p w14:paraId="7E526EDC" w14:textId="77777777" w:rsidR="009E0F64" w:rsidRPr="00D927A8" w:rsidRDefault="009E0F64" w:rsidP="00B51E9C">
      <w:pPr>
        <w:pStyle w:val="Fotnotstext"/>
        <w:rPr>
          <w:rFonts w:ascii="Calibri" w:hAnsi="Calibri" w:cs="Calibri"/>
          <w:i/>
        </w:rPr>
      </w:pPr>
      <w:r w:rsidRPr="00D927A8">
        <w:rPr>
          <w:rFonts w:ascii="Calibri" w:hAnsi="Calibri" w:cs="Calibri"/>
          <w:vertAlign w:val="superscript"/>
        </w:rPr>
        <w:footnoteRef/>
      </w:r>
      <w:r w:rsidRPr="00D927A8">
        <w:rPr>
          <w:rFonts w:ascii="Calibri" w:hAnsi="Calibri" w:cs="Calibri"/>
          <w:i/>
        </w:rPr>
        <w:t xml:space="preserve"> RH 2000:32, </w:t>
      </w:r>
      <w:r>
        <w:rPr>
          <w:rFonts w:ascii="Calibri" w:hAnsi="Calibri" w:cs="Calibri"/>
          <w:i/>
        </w:rPr>
        <w:t>se a.a. Ludvig Hansson s. 28-29</w:t>
      </w:r>
    </w:p>
  </w:footnote>
  <w:footnote w:id="64">
    <w:p w14:paraId="3B73E163" w14:textId="77777777" w:rsidR="009E0F64" w:rsidRDefault="009E0F64" w:rsidP="00B51E9C">
      <w:pPr>
        <w:pStyle w:val="Fotnotstext"/>
      </w:pPr>
      <w:r w:rsidRPr="00561A8C">
        <w:rPr>
          <w:rFonts w:ascii="Calibri" w:hAnsi="Calibri" w:cs="Calibri"/>
          <w:i/>
          <w:vertAlign w:val="superscript"/>
        </w:rPr>
        <w:footnoteRef/>
      </w:r>
      <w:r w:rsidRPr="00561A8C">
        <w:rPr>
          <w:rFonts w:ascii="Calibri" w:hAnsi="Calibri" w:cs="Calibri"/>
          <w:i/>
          <w:vertAlign w:val="superscript"/>
        </w:rPr>
        <w:t xml:space="preserve"> </w:t>
      </w:r>
      <w:r>
        <w:t>S</w:t>
      </w:r>
      <w:r>
        <w:rPr>
          <w:rFonts w:ascii="Calibri" w:hAnsi="Calibri" w:cs="Calibri"/>
          <w:i/>
        </w:rPr>
        <w:t>e a.a. Ludvig Hansson s. 40-45</w:t>
      </w:r>
    </w:p>
  </w:footnote>
  <w:footnote w:id="65">
    <w:p w14:paraId="679A695B" w14:textId="77777777" w:rsidR="009E0F64" w:rsidRDefault="009E0F64" w:rsidP="00B51E9C">
      <w:pPr>
        <w:pStyle w:val="Fotnotstext"/>
      </w:pPr>
      <w:r w:rsidRPr="00F5029F">
        <w:rPr>
          <w:rStyle w:val="Fotnotsreferens"/>
          <w:i/>
        </w:rPr>
        <w:footnoteRef/>
      </w:r>
      <w:r w:rsidRPr="00F5029F">
        <w:rPr>
          <w:rFonts w:asciiTheme="majorHAnsi" w:hAnsiTheme="majorHAnsi"/>
          <w:vertAlign w:val="superscript"/>
        </w:rPr>
        <w:t xml:space="preserve"> </w:t>
      </w:r>
      <w:r w:rsidRPr="00DB458F">
        <w:rPr>
          <w:rFonts w:ascii="Calibri" w:hAnsi="Calibri" w:cs="Calibri"/>
          <w:i/>
        </w:rPr>
        <w:t>Prop. 2001/02:41 s 70</w:t>
      </w:r>
      <w:r>
        <w:rPr>
          <w:rFonts w:ascii="Calibri" w:hAnsi="Calibri" w:cs="Calibri"/>
          <w:i/>
        </w:rPr>
        <w:t xml:space="preserve"> Se a.a. Ludvig Hansson s. 38</w:t>
      </w:r>
    </w:p>
  </w:footnote>
  <w:footnote w:id="66">
    <w:p w14:paraId="29C8B275" w14:textId="77777777" w:rsidR="009E0F64" w:rsidRPr="007B30CF" w:rsidRDefault="009E0F64" w:rsidP="00B51E9C">
      <w:pPr>
        <w:pStyle w:val="Fotnotstext"/>
        <w:rPr>
          <w:rFonts w:ascii="Calibri" w:hAnsi="Calibri" w:cs="Calibri"/>
          <w:i/>
        </w:rPr>
      </w:pPr>
      <w:r w:rsidRPr="007B30CF">
        <w:rPr>
          <w:rStyle w:val="Fotnotsreferens"/>
          <w:i/>
        </w:rPr>
        <w:footnoteRef/>
      </w:r>
      <w:r>
        <w:t xml:space="preserve"> </w:t>
      </w:r>
      <w:r w:rsidRPr="007B30CF">
        <w:rPr>
          <w:rFonts w:ascii="Calibri" w:hAnsi="Calibri" w:cs="Calibri"/>
          <w:i/>
        </w:rPr>
        <w:t xml:space="preserve">Skrivelse till riksdagens Bostadsutskott angående regeringens proposition 2001/02:41 </w:t>
      </w:r>
      <w:hyperlink r:id="rId4" w:history="1">
        <w:r w:rsidRPr="007B30CF">
          <w:rPr>
            <w:rFonts w:ascii="Calibri" w:hAnsi="Calibri" w:cs="Calibri"/>
            <w:i/>
          </w:rPr>
          <w:t>www.fastighetsagarna.se</w:t>
        </w:r>
      </w:hyperlink>
    </w:p>
  </w:footnote>
  <w:footnote w:id="67">
    <w:p w14:paraId="137309A6" w14:textId="77777777" w:rsidR="009E0F64" w:rsidRDefault="009E0F64" w:rsidP="00B51E9C">
      <w:pPr>
        <w:pStyle w:val="Fotnotstext"/>
      </w:pPr>
      <w:r w:rsidRPr="007B30CF">
        <w:rPr>
          <w:rStyle w:val="Fotnotsreferens"/>
          <w:i/>
        </w:rPr>
        <w:footnoteRef/>
      </w:r>
      <w:r w:rsidRPr="007B30CF">
        <w:rPr>
          <w:i/>
        </w:rPr>
        <w:t xml:space="preserve"> </w:t>
      </w:r>
      <w:r>
        <w:rPr>
          <w:rFonts w:ascii="Calibri" w:hAnsi="Calibri" w:cs="Calibri"/>
          <w:i/>
        </w:rPr>
        <w:t>Se a.a. Ludvig Hansson s. 38 o 45</w:t>
      </w:r>
    </w:p>
  </w:footnote>
  <w:footnote w:id="68">
    <w:p w14:paraId="3F45E24C" w14:textId="77777777" w:rsidR="009E0F64" w:rsidRPr="0035027F" w:rsidRDefault="009E0F64" w:rsidP="00B51E9C">
      <w:pPr>
        <w:rPr>
          <w:rFonts w:asciiTheme="majorHAnsi" w:hAnsiTheme="majorHAnsi"/>
          <w:i/>
          <w:sz w:val="20"/>
          <w:szCs w:val="20"/>
        </w:rPr>
      </w:pPr>
      <w:r w:rsidRPr="0035027F">
        <w:rPr>
          <w:rStyle w:val="Fotnotsreferens"/>
          <w:i/>
          <w:sz w:val="20"/>
          <w:szCs w:val="20"/>
        </w:rPr>
        <w:footnoteRef/>
      </w:r>
      <w:r w:rsidRPr="0035027F">
        <w:rPr>
          <w:rFonts w:asciiTheme="majorHAnsi" w:hAnsiTheme="majorHAnsi"/>
          <w:i/>
          <w:sz w:val="20"/>
          <w:szCs w:val="20"/>
        </w:rPr>
        <w:t xml:space="preserve"> </w:t>
      </w:r>
      <w:r>
        <w:rPr>
          <w:rFonts w:asciiTheme="majorHAnsi" w:eastAsia="Times New Roman" w:hAnsiTheme="majorHAnsi" w:cs="Arial"/>
          <w:color w:val="000000"/>
          <w:sz w:val="20"/>
          <w:szCs w:val="20"/>
          <w:shd w:val="clear" w:color="auto" w:fill="FFFFFF"/>
        </w:rPr>
        <w:t>P</w:t>
      </w:r>
      <w:r w:rsidRPr="0035027F">
        <w:rPr>
          <w:rFonts w:asciiTheme="majorHAnsi" w:eastAsia="Times New Roman" w:hAnsiTheme="majorHAnsi" w:cs="Arial"/>
          <w:color w:val="000000"/>
          <w:sz w:val="20"/>
          <w:szCs w:val="20"/>
          <w:shd w:val="clear" w:color="auto" w:fill="FFFFFF"/>
        </w:rPr>
        <w:t>roposition 1996/97:30 Hyresgästinflytande vid ombyggnad m.m. 5.1 Allmänna utgångspunkter för en reform</w:t>
      </w:r>
    </w:p>
  </w:footnote>
  <w:footnote w:id="69">
    <w:p w14:paraId="770751E7" w14:textId="77777777" w:rsidR="009E0F64" w:rsidRDefault="009E0F64" w:rsidP="00B51E9C">
      <w:pPr>
        <w:widowControl w:val="0"/>
        <w:autoSpaceDE w:val="0"/>
        <w:autoSpaceDN w:val="0"/>
        <w:adjustRightInd w:val="0"/>
      </w:pPr>
      <w:r w:rsidRPr="00327220">
        <w:rPr>
          <w:rStyle w:val="Fotnotsreferens"/>
          <w:i/>
          <w:sz w:val="20"/>
          <w:szCs w:val="20"/>
        </w:rPr>
        <w:footnoteRef/>
      </w:r>
      <w:r w:rsidRPr="00327220">
        <w:rPr>
          <w:rStyle w:val="Fotnotsreferens"/>
          <w:i/>
          <w:sz w:val="20"/>
          <w:szCs w:val="20"/>
        </w:rPr>
        <w:t xml:space="preserve"> </w:t>
      </w:r>
      <w:r w:rsidRPr="00927AF3">
        <w:rPr>
          <w:rFonts w:ascii="Calibri" w:hAnsi="Calibri" w:cs="Calibri"/>
          <w:sz w:val="20"/>
          <w:szCs w:val="20"/>
        </w:rPr>
        <w:t>Hyresgästinflytande vid ombyggnad, Bostadshyresgästernas reella besittningsskydd, Ludvig Hansson, Examensarbete i hyresrätt, Juridiska institutionen, Göteborgs Universitet o Handelshögskolan, 2015</w:t>
      </w:r>
    </w:p>
  </w:footnote>
  <w:footnote w:id="70">
    <w:p w14:paraId="6EDDF204" w14:textId="77777777" w:rsidR="009E0F64" w:rsidRPr="008535CB" w:rsidRDefault="009E0F64" w:rsidP="00B51E9C">
      <w:pPr>
        <w:widowControl w:val="0"/>
        <w:autoSpaceDE w:val="0"/>
        <w:autoSpaceDN w:val="0"/>
        <w:adjustRightInd w:val="0"/>
        <w:spacing w:line="200" w:lineRule="atLeast"/>
        <w:rPr>
          <w:i/>
        </w:rPr>
      </w:pPr>
      <w:r w:rsidRPr="00327220">
        <w:rPr>
          <w:rStyle w:val="Fotnotsreferens"/>
          <w:i/>
          <w:sz w:val="20"/>
          <w:szCs w:val="20"/>
        </w:rPr>
        <w:footnoteRef/>
      </w:r>
      <w:r w:rsidRPr="00327220">
        <w:rPr>
          <w:rStyle w:val="Fotnotsreferens"/>
          <w:i/>
          <w:sz w:val="20"/>
          <w:szCs w:val="20"/>
        </w:rPr>
        <w:t xml:space="preserve"> </w:t>
      </w:r>
      <w:r w:rsidRPr="00327220">
        <w:rPr>
          <w:rFonts w:ascii="Calibri" w:hAnsi="Calibri" w:cs="Calibri"/>
          <w:sz w:val="20"/>
          <w:szCs w:val="20"/>
        </w:rPr>
        <w:t>Prop. 2001/02:41 s. 24</w:t>
      </w:r>
    </w:p>
  </w:footnote>
  <w:footnote w:id="71">
    <w:p w14:paraId="539A8142" w14:textId="77777777" w:rsidR="009E0F64" w:rsidRPr="0028234F" w:rsidRDefault="009E0F64" w:rsidP="00B51E9C">
      <w:pPr>
        <w:pStyle w:val="Fotnotstext"/>
        <w:rPr>
          <w:rFonts w:asciiTheme="majorHAnsi" w:hAnsiTheme="majorHAnsi"/>
        </w:rPr>
      </w:pPr>
      <w:r w:rsidRPr="008535CB">
        <w:rPr>
          <w:rStyle w:val="Fotnotsreferens"/>
          <w:i/>
        </w:rPr>
        <w:footnoteRef/>
      </w:r>
      <w:r w:rsidRPr="0028234F">
        <w:rPr>
          <w:rFonts w:asciiTheme="majorHAnsi" w:hAnsiTheme="majorHAnsi"/>
        </w:rPr>
        <w:t xml:space="preserve"> https</w:t>
      </w:r>
      <w:proofErr w:type="gramStart"/>
      <w:r w:rsidRPr="0028234F">
        <w:rPr>
          <w:rFonts w:asciiTheme="majorHAnsi" w:hAnsiTheme="majorHAnsi"/>
        </w:rPr>
        <w:t>://</w:t>
      </w:r>
      <w:proofErr w:type="gramEnd"/>
      <w:r w:rsidRPr="0028234F">
        <w:rPr>
          <w:rFonts w:asciiTheme="majorHAnsi" w:hAnsiTheme="majorHAnsi"/>
        </w:rPr>
        <w:t>www.familjebostader.se/2016/hyresgaster-ges-goda-chanser-till-inflytande-infor-ombyggnad/</w:t>
      </w:r>
    </w:p>
  </w:footnote>
  <w:footnote w:id="72">
    <w:p w14:paraId="695D99EA" w14:textId="77777777" w:rsidR="009E0F64" w:rsidRPr="008535CB" w:rsidRDefault="009E0F64" w:rsidP="00B51E9C">
      <w:pPr>
        <w:pStyle w:val="Fotnotstext"/>
        <w:rPr>
          <w:rFonts w:asciiTheme="majorHAnsi" w:hAnsiTheme="majorHAnsi"/>
        </w:rPr>
      </w:pPr>
      <w:r w:rsidRPr="00D364C6">
        <w:rPr>
          <w:rFonts w:asciiTheme="majorHAnsi" w:hAnsiTheme="majorHAnsi"/>
          <w:i/>
          <w:vertAlign w:val="superscript"/>
        </w:rPr>
        <w:footnoteRef/>
      </w:r>
      <w:r w:rsidRPr="00D364C6">
        <w:rPr>
          <w:rFonts w:asciiTheme="majorHAnsi" w:hAnsiTheme="majorHAnsi"/>
          <w:i/>
          <w:vertAlign w:val="superscript"/>
        </w:rPr>
        <w:t xml:space="preserve"> </w:t>
      </w:r>
      <w:r w:rsidRPr="008535CB">
        <w:rPr>
          <w:rFonts w:asciiTheme="majorHAnsi" w:hAnsiTheme="majorHAnsi"/>
        </w:rPr>
        <w:t>A.a. Ludvig Hansson s. 53</w:t>
      </w:r>
    </w:p>
  </w:footnote>
  <w:footnote w:id="73">
    <w:p w14:paraId="46E69726" w14:textId="77777777" w:rsidR="009E0F64" w:rsidRDefault="009E0F64" w:rsidP="00B12933">
      <w:pPr>
        <w:widowControl w:val="0"/>
        <w:autoSpaceDE w:val="0"/>
        <w:autoSpaceDN w:val="0"/>
        <w:adjustRightInd w:val="0"/>
      </w:pPr>
      <w:r w:rsidRPr="0043077B">
        <w:rPr>
          <w:rStyle w:val="Fotnotsreferens"/>
          <w:sz w:val="20"/>
          <w:szCs w:val="20"/>
        </w:rPr>
        <w:footnoteRef/>
      </w:r>
      <w:r>
        <w:t xml:space="preserve"> </w:t>
      </w:r>
      <w:r w:rsidRPr="0043077B">
        <w:rPr>
          <w:rFonts w:asciiTheme="majorHAnsi" w:hAnsiTheme="majorHAnsi" w:cs="Times"/>
          <w:i/>
          <w:sz w:val="20"/>
          <w:szCs w:val="20"/>
        </w:rPr>
        <w:t>Flyttmönster till följd av omfattande renoveringar</w:t>
      </w:r>
      <w:r>
        <w:rPr>
          <w:rFonts w:asciiTheme="majorHAnsi" w:hAnsiTheme="majorHAnsi" w:cs="Times"/>
          <w:i/>
          <w:sz w:val="20"/>
          <w:szCs w:val="20"/>
        </w:rPr>
        <w:t xml:space="preserve">, </w:t>
      </w:r>
      <w:r>
        <w:rPr>
          <w:rFonts w:asciiTheme="majorHAnsi" w:hAnsiTheme="majorHAnsi" w:cs="Times"/>
          <w:sz w:val="20"/>
          <w:szCs w:val="20"/>
        </w:rPr>
        <w:t>Boverket, R</w:t>
      </w:r>
      <w:r w:rsidRPr="0043077B">
        <w:rPr>
          <w:rFonts w:asciiTheme="majorHAnsi" w:hAnsiTheme="majorHAnsi" w:cs="Times"/>
          <w:sz w:val="20"/>
          <w:szCs w:val="20"/>
        </w:rPr>
        <w:t xml:space="preserve">apport 2014:34 </w:t>
      </w:r>
    </w:p>
  </w:footnote>
  <w:footnote w:id="74">
    <w:p w14:paraId="17417149" w14:textId="77777777" w:rsidR="009E0F64" w:rsidRPr="00D364C6" w:rsidRDefault="009E0F64" w:rsidP="00B51E9C">
      <w:pPr>
        <w:pStyle w:val="Fotnotstext"/>
        <w:rPr>
          <w:rFonts w:asciiTheme="majorHAnsi" w:hAnsiTheme="majorHAnsi"/>
        </w:rPr>
      </w:pPr>
      <w:r w:rsidRPr="00D364C6">
        <w:rPr>
          <w:rFonts w:asciiTheme="majorHAnsi" w:hAnsiTheme="majorHAnsi"/>
          <w:i/>
          <w:vertAlign w:val="superscript"/>
        </w:rPr>
        <w:footnoteRef/>
      </w:r>
      <w:r w:rsidRPr="00D364C6">
        <w:rPr>
          <w:rFonts w:asciiTheme="majorHAnsi" w:hAnsiTheme="majorHAnsi"/>
        </w:rPr>
        <w:t xml:space="preserve"> Prop. 2009/10:185 s. 40</w:t>
      </w:r>
    </w:p>
  </w:footnote>
  <w:footnote w:id="75">
    <w:p w14:paraId="44A3C740" w14:textId="77777777" w:rsidR="009E0F64" w:rsidRDefault="009E0F64" w:rsidP="00B51E9C">
      <w:pPr>
        <w:pStyle w:val="Fotnotstext"/>
      </w:pPr>
      <w:r w:rsidRPr="0057321C">
        <w:rPr>
          <w:rStyle w:val="Fotnotsreferens"/>
        </w:rPr>
        <w:footnoteRef/>
      </w:r>
      <w:r>
        <w:t xml:space="preserve"> </w:t>
      </w:r>
      <w:r>
        <w:rPr>
          <w:rFonts w:ascii="Calibri" w:hAnsi="Calibri" w:cs="Calibri"/>
        </w:rPr>
        <w:t xml:space="preserve">Se avsnittet </w:t>
      </w:r>
      <w:r w:rsidRPr="0057321C">
        <w:rPr>
          <w:rFonts w:ascii="Calibri" w:hAnsi="Calibri" w:cs="Calibri"/>
          <w:i/>
        </w:rPr>
        <w:t>Underhåll</w:t>
      </w:r>
    </w:p>
  </w:footnote>
  <w:footnote w:id="76">
    <w:p w14:paraId="3DCBD2AC" w14:textId="77777777" w:rsidR="009E0F64" w:rsidRDefault="009E0F64" w:rsidP="00A87742">
      <w:r w:rsidRPr="0022392D">
        <w:rPr>
          <w:rStyle w:val="Fotnotsreferens"/>
          <w:sz w:val="20"/>
          <w:szCs w:val="20"/>
        </w:rPr>
        <w:footnoteRef/>
      </w:r>
      <w:r w:rsidRPr="0022392D">
        <w:rPr>
          <w:rFonts w:asciiTheme="majorHAnsi" w:hAnsiTheme="majorHAnsi"/>
          <w:sz w:val="20"/>
          <w:szCs w:val="20"/>
        </w:rPr>
        <w:t xml:space="preserve"> </w:t>
      </w:r>
      <w:r>
        <w:rPr>
          <w:rFonts w:asciiTheme="majorHAnsi" w:hAnsiTheme="majorHAnsi"/>
          <w:sz w:val="20"/>
          <w:szCs w:val="20"/>
        </w:rPr>
        <w:t xml:space="preserve">SCB: </w:t>
      </w:r>
      <w:r w:rsidRPr="0061719B">
        <w:rPr>
          <w:rFonts w:asciiTheme="majorHAnsi" w:hAnsiTheme="majorHAnsi"/>
          <w:i/>
          <w:sz w:val="20"/>
          <w:szCs w:val="20"/>
        </w:rPr>
        <w:t>Antal lägenheter efter region, hustyp och upplåtelseform</w:t>
      </w:r>
      <w:r w:rsidRPr="0022392D">
        <w:rPr>
          <w:rFonts w:asciiTheme="majorHAnsi" w:hAnsiTheme="majorHAnsi"/>
          <w:sz w:val="20"/>
          <w:szCs w:val="20"/>
        </w:rPr>
        <w:t xml:space="preserve"> </w:t>
      </w:r>
      <w:r w:rsidRPr="0061719B">
        <w:rPr>
          <w:rFonts w:asciiTheme="majorHAnsi" w:hAnsiTheme="majorHAnsi"/>
          <w:i/>
          <w:sz w:val="20"/>
          <w:szCs w:val="20"/>
        </w:rPr>
        <w:t>(inklusive specialbostäder)</w:t>
      </w:r>
      <w:r w:rsidRPr="0022392D">
        <w:rPr>
          <w:rFonts w:asciiTheme="majorHAnsi" w:hAnsiTheme="majorHAnsi"/>
          <w:sz w:val="20"/>
          <w:szCs w:val="20"/>
        </w:rPr>
        <w:t xml:space="preserve"> År 2013 </w:t>
      </w:r>
      <w:r>
        <w:rPr>
          <w:rFonts w:asciiTheme="majorHAnsi" w:hAnsiTheme="majorHAnsi"/>
          <w:sz w:val="20"/>
          <w:szCs w:val="20"/>
        </w:rPr>
        <w:t>–</w:t>
      </w:r>
      <w:r w:rsidRPr="0022392D">
        <w:rPr>
          <w:rFonts w:asciiTheme="majorHAnsi" w:hAnsiTheme="majorHAnsi"/>
          <w:sz w:val="20"/>
          <w:szCs w:val="20"/>
        </w:rPr>
        <w:t xml:space="preserve"> 2015</w:t>
      </w:r>
    </w:p>
  </w:footnote>
  <w:footnote w:id="77">
    <w:p w14:paraId="62FB8C6A" w14:textId="665EED17" w:rsidR="009E0F64" w:rsidRDefault="009E0F64" w:rsidP="00B8252D">
      <w:r>
        <w:rPr>
          <w:rStyle w:val="Fotnotsreferens"/>
        </w:rPr>
        <w:footnoteRef/>
      </w:r>
      <w:r>
        <w:t xml:space="preserve"> </w:t>
      </w:r>
      <w:r w:rsidRPr="00DD06A6">
        <w:rPr>
          <w:rFonts w:asciiTheme="majorHAnsi" w:hAnsiTheme="majorHAnsi"/>
          <w:i/>
          <w:sz w:val="20"/>
          <w:szCs w:val="20"/>
        </w:rPr>
        <w:t>Segregationen i Göteborg kartlagd</w:t>
      </w:r>
      <w:r>
        <w:rPr>
          <w:rFonts w:asciiTheme="majorHAnsi" w:hAnsiTheme="majorHAnsi"/>
          <w:i/>
          <w:sz w:val="20"/>
          <w:szCs w:val="20"/>
        </w:rPr>
        <w:t xml:space="preserve">, </w:t>
      </w:r>
      <w:r>
        <w:rPr>
          <w:rFonts w:asciiTheme="majorHAnsi" w:hAnsiTheme="majorHAnsi"/>
          <w:sz w:val="20"/>
          <w:szCs w:val="20"/>
        </w:rPr>
        <w:t xml:space="preserve">Vårt Göteborg, </w:t>
      </w:r>
      <w:r w:rsidRPr="00DD06A6">
        <w:rPr>
          <w:rFonts w:asciiTheme="majorHAnsi" w:hAnsiTheme="majorHAnsi"/>
          <w:sz w:val="20"/>
          <w:szCs w:val="20"/>
        </w:rPr>
        <w:t>2009</w:t>
      </w:r>
    </w:p>
  </w:footnote>
  <w:footnote w:id="78">
    <w:p w14:paraId="6746AD40" w14:textId="77777777" w:rsidR="009E0F64" w:rsidRPr="007E342B" w:rsidRDefault="009E0F64" w:rsidP="00A87742">
      <w:pPr>
        <w:rPr>
          <w:rFonts w:asciiTheme="majorHAnsi" w:hAnsiTheme="majorHAnsi"/>
          <w:sz w:val="20"/>
          <w:szCs w:val="20"/>
        </w:rPr>
      </w:pPr>
      <w:r w:rsidRPr="007E342B">
        <w:rPr>
          <w:rFonts w:asciiTheme="majorHAnsi" w:hAnsiTheme="majorHAnsi"/>
          <w:sz w:val="20"/>
          <w:szCs w:val="20"/>
          <w:vertAlign w:val="superscript"/>
        </w:rPr>
        <w:footnoteRef/>
      </w:r>
      <w:r w:rsidRPr="007E342B">
        <w:rPr>
          <w:rFonts w:asciiTheme="majorHAnsi" w:hAnsiTheme="majorHAnsi"/>
          <w:sz w:val="20"/>
          <w:szCs w:val="20"/>
          <w:vertAlign w:val="superscript"/>
        </w:rPr>
        <w:t xml:space="preserve"> </w:t>
      </w:r>
      <w:hyperlink r:id="rId5" w:history="1">
        <w:r w:rsidRPr="007E342B">
          <w:rPr>
            <w:rFonts w:asciiTheme="majorHAnsi" w:hAnsiTheme="majorHAnsi"/>
            <w:sz w:val="20"/>
            <w:szCs w:val="20"/>
          </w:rPr>
          <w:t>http://hurvibor.se/lanssidor/goteborgsregionen/kommuner/goteborg/</w:t>
        </w:r>
      </w:hyperlink>
    </w:p>
  </w:footnote>
  <w:footnote w:id="79">
    <w:p w14:paraId="1D715BED" w14:textId="77777777" w:rsidR="009E0F64" w:rsidRPr="007E342B" w:rsidRDefault="009E0F64" w:rsidP="00A87742">
      <w:pPr>
        <w:rPr>
          <w:rFonts w:asciiTheme="majorHAnsi" w:hAnsiTheme="majorHAnsi"/>
          <w:sz w:val="20"/>
          <w:szCs w:val="20"/>
        </w:rPr>
      </w:pPr>
      <w:r w:rsidRPr="007E342B">
        <w:rPr>
          <w:rStyle w:val="Fotnotsreferens"/>
          <w:sz w:val="20"/>
          <w:szCs w:val="20"/>
        </w:rPr>
        <w:footnoteRef/>
      </w:r>
      <w:r w:rsidRPr="007E342B">
        <w:rPr>
          <w:rFonts w:asciiTheme="majorHAnsi" w:hAnsiTheme="majorHAnsi"/>
          <w:sz w:val="20"/>
          <w:szCs w:val="20"/>
        </w:rPr>
        <w:t xml:space="preserve"> Segregationen i Göteborg kartlagd, Vårt Göteborg, Göteborgs stads Nyhetstidning, 2009-03-25</w:t>
      </w:r>
    </w:p>
  </w:footnote>
  <w:footnote w:id="80">
    <w:p w14:paraId="20E04740" w14:textId="77777777" w:rsidR="009E0F64" w:rsidRPr="007E342B" w:rsidRDefault="009E0F64" w:rsidP="00A87742">
      <w:pPr>
        <w:rPr>
          <w:rFonts w:asciiTheme="majorHAnsi" w:hAnsiTheme="majorHAnsi"/>
          <w:sz w:val="20"/>
          <w:szCs w:val="20"/>
        </w:rPr>
      </w:pPr>
      <w:r w:rsidRPr="007E342B">
        <w:rPr>
          <w:rFonts w:asciiTheme="majorHAnsi" w:hAnsiTheme="majorHAnsi"/>
          <w:sz w:val="20"/>
          <w:szCs w:val="20"/>
          <w:vertAlign w:val="superscript"/>
        </w:rPr>
        <w:footnoteRef/>
      </w:r>
      <w:r w:rsidRPr="007E342B">
        <w:rPr>
          <w:rFonts w:asciiTheme="majorHAnsi" w:hAnsiTheme="majorHAnsi"/>
          <w:sz w:val="20"/>
          <w:szCs w:val="20"/>
        </w:rPr>
        <w:t xml:space="preserve"> Med justering för inflationen har priserna för småhus i Göteborgsregionen fyrfaldigats de senaste 30 åren. Se Svenskt Näringslivs Ekonomifakta, Bostadspriser – Fastighetsprisindex, 2016-04-25</w:t>
      </w:r>
    </w:p>
  </w:footnote>
  <w:footnote w:id="81">
    <w:p w14:paraId="571A25E9" w14:textId="77777777" w:rsidR="009E0F64" w:rsidRPr="007E342B" w:rsidRDefault="009E0F64" w:rsidP="00A87742">
      <w:pPr>
        <w:rPr>
          <w:rFonts w:asciiTheme="majorHAnsi" w:hAnsiTheme="majorHAnsi"/>
          <w:sz w:val="20"/>
          <w:szCs w:val="20"/>
        </w:rPr>
      </w:pPr>
      <w:r w:rsidRPr="007E342B">
        <w:rPr>
          <w:rStyle w:val="Fotnotsreferens"/>
          <w:sz w:val="20"/>
          <w:szCs w:val="20"/>
        </w:rPr>
        <w:footnoteRef/>
      </w:r>
      <w:r w:rsidRPr="007E342B">
        <w:rPr>
          <w:rFonts w:asciiTheme="majorHAnsi" w:hAnsiTheme="majorHAnsi"/>
          <w:sz w:val="20"/>
          <w:szCs w:val="20"/>
        </w:rPr>
        <w:t xml:space="preserve"> Fattiga och rika – segregationen ökar/ Flyttningsmönster och boendesegregation i Göteborg 1990-2006, Roger Andersson, Åsa Bråmå, Jon Hogdal</w:t>
      </w:r>
    </w:p>
  </w:footnote>
  <w:footnote w:id="82">
    <w:p w14:paraId="212D364F" w14:textId="77777777" w:rsidR="009E0F64" w:rsidRPr="007E342B" w:rsidRDefault="009E0F64" w:rsidP="00A87742">
      <w:pPr>
        <w:rPr>
          <w:sz w:val="20"/>
          <w:szCs w:val="20"/>
        </w:rPr>
      </w:pPr>
      <w:r w:rsidRPr="007E342B">
        <w:rPr>
          <w:rFonts w:asciiTheme="majorHAnsi" w:hAnsiTheme="majorHAnsi"/>
          <w:i/>
          <w:sz w:val="20"/>
          <w:szCs w:val="20"/>
          <w:vertAlign w:val="superscript"/>
        </w:rPr>
        <w:footnoteRef/>
      </w:r>
      <w:r w:rsidRPr="007E342B">
        <w:rPr>
          <w:rFonts w:asciiTheme="majorHAnsi" w:hAnsiTheme="majorHAnsi"/>
          <w:sz w:val="20"/>
          <w:szCs w:val="20"/>
        </w:rPr>
        <w:t xml:space="preserve"> http://hurvibor.se/avdrag-bidrag/subventioner/</w:t>
      </w:r>
    </w:p>
  </w:footnote>
  <w:footnote w:id="83">
    <w:p w14:paraId="2A8469C7" w14:textId="77777777" w:rsidR="009E0F64" w:rsidRPr="00261572" w:rsidRDefault="009E0F64" w:rsidP="00117C0D">
      <w:pPr>
        <w:rPr>
          <w:rFonts w:asciiTheme="majorHAnsi" w:hAnsiTheme="majorHAnsi"/>
          <w:sz w:val="20"/>
          <w:szCs w:val="20"/>
        </w:rPr>
      </w:pPr>
      <w:r w:rsidRPr="00261572">
        <w:rPr>
          <w:rStyle w:val="Fotnotsreferens"/>
          <w:rFonts w:asciiTheme="majorHAnsi" w:hAnsiTheme="majorHAnsi"/>
          <w:i/>
          <w:szCs w:val="20"/>
        </w:rPr>
        <w:footnoteRef/>
      </w:r>
      <w:r>
        <w:rPr>
          <w:rFonts w:asciiTheme="majorHAnsi" w:hAnsiTheme="majorHAnsi"/>
          <w:i/>
          <w:sz w:val="20"/>
          <w:szCs w:val="20"/>
          <w:vertAlign w:val="superscript"/>
        </w:rPr>
        <w:t xml:space="preserve"> o </w:t>
      </w:r>
      <w:r w:rsidRPr="00261572">
        <w:rPr>
          <w:rFonts w:asciiTheme="majorHAnsi" w:hAnsiTheme="majorHAnsi"/>
          <w:i/>
          <w:sz w:val="20"/>
          <w:szCs w:val="20"/>
          <w:vertAlign w:val="superscript"/>
        </w:rPr>
        <w:t>5</w:t>
      </w:r>
      <w:r w:rsidRPr="00261572">
        <w:rPr>
          <w:rFonts w:asciiTheme="majorHAnsi" w:hAnsiTheme="majorHAnsi"/>
          <w:i/>
          <w:sz w:val="20"/>
          <w:szCs w:val="20"/>
        </w:rPr>
        <w:t xml:space="preserve"> </w:t>
      </w:r>
      <w:r w:rsidRPr="00261572">
        <w:rPr>
          <w:rFonts w:asciiTheme="majorHAnsi" w:hAnsiTheme="majorHAnsi"/>
          <w:sz w:val="20"/>
          <w:szCs w:val="20"/>
        </w:rPr>
        <w:t>Av integritetsskäl anger inte SCB andelen när antalet i gruppen blir för litet.</w:t>
      </w:r>
    </w:p>
    <w:p w14:paraId="34DAB3FC" w14:textId="77777777" w:rsidR="009E0F64" w:rsidRDefault="009E0F64" w:rsidP="00117C0D">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50DF" w14:textId="77777777" w:rsidR="009E0F64" w:rsidRDefault="009E0F64" w:rsidP="008877C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39D7745C" w14:textId="77777777" w:rsidR="009E0F64" w:rsidRDefault="009E0F64" w:rsidP="008877C3">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9D20" w14:textId="14D603FE" w:rsidR="009E0F64" w:rsidRDefault="009E0F64" w:rsidP="008877C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76F9">
      <w:rPr>
        <w:rStyle w:val="Sidnummer"/>
        <w:noProof/>
      </w:rPr>
      <w:t>78</w:t>
    </w:r>
    <w:r>
      <w:rPr>
        <w:rStyle w:val="Sidnummer"/>
      </w:rPr>
      <w:fldChar w:fldCharType="end"/>
    </w:r>
  </w:p>
  <w:p w14:paraId="31552A21" w14:textId="77777777" w:rsidR="009E0F64" w:rsidRPr="00D905A2" w:rsidRDefault="009E0F64" w:rsidP="007321A8">
    <w:pPr>
      <w:pStyle w:val="Rubrik1"/>
      <w:spacing w:before="0"/>
      <w:rPr>
        <w:b/>
        <w:sz w:val="20"/>
        <w:szCs w:val="20"/>
      </w:rPr>
    </w:pPr>
    <w:r w:rsidRPr="00D905A2">
      <w:rPr>
        <w:b/>
        <w:sz w:val="20"/>
        <w:szCs w:val="20"/>
      </w:rPr>
      <w:t>Bo-Analys</w:t>
    </w:r>
  </w:p>
  <w:p w14:paraId="2B3DF208" w14:textId="5AE52424" w:rsidR="009E0F64" w:rsidRPr="00D905A2" w:rsidRDefault="009E0F64" w:rsidP="007321A8">
    <w:pPr>
      <w:pStyle w:val="Rubrik1"/>
      <w:spacing w:before="0" w:after="120"/>
      <w:rPr>
        <w:b/>
        <w:sz w:val="20"/>
        <w:szCs w:val="20"/>
      </w:rPr>
    </w:pPr>
    <w:r>
      <w:rPr>
        <w:b/>
        <w:sz w:val="20"/>
        <w:szCs w:val="20"/>
      </w:rPr>
      <w:t>Vostra konsulter</w:t>
    </w:r>
  </w:p>
  <w:p w14:paraId="160FE563" w14:textId="592EFE6D" w:rsidR="009E0F64" w:rsidRPr="00D905A2" w:rsidRDefault="009E0F64" w:rsidP="007321A8">
    <w:pPr>
      <w:pStyle w:val="Rubrik1"/>
      <w:spacing w:before="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B9F8" w14:textId="1461B1F4" w:rsidR="009E0F64" w:rsidRPr="00D905A2" w:rsidRDefault="009E0F64" w:rsidP="00083167">
    <w:pPr>
      <w:pStyle w:val="Rubrik1"/>
      <w:spacing w:before="0" w:after="120"/>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1CE"/>
    <w:multiLevelType w:val="hybridMultilevel"/>
    <w:tmpl w:val="8FDC57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CF8395C"/>
    <w:multiLevelType w:val="hybridMultilevel"/>
    <w:tmpl w:val="7C4E53AE"/>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14455C2B"/>
    <w:multiLevelType w:val="hybridMultilevel"/>
    <w:tmpl w:val="B65EE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479CB"/>
    <w:multiLevelType w:val="hybridMultilevel"/>
    <w:tmpl w:val="88B8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D21E6"/>
    <w:multiLevelType w:val="hybridMultilevel"/>
    <w:tmpl w:val="7220B1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E785D9D"/>
    <w:multiLevelType w:val="hybridMultilevel"/>
    <w:tmpl w:val="52F4D0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EB92759"/>
    <w:multiLevelType w:val="multilevel"/>
    <w:tmpl w:val="931A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C69BD"/>
    <w:multiLevelType w:val="hybridMultilevel"/>
    <w:tmpl w:val="A4A28D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72340DD"/>
    <w:multiLevelType w:val="hybridMultilevel"/>
    <w:tmpl w:val="43BE4F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9144140"/>
    <w:multiLevelType w:val="hybridMultilevel"/>
    <w:tmpl w:val="E97486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F40102B"/>
    <w:multiLevelType w:val="multilevel"/>
    <w:tmpl w:val="F8B8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B7E6F"/>
    <w:multiLevelType w:val="hybridMultilevel"/>
    <w:tmpl w:val="6200F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A9B416E"/>
    <w:multiLevelType w:val="hybridMultilevel"/>
    <w:tmpl w:val="BB98660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CE92D03"/>
    <w:multiLevelType w:val="hybridMultilevel"/>
    <w:tmpl w:val="2F0E7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0F327AF"/>
    <w:multiLevelType w:val="hybridMultilevel"/>
    <w:tmpl w:val="250802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2B57383"/>
    <w:multiLevelType w:val="hybridMultilevel"/>
    <w:tmpl w:val="9120DB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6866506C"/>
    <w:multiLevelType w:val="hybridMultilevel"/>
    <w:tmpl w:val="1D22EF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43F6940"/>
    <w:multiLevelType w:val="multilevel"/>
    <w:tmpl w:val="24B0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77754"/>
    <w:multiLevelType w:val="hybridMultilevel"/>
    <w:tmpl w:val="3E50FB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1"/>
  </w:num>
  <w:num w:numId="5">
    <w:abstractNumId w:val="16"/>
  </w:num>
  <w:num w:numId="6">
    <w:abstractNumId w:val="15"/>
  </w:num>
  <w:num w:numId="7">
    <w:abstractNumId w:val="0"/>
  </w:num>
  <w:num w:numId="8">
    <w:abstractNumId w:val="14"/>
  </w:num>
  <w:num w:numId="9">
    <w:abstractNumId w:val="9"/>
  </w:num>
  <w:num w:numId="10">
    <w:abstractNumId w:val="7"/>
  </w:num>
  <w:num w:numId="11">
    <w:abstractNumId w:val="10"/>
  </w:num>
  <w:num w:numId="12">
    <w:abstractNumId w:val="2"/>
  </w:num>
  <w:num w:numId="13">
    <w:abstractNumId w:val="6"/>
  </w:num>
  <w:num w:numId="14">
    <w:abstractNumId w:val="4"/>
  </w:num>
  <w:num w:numId="15">
    <w:abstractNumId w:val="12"/>
  </w:num>
  <w:num w:numId="16">
    <w:abstractNumId w:val="17"/>
  </w:num>
  <w:num w:numId="17">
    <w:abstractNumId w:val="11"/>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1304"/>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C7"/>
    <w:rsid w:val="000028A4"/>
    <w:rsid w:val="00035104"/>
    <w:rsid w:val="00036389"/>
    <w:rsid w:val="00036E8C"/>
    <w:rsid w:val="000376F9"/>
    <w:rsid w:val="00037F21"/>
    <w:rsid w:val="00040D70"/>
    <w:rsid w:val="00045610"/>
    <w:rsid w:val="00046B36"/>
    <w:rsid w:val="00047267"/>
    <w:rsid w:val="00057FF9"/>
    <w:rsid w:val="000627BB"/>
    <w:rsid w:val="0007485B"/>
    <w:rsid w:val="00075544"/>
    <w:rsid w:val="00076802"/>
    <w:rsid w:val="00077305"/>
    <w:rsid w:val="00081CAE"/>
    <w:rsid w:val="00083167"/>
    <w:rsid w:val="000847A5"/>
    <w:rsid w:val="00086E5C"/>
    <w:rsid w:val="00097019"/>
    <w:rsid w:val="000A0471"/>
    <w:rsid w:val="000A2D3F"/>
    <w:rsid w:val="000A615A"/>
    <w:rsid w:val="000A79C1"/>
    <w:rsid w:val="000B0BF3"/>
    <w:rsid w:val="000B0F30"/>
    <w:rsid w:val="000B1A2B"/>
    <w:rsid w:val="000B3E73"/>
    <w:rsid w:val="000B4541"/>
    <w:rsid w:val="000B7482"/>
    <w:rsid w:val="000B781A"/>
    <w:rsid w:val="000C37AF"/>
    <w:rsid w:val="000C3C63"/>
    <w:rsid w:val="000C40D3"/>
    <w:rsid w:val="000C71CD"/>
    <w:rsid w:val="000C7EFB"/>
    <w:rsid w:val="000D62DE"/>
    <w:rsid w:val="000E3E0E"/>
    <w:rsid w:val="000E7CAE"/>
    <w:rsid w:val="000F282F"/>
    <w:rsid w:val="000F60F8"/>
    <w:rsid w:val="00103C5B"/>
    <w:rsid w:val="001059CA"/>
    <w:rsid w:val="00107444"/>
    <w:rsid w:val="00107780"/>
    <w:rsid w:val="0011231D"/>
    <w:rsid w:val="00115AB4"/>
    <w:rsid w:val="00117C0D"/>
    <w:rsid w:val="0012175C"/>
    <w:rsid w:val="0012306B"/>
    <w:rsid w:val="00126D81"/>
    <w:rsid w:val="00132997"/>
    <w:rsid w:val="00134657"/>
    <w:rsid w:val="001371A7"/>
    <w:rsid w:val="001405CF"/>
    <w:rsid w:val="00142516"/>
    <w:rsid w:val="00142C80"/>
    <w:rsid w:val="00144984"/>
    <w:rsid w:val="00146380"/>
    <w:rsid w:val="00147200"/>
    <w:rsid w:val="00155ABC"/>
    <w:rsid w:val="001570B8"/>
    <w:rsid w:val="00162220"/>
    <w:rsid w:val="00162D03"/>
    <w:rsid w:val="0017599F"/>
    <w:rsid w:val="00176AF5"/>
    <w:rsid w:val="00176DF0"/>
    <w:rsid w:val="00177DD9"/>
    <w:rsid w:val="00180E06"/>
    <w:rsid w:val="00184AC8"/>
    <w:rsid w:val="00185E91"/>
    <w:rsid w:val="00186E6C"/>
    <w:rsid w:val="00190F02"/>
    <w:rsid w:val="0019296F"/>
    <w:rsid w:val="001A0F47"/>
    <w:rsid w:val="001A2E99"/>
    <w:rsid w:val="001A3683"/>
    <w:rsid w:val="001A593A"/>
    <w:rsid w:val="001B26A9"/>
    <w:rsid w:val="001C58D8"/>
    <w:rsid w:val="001C5D67"/>
    <w:rsid w:val="001C6CB9"/>
    <w:rsid w:val="001E03F6"/>
    <w:rsid w:val="001E04D0"/>
    <w:rsid w:val="001E1084"/>
    <w:rsid w:val="001E1C0E"/>
    <w:rsid w:val="001E24AE"/>
    <w:rsid w:val="001E29E0"/>
    <w:rsid w:val="001E6D41"/>
    <w:rsid w:val="001F244E"/>
    <w:rsid w:val="001F48B1"/>
    <w:rsid w:val="00201872"/>
    <w:rsid w:val="00201FD3"/>
    <w:rsid w:val="00203431"/>
    <w:rsid w:val="0020437F"/>
    <w:rsid w:val="00205B1C"/>
    <w:rsid w:val="002103E0"/>
    <w:rsid w:val="00210656"/>
    <w:rsid w:val="00216378"/>
    <w:rsid w:val="0021660D"/>
    <w:rsid w:val="002243D3"/>
    <w:rsid w:val="00235596"/>
    <w:rsid w:val="002375E3"/>
    <w:rsid w:val="00240B37"/>
    <w:rsid w:val="0024139A"/>
    <w:rsid w:val="0024271E"/>
    <w:rsid w:val="00246523"/>
    <w:rsid w:val="00246BA6"/>
    <w:rsid w:val="00247A35"/>
    <w:rsid w:val="00252AAD"/>
    <w:rsid w:val="00255647"/>
    <w:rsid w:val="00261572"/>
    <w:rsid w:val="0026499A"/>
    <w:rsid w:val="00264DD1"/>
    <w:rsid w:val="00264E1C"/>
    <w:rsid w:val="00276A6E"/>
    <w:rsid w:val="00282B9F"/>
    <w:rsid w:val="00287067"/>
    <w:rsid w:val="002A6DBE"/>
    <w:rsid w:val="002A7019"/>
    <w:rsid w:val="002B0DB7"/>
    <w:rsid w:val="002B1213"/>
    <w:rsid w:val="002B6AAB"/>
    <w:rsid w:val="002B6D36"/>
    <w:rsid w:val="002B7566"/>
    <w:rsid w:val="002C3C97"/>
    <w:rsid w:val="002C546C"/>
    <w:rsid w:val="002C6653"/>
    <w:rsid w:val="002D6812"/>
    <w:rsid w:val="002E75B4"/>
    <w:rsid w:val="002F06B1"/>
    <w:rsid w:val="00300BA6"/>
    <w:rsid w:val="003014D0"/>
    <w:rsid w:val="00302123"/>
    <w:rsid w:val="00306924"/>
    <w:rsid w:val="00315FD9"/>
    <w:rsid w:val="00317BF3"/>
    <w:rsid w:val="0032114B"/>
    <w:rsid w:val="00326A4E"/>
    <w:rsid w:val="00334744"/>
    <w:rsid w:val="00337BA8"/>
    <w:rsid w:val="003435BA"/>
    <w:rsid w:val="00344E97"/>
    <w:rsid w:val="00345B8C"/>
    <w:rsid w:val="00347BD0"/>
    <w:rsid w:val="0035120E"/>
    <w:rsid w:val="00353FA6"/>
    <w:rsid w:val="00355317"/>
    <w:rsid w:val="0036103E"/>
    <w:rsid w:val="00363A47"/>
    <w:rsid w:val="0036579D"/>
    <w:rsid w:val="00365C66"/>
    <w:rsid w:val="00371545"/>
    <w:rsid w:val="003746C7"/>
    <w:rsid w:val="00383ADC"/>
    <w:rsid w:val="00384A32"/>
    <w:rsid w:val="0038534B"/>
    <w:rsid w:val="0038534F"/>
    <w:rsid w:val="00387126"/>
    <w:rsid w:val="003954D9"/>
    <w:rsid w:val="00395F81"/>
    <w:rsid w:val="003A4398"/>
    <w:rsid w:val="003A74E7"/>
    <w:rsid w:val="003B3ABF"/>
    <w:rsid w:val="003C41C6"/>
    <w:rsid w:val="003C67E4"/>
    <w:rsid w:val="003C7A10"/>
    <w:rsid w:val="003D0100"/>
    <w:rsid w:val="003D1A30"/>
    <w:rsid w:val="003D60C4"/>
    <w:rsid w:val="003E0635"/>
    <w:rsid w:val="003F3F96"/>
    <w:rsid w:val="003F4E62"/>
    <w:rsid w:val="00404B65"/>
    <w:rsid w:val="00411147"/>
    <w:rsid w:val="00412299"/>
    <w:rsid w:val="00415B3D"/>
    <w:rsid w:val="0041680E"/>
    <w:rsid w:val="004172FD"/>
    <w:rsid w:val="00420515"/>
    <w:rsid w:val="00426B4B"/>
    <w:rsid w:val="00430B97"/>
    <w:rsid w:val="004361D4"/>
    <w:rsid w:val="0044416B"/>
    <w:rsid w:val="00446176"/>
    <w:rsid w:val="004472F1"/>
    <w:rsid w:val="00450855"/>
    <w:rsid w:val="004538F0"/>
    <w:rsid w:val="004548A6"/>
    <w:rsid w:val="00454A07"/>
    <w:rsid w:val="004612B9"/>
    <w:rsid w:val="0046235B"/>
    <w:rsid w:val="0046478D"/>
    <w:rsid w:val="00474231"/>
    <w:rsid w:val="00475673"/>
    <w:rsid w:val="00481C89"/>
    <w:rsid w:val="00484059"/>
    <w:rsid w:val="00486478"/>
    <w:rsid w:val="00487CA4"/>
    <w:rsid w:val="00490264"/>
    <w:rsid w:val="00496554"/>
    <w:rsid w:val="00496836"/>
    <w:rsid w:val="004A05F1"/>
    <w:rsid w:val="004A3345"/>
    <w:rsid w:val="004A77E2"/>
    <w:rsid w:val="004B0CC1"/>
    <w:rsid w:val="004B2624"/>
    <w:rsid w:val="004B2FC7"/>
    <w:rsid w:val="004B4D17"/>
    <w:rsid w:val="004C23DA"/>
    <w:rsid w:val="004C630C"/>
    <w:rsid w:val="004D6209"/>
    <w:rsid w:val="004E2215"/>
    <w:rsid w:val="004E4A4B"/>
    <w:rsid w:val="004E78C4"/>
    <w:rsid w:val="004F7B81"/>
    <w:rsid w:val="004F7ECC"/>
    <w:rsid w:val="0050468F"/>
    <w:rsid w:val="0050602B"/>
    <w:rsid w:val="0050649C"/>
    <w:rsid w:val="00507462"/>
    <w:rsid w:val="005077C1"/>
    <w:rsid w:val="00511CCB"/>
    <w:rsid w:val="00513F7B"/>
    <w:rsid w:val="00514AFE"/>
    <w:rsid w:val="00515A05"/>
    <w:rsid w:val="00515BC5"/>
    <w:rsid w:val="00523689"/>
    <w:rsid w:val="00523800"/>
    <w:rsid w:val="00524F2E"/>
    <w:rsid w:val="00525B1D"/>
    <w:rsid w:val="00526BF8"/>
    <w:rsid w:val="00526E71"/>
    <w:rsid w:val="00527415"/>
    <w:rsid w:val="005279AB"/>
    <w:rsid w:val="00531529"/>
    <w:rsid w:val="005348BD"/>
    <w:rsid w:val="00540A4D"/>
    <w:rsid w:val="00541290"/>
    <w:rsid w:val="00542612"/>
    <w:rsid w:val="00542B05"/>
    <w:rsid w:val="005434A5"/>
    <w:rsid w:val="00551276"/>
    <w:rsid w:val="005522ED"/>
    <w:rsid w:val="005530B7"/>
    <w:rsid w:val="00553684"/>
    <w:rsid w:val="00554843"/>
    <w:rsid w:val="005556DD"/>
    <w:rsid w:val="00557EA4"/>
    <w:rsid w:val="0056032A"/>
    <w:rsid w:val="005604CB"/>
    <w:rsid w:val="00560978"/>
    <w:rsid w:val="00560F6D"/>
    <w:rsid w:val="0057136F"/>
    <w:rsid w:val="00572FEE"/>
    <w:rsid w:val="00577187"/>
    <w:rsid w:val="00582F91"/>
    <w:rsid w:val="00583A1F"/>
    <w:rsid w:val="00584E96"/>
    <w:rsid w:val="005901DB"/>
    <w:rsid w:val="00592CE5"/>
    <w:rsid w:val="00593620"/>
    <w:rsid w:val="00596BD6"/>
    <w:rsid w:val="005A317F"/>
    <w:rsid w:val="005B39D9"/>
    <w:rsid w:val="005B3BE3"/>
    <w:rsid w:val="005B413F"/>
    <w:rsid w:val="005B7738"/>
    <w:rsid w:val="005B78DB"/>
    <w:rsid w:val="005C10D4"/>
    <w:rsid w:val="005C5DC6"/>
    <w:rsid w:val="005D0B6F"/>
    <w:rsid w:val="005D1016"/>
    <w:rsid w:val="005D4831"/>
    <w:rsid w:val="005E09C7"/>
    <w:rsid w:val="005E22D9"/>
    <w:rsid w:val="005F03BA"/>
    <w:rsid w:val="005F3286"/>
    <w:rsid w:val="00602FA3"/>
    <w:rsid w:val="00605064"/>
    <w:rsid w:val="00606EA8"/>
    <w:rsid w:val="00610384"/>
    <w:rsid w:val="006137B7"/>
    <w:rsid w:val="0061724A"/>
    <w:rsid w:val="0062016E"/>
    <w:rsid w:val="00631352"/>
    <w:rsid w:val="00631C2E"/>
    <w:rsid w:val="006340A5"/>
    <w:rsid w:val="00640A4F"/>
    <w:rsid w:val="00644EE1"/>
    <w:rsid w:val="0065115E"/>
    <w:rsid w:val="006519EA"/>
    <w:rsid w:val="006619AC"/>
    <w:rsid w:val="0066713D"/>
    <w:rsid w:val="0066791D"/>
    <w:rsid w:val="00670AFF"/>
    <w:rsid w:val="00670B3F"/>
    <w:rsid w:val="00692753"/>
    <w:rsid w:val="00692B44"/>
    <w:rsid w:val="0069683E"/>
    <w:rsid w:val="006A0C00"/>
    <w:rsid w:val="006A3D27"/>
    <w:rsid w:val="006A5607"/>
    <w:rsid w:val="006B02F2"/>
    <w:rsid w:val="006B0B4C"/>
    <w:rsid w:val="006B1392"/>
    <w:rsid w:val="006B357D"/>
    <w:rsid w:val="006B7EC6"/>
    <w:rsid w:val="006C00AA"/>
    <w:rsid w:val="006C7ADD"/>
    <w:rsid w:val="006D5752"/>
    <w:rsid w:val="006D7801"/>
    <w:rsid w:val="006D7824"/>
    <w:rsid w:val="006E3B2D"/>
    <w:rsid w:val="006F289F"/>
    <w:rsid w:val="006F65FB"/>
    <w:rsid w:val="007041AB"/>
    <w:rsid w:val="007048E8"/>
    <w:rsid w:val="007054DE"/>
    <w:rsid w:val="00705C77"/>
    <w:rsid w:val="00710EFE"/>
    <w:rsid w:val="00713CC3"/>
    <w:rsid w:val="00716972"/>
    <w:rsid w:val="00716D62"/>
    <w:rsid w:val="00720B71"/>
    <w:rsid w:val="00731D16"/>
    <w:rsid w:val="007321A8"/>
    <w:rsid w:val="0073239D"/>
    <w:rsid w:val="00742E9C"/>
    <w:rsid w:val="007442E9"/>
    <w:rsid w:val="00746F11"/>
    <w:rsid w:val="0074795D"/>
    <w:rsid w:val="00747DCB"/>
    <w:rsid w:val="007508E4"/>
    <w:rsid w:val="00750E22"/>
    <w:rsid w:val="007514C5"/>
    <w:rsid w:val="00763E95"/>
    <w:rsid w:val="007656C8"/>
    <w:rsid w:val="007749BA"/>
    <w:rsid w:val="00774A97"/>
    <w:rsid w:val="00777212"/>
    <w:rsid w:val="007824C9"/>
    <w:rsid w:val="00785E68"/>
    <w:rsid w:val="00786B2C"/>
    <w:rsid w:val="00787929"/>
    <w:rsid w:val="00791906"/>
    <w:rsid w:val="00791D00"/>
    <w:rsid w:val="00793D91"/>
    <w:rsid w:val="00795103"/>
    <w:rsid w:val="00796E0D"/>
    <w:rsid w:val="007A1B51"/>
    <w:rsid w:val="007A2618"/>
    <w:rsid w:val="007A5AD2"/>
    <w:rsid w:val="007B063F"/>
    <w:rsid w:val="007B14DC"/>
    <w:rsid w:val="007B4A6F"/>
    <w:rsid w:val="007C06CB"/>
    <w:rsid w:val="007C0B17"/>
    <w:rsid w:val="007C306C"/>
    <w:rsid w:val="007C743F"/>
    <w:rsid w:val="007C77FC"/>
    <w:rsid w:val="007D5889"/>
    <w:rsid w:val="007E2D52"/>
    <w:rsid w:val="007E6E3E"/>
    <w:rsid w:val="007E748F"/>
    <w:rsid w:val="007E74A3"/>
    <w:rsid w:val="007E7FBE"/>
    <w:rsid w:val="007F3844"/>
    <w:rsid w:val="007F52B1"/>
    <w:rsid w:val="008003FC"/>
    <w:rsid w:val="00801A4A"/>
    <w:rsid w:val="00810B82"/>
    <w:rsid w:val="00814801"/>
    <w:rsid w:val="00814A4E"/>
    <w:rsid w:val="00817A50"/>
    <w:rsid w:val="00822B16"/>
    <w:rsid w:val="0082650F"/>
    <w:rsid w:val="00834ADF"/>
    <w:rsid w:val="00834EDE"/>
    <w:rsid w:val="0085410A"/>
    <w:rsid w:val="0085451F"/>
    <w:rsid w:val="008568D2"/>
    <w:rsid w:val="00857EE5"/>
    <w:rsid w:val="00861DEB"/>
    <w:rsid w:val="0086297C"/>
    <w:rsid w:val="008667ED"/>
    <w:rsid w:val="0088326D"/>
    <w:rsid w:val="00885372"/>
    <w:rsid w:val="008877C3"/>
    <w:rsid w:val="00895691"/>
    <w:rsid w:val="00895FD1"/>
    <w:rsid w:val="00897810"/>
    <w:rsid w:val="008A180C"/>
    <w:rsid w:val="008A2F04"/>
    <w:rsid w:val="008B28E4"/>
    <w:rsid w:val="008B39A1"/>
    <w:rsid w:val="008B402C"/>
    <w:rsid w:val="008B7400"/>
    <w:rsid w:val="008B74C6"/>
    <w:rsid w:val="008B7D21"/>
    <w:rsid w:val="008C0CFE"/>
    <w:rsid w:val="008C26E5"/>
    <w:rsid w:val="008C5ECF"/>
    <w:rsid w:val="008D47B8"/>
    <w:rsid w:val="008D4FBC"/>
    <w:rsid w:val="008D5695"/>
    <w:rsid w:val="008D62A7"/>
    <w:rsid w:val="008D711B"/>
    <w:rsid w:val="008E36C2"/>
    <w:rsid w:val="008E4A50"/>
    <w:rsid w:val="008E76FC"/>
    <w:rsid w:val="00904872"/>
    <w:rsid w:val="00905E8F"/>
    <w:rsid w:val="00905EFE"/>
    <w:rsid w:val="0091184B"/>
    <w:rsid w:val="00913613"/>
    <w:rsid w:val="00917A16"/>
    <w:rsid w:val="0092171F"/>
    <w:rsid w:val="00921BEE"/>
    <w:rsid w:val="009267B9"/>
    <w:rsid w:val="00927A15"/>
    <w:rsid w:val="00930DC8"/>
    <w:rsid w:val="0093590D"/>
    <w:rsid w:val="00935F11"/>
    <w:rsid w:val="009420CF"/>
    <w:rsid w:val="00943DF5"/>
    <w:rsid w:val="0094728B"/>
    <w:rsid w:val="00954F3A"/>
    <w:rsid w:val="00955423"/>
    <w:rsid w:val="00960ADE"/>
    <w:rsid w:val="009610B4"/>
    <w:rsid w:val="0096125F"/>
    <w:rsid w:val="00977A4A"/>
    <w:rsid w:val="00982799"/>
    <w:rsid w:val="00985016"/>
    <w:rsid w:val="00985C99"/>
    <w:rsid w:val="00986364"/>
    <w:rsid w:val="00995FE1"/>
    <w:rsid w:val="00996319"/>
    <w:rsid w:val="00996865"/>
    <w:rsid w:val="009A1A3B"/>
    <w:rsid w:val="009A20A3"/>
    <w:rsid w:val="009A2840"/>
    <w:rsid w:val="009B2DB1"/>
    <w:rsid w:val="009B3555"/>
    <w:rsid w:val="009C40FE"/>
    <w:rsid w:val="009C6327"/>
    <w:rsid w:val="009D4636"/>
    <w:rsid w:val="009E0F64"/>
    <w:rsid w:val="009E3BBA"/>
    <w:rsid w:val="009E65FB"/>
    <w:rsid w:val="009F1EE3"/>
    <w:rsid w:val="00A0050A"/>
    <w:rsid w:val="00A00C46"/>
    <w:rsid w:val="00A01674"/>
    <w:rsid w:val="00A14864"/>
    <w:rsid w:val="00A162E5"/>
    <w:rsid w:val="00A20935"/>
    <w:rsid w:val="00A23736"/>
    <w:rsid w:val="00A24F17"/>
    <w:rsid w:val="00A3000C"/>
    <w:rsid w:val="00A30148"/>
    <w:rsid w:val="00A32063"/>
    <w:rsid w:val="00A32ADA"/>
    <w:rsid w:val="00A41BD6"/>
    <w:rsid w:val="00A434EF"/>
    <w:rsid w:val="00A44E4C"/>
    <w:rsid w:val="00A459AB"/>
    <w:rsid w:val="00A47BC7"/>
    <w:rsid w:val="00A55055"/>
    <w:rsid w:val="00A57EDF"/>
    <w:rsid w:val="00A62FEE"/>
    <w:rsid w:val="00A70DA8"/>
    <w:rsid w:val="00A7244D"/>
    <w:rsid w:val="00A72573"/>
    <w:rsid w:val="00A74F90"/>
    <w:rsid w:val="00A81559"/>
    <w:rsid w:val="00A84F04"/>
    <w:rsid w:val="00A87742"/>
    <w:rsid w:val="00A917D2"/>
    <w:rsid w:val="00A95A7F"/>
    <w:rsid w:val="00A96F10"/>
    <w:rsid w:val="00AA6054"/>
    <w:rsid w:val="00AB297F"/>
    <w:rsid w:val="00AB7B29"/>
    <w:rsid w:val="00AC1554"/>
    <w:rsid w:val="00AC59C5"/>
    <w:rsid w:val="00AC6EEA"/>
    <w:rsid w:val="00AD416B"/>
    <w:rsid w:val="00AD41CB"/>
    <w:rsid w:val="00AD6036"/>
    <w:rsid w:val="00AD68DE"/>
    <w:rsid w:val="00AE13ED"/>
    <w:rsid w:val="00AE425A"/>
    <w:rsid w:val="00AE5CAB"/>
    <w:rsid w:val="00AE6E35"/>
    <w:rsid w:val="00AE6E89"/>
    <w:rsid w:val="00AE73F4"/>
    <w:rsid w:val="00AF18FF"/>
    <w:rsid w:val="00AF6886"/>
    <w:rsid w:val="00B044D5"/>
    <w:rsid w:val="00B05D25"/>
    <w:rsid w:val="00B05DE5"/>
    <w:rsid w:val="00B1030B"/>
    <w:rsid w:val="00B10C0D"/>
    <w:rsid w:val="00B12933"/>
    <w:rsid w:val="00B136D0"/>
    <w:rsid w:val="00B15394"/>
    <w:rsid w:val="00B17785"/>
    <w:rsid w:val="00B17E9C"/>
    <w:rsid w:val="00B25A30"/>
    <w:rsid w:val="00B336DA"/>
    <w:rsid w:val="00B41261"/>
    <w:rsid w:val="00B42722"/>
    <w:rsid w:val="00B4444F"/>
    <w:rsid w:val="00B47A74"/>
    <w:rsid w:val="00B51E9C"/>
    <w:rsid w:val="00B55216"/>
    <w:rsid w:val="00B55BBB"/>
    <w:rsid w:val="00B63CE1"/>
    <w:rsid w:val="00B70D08"/>
    <w:rsid w:val="00B760A2"/>
    <w:rsid w:val="00B81F09"/>
    <w:rsid w:val="00B8252D"/>
    <w:rsid w:val="00B86D45"/>
    <w:rsid w:val="00B92C86"/>
    <w:rsid w:val="00B9357B"/>
    <w:rsid w:val="00B95043"/>
    <w:rsid w:val="00B96BA1"/>
    <w:rsid w:val="00B978BC"/>
    <w:rsid w:val="00B97EC4"/>
    <w:rsid w:val="00BA3702"/>
    <w:rsid w:val="00BA58FC"/>
    <w:rsid w:val="00BB776F"/>
    <w:rsid w:val="00BC6E8D"/>
    <w:rsid w:val="00BE5719"/>
    <w:rsid w:val="00BE676D"/>
    <w:rsid w:val="00BE6A74"/>
    <w:rsid w:val="00BF0887"/>
    <w:rsid w:val="00BF22AF"/>
    <w:rsid w:val="00BF2C28"/>
    <w:rsid w:val="00BF6F4E"/>
    <w:rsid w:val="00C10D53"/>
    <w:rsid w:val="00C1595A"/>
    <w:rsid w:val="00C246BC"/>
    <w:rsid w:val="00C26E84"/>
    <w:rsid w:val="00C32B4A"/>
    <w:rsid w:val="00C33DCC"/>
    <w:rsid w:val="00C35B37"/>
    <w:rsid w:val="00C410BC"/>
    <w:rsid w:val="00C42A6F"/>
    <w:rsid w:val="00C42B04"/>
    <w:rsid w:val="00C43A8A"/>
    <w:rsid w:val="00C455B4"/>
    <w:rsid w:val="00C572FC"/>
    <w:rsid w:val="00C6503A"/>
    <w:rsid w:val="00C707AF"/>
    <w:rsid w:val="00C70E3F"/>
    <w:rsid w:val="00C7202A"/>
    <w:rsid w:val="00C75ED8"/>
    <w:rsid w:val="00C77BAE"/>
    <w:rsid w:val="00C80A42"/>
    <w:rsid w:val="00C8268E"/>
    <w:rsid w:val="00C92030"/>
    <w:rsid w:val="00C9206C"/>
    <w:rsid w:val="00CA6794"/>
    <w:rsid w:val="00CB0745"/>
    <w:rsid w:val="00CB657C"/>
    <w:rsid w:val="00CC1A5C"/>
    <w:rsid w:val="00CC33FE"/>
    <w:rsid w:val="00CC7384"/>
    <w:rsid w:val="00CD1413"/>
    <w:rsid w:val="00CD1C48"/>
    <w:rsid w:val="00CE0196"/>
    <w:rsid w:val="00CE29A8"/>
    <w:rsid w:val="00CE7005"/>
    <w:rsid w:val="00CF1996"/>
    <w:rsid w:val="00CF19E9"/>
    <w:rsid w:val="00CF21CB"/>
    <w:rsid w:val="00CF21FD"/>
    <w:rsid w:val="00CF45D1"/>
    <w:rsid w:val="00CF47FE"/>
    <w:rsid w:val="00D00054"/>
    <w:rsid w:val="00D00A58"/>
    <w:rsid w:val="00D01554"/>
    <w:rsid w:val="00D01A81"/>
    <w:rsid w:val="00D01F5B"/>
    <w:rsid w:val="00D03F44"/>
    <w:rsid w:val="00D05AB7"/>
    <w:rsid w:val="00D064AA"/>
    <w:rsid w:val="00D076EE"/>
    <w:rsid w:val="00D1005E"/>
    <w:rsid w:val="00D114F5"/>
    <w:rsid w:val="00D12078"/>
    <w:rsid w:val="00D13868"/>
    <w:rsid w:val="00D17268"/>
    <w:rsid w:val="00D200CA"/>
    <w:rsid w:val="00D26619"/>
    <w:rsid w:val="00D27403"/>
    <w:rsid w:val="00D35661"/>
    <w:rsid w:val="00D369DE"/>
    <w:rsid w:val="00D36DC3"/>
    <w:rsid w:val="00D37919"/>
    <w:rsid w:val="00D37D9E"/>
    <w:rsid w:val="00D463EA"/>
    <w:rsid w:val="00D46491"/>
    <w:rsid w:val="00D5638B"/>
    <w:rsid w:val="00D57DB5"/>
    <w:rsid w:val="00D61B3A"/>
    <w:rsid w:val="00D83EF2"/>
    <w:rsid w:val="00D85105"/>
    <w:rsid w:val="00D86E84"/>
    <w:rsid w:val="00D87ACE"/>
    <w:rsid w:val="00D905A2"/>
    <w:rsid w:val="00D91985"/>
    <w:rsid w:val="00D92207"/>
    <w:rsid w:val="00DA14BB"/>
    <w:rsid w:val="00DA3E46"/>
    <w:rsid w:val="00DA7D54"/>
    <w:rsid w:val="00DB0650"/>
    <w:rsid w:val="00DB0C41"/>
    <w:rsid w:val="00DB1F4F"/>
    <w:rsid w:val="00DB556A"/>
    <w:rsid w:val="00DD032F"/>
    <w:rsid w:val="00DD227A"/>
    <w:rsid w:val="00DD37B9"/>
    <w:rsid w:val="00DD3910"/>
    <w:rsid w:val="00DD3DF3"/>
    <w:rsid w:val="00DD4047"/>
    <w:rsid w:val="00DD505D"/>
    <w:rsid w:val="00DD51D3"/>
    <w:rsid w:val="00DD6FC6"/>
    <w:rsid w:val="00DE0F4F"/>
    <w:rsid w:val="00DE121F"/>
    <w:rsid w:val="00DE1235"/>
    <w:rsid w:val="00DE7D03"/>
    <w:rsid w:val="00DF066A"/>
    <w:rsid w:val="00DF572C"/>
    <w:rsid w:val="00DF6180"/>
    <w:rsid w:val="00DF6622"/>
    <w:rsid w:val="00E00F9D"/>
    <w:rsid w:val="00E04DE8"/>
    <w:rsid w:val="00E064D1"/>
    <w:rsid w:val="00E07DBF"/>
    <w:rsid w:val="00E13317"/>
    <w:rsid w:val="00E229CF"/>
    <w:rsid w:val="00E25A81"/>
    <w:rsid w:val="00E4748A"/>
    <w:rsid w:val="00E47D8A"/>
    <w:rsid w:val="00E501C0"/>
    <w:rsid w:val="00E50A88"/>
    <w:rsid w:val="00E512E2"/>
    <w:rsid w:val="00E52F0D"/>
    <w:rsid w:val="00E57607"/>
    <w:rsid w:val="00E601B0"/>
    <w:rsid w:val="00E62238"/>
    <w:rsid w:val="00E66589"/>
    <w:rsid w:val="00E705B5"/>
    <w:rsid w:val="00E752E4"/>
    <w:rsid w:val="00E760D0"/>
    <w:rsid w:val="00E84413"/>
    <w:rsid w:val="00E87C75"/>
    <w:rsid w:val="00E97783"/>
    <w:rsid w:val="00EA01C2"/>
    <w:rsid w:val="00EA0F8B"/>
    <w:rsid w:val="00EA3BCA"/>
    <w:rsid w:val="00EA576A"/>
    <w:rsid w:val="00EB1393"/>
    <w:rsid w:val="00EB5DD2"/>
    <w:rsid w:val="00EC08B7"/>
    <w:rsid w:val="00EC19BC"/>
    <w:rsid w:val="00EC1C43"/>
    <w:rsid w:val="00EC4C17"/>
    <w:rsid w:val="00ED26BC"/>
    <w:rsid w:val="00ED3F8E"/>
    <w:rsid w:val="00ED6B6D"/>
    <w:rsid w:val="00ED7398"/>
    <w:rsid w:val="00EE4EB0"/>
    <w:rsid w:val="00EF3234"/>
    <w:rsid w:val="00EF7F66"/>
    <w:rsid w:val="00F010EB"/>
    <w:rsid w:val="00F01607"/>
    <w:rsid w:val="00F033BD"/>
    <w:rsid w:val="00F03784"/>
    <w:rsid w:val="00F1146D"/>
    <w:rsid w:val="00F1431A"/>
    <w:rsid w:val="00F224C5"/>
    <w:rsid w:val="00F236F3"/>
    <w:rsid w:val="00F305CA"/>
    <w:rsid w:val="00F30F1C"/>
    <w:rsid w:val="00F31260"/>
    <w:rsid w:val="00F32099"/>
    <w:rsid w:val="00F346D4"/>
    <w:rsid w:val="00F34AB3"/>
    <w:rsid w:val="00F37E3B"/>
    <w:rsid w:val="00F401F6"/>
    <w:rsid w:val="00F4273C"/>
    <w:rsid w:val="00F44E01"/>
    <w:rsid w:val="00F50763"/>
    <w:rsid w:val="00F574CA"/>
    <w:rsid w:val="00F61912"/>
    <w:rsid w:val="00F634CD"/>
    <w:rsid w:val="00F676BC"/>
    <w:rsid w:val="00F67C6C"/>
    <w:rsid w:val="00F702D1"/>
    <w:rsid w:val="00F72D85"/>
    <w:rsid w:val="00F736CE"/>
    <w:rsid w:val="00F7413A"/>
    <w:rsid w:val="00F7543D"/>
    <w:rsid w:val="00F935B9"/>
    <w:rsid w:val="00F95035"/>
    <w:rsid w:val="00F96D48"/>
    <w:rsid w:val="00FA26E0"/>
    <w:rsid w:val="00FA2BC4"/>
    <w:rsid w:val="00FA2DB5"/>
    <w:rsid w:val="00FA5446"/>
    <w:rsid w:val="00FB5420"/>
    <w:rsid w:val="00FC090C"/>
    <w:rsid w:val="00FC2599"/>
    <w:rsid w:val="00FC31CA"/>
    <w:rsid w:val="00FC43FC"/>
    <w:rsid w:val="00FD3008"/>
    <w:rsid w:val="00FD4E5F"/>
    <w:rsid w:val="00FD5DCF"/>
    <w:rsid w:val="00FE4E16"/>
    <w:rsid w:val="00FE6265"/>
    <w:rsid w:val="00FE72C4"/>
    <w:rsid w:val="00FF7B9D"/>
    <w:rsid w:val="00FF7E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955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D3"/>
  </w:style>
  <w:style w:type="paragraph" w:styleId="Rubrik1">
    <w:name w:val="heading 1"/>
    <w:basedOn w:val="Normal"/>
    <w:next w:val="Normal"/>
    <w:link w:val="Rubrik1Char"/>
    <w:uiPriority w:val="9"/>
    <w:qFormat/>
    <w:rsid w:val="00DD51D3"/>
    <w:pPr>
      <w:keepNext/>
      <w:keepLines/>
      <w:spacing w:before="480"/>
      <w:outlineLvl w:val="0"/>
    </w:pPr>
    <w:rPr>
      <w:rFonts w:asciiTheme="majorHAnsi" w:eastAsiaTheme="majorEastAsia" w:hAnsiTheme="majorHAnsi" w:cstheme="majorBidi"/>
      <w:bCs/>
      <w:color w:val="345A8A" w:themeColor="accent1" w:themeShade="B5"/>
      <w:sz w:val="32"/>
      <w:szCs w:val="32"/>
    </w:rPr>
  </w:style>
  <w:style w:type="paragraph" w:styleId="Rubrik2">
    <w:name w:val="heading 2"/>
    <w:basedOn w:val="Normal"/>
    <w:next w:val="Normal"/>
    <w:link w:val="Rubrik2Char"/>
    <w:uiPriority w:val="9"/>
    <w:unhideWhenUsed/>
    <w:qFormat/>
    <w:rsid w:val="00DD51D3"/>
    <w:pPr>
      <w:keepNext/>
      <w:keepLines/>
      <w:spacing w:before="200" w:line="276" w:lineRule="auto"/>
      <w:outlineLvl w:val="1"/>
    </w:pPr>
    <w:rPr>
      <w:rFonts w:asciiTheme="majorHAnsi" w:eastAsia="MS Gothic" w:hAnsiTheme="majorHAnsi"/>
      <w:b/>
      <w:bCs/>
      <w:color w:val="548DD4" w:themeColor="text2" w:themeTint="99"/>
      <w:sz w:val="26"/>
      <w:szCs w:val="26"/>
    </w:rPr>
  </w:style>
  <w:style w:type="paragraph" w:styleId="Rubrik3">
    <w:name w:val="heading 3"/>
    <w:basedOn w:val="Normal"/>
    <w:next w:val="Normal"/>
    <w:link w:val="Rubrik3Char"/>
    <w:uiPriority w:val="9"/>
    <w:unhideWhenUsed/>
    <w:qFormat/>
    <w:rsid w:val="00DD51D3"/>
    <w:pPr>
      <w:keepNext/>
      <w:keepLines/>
      <w:spacing w:before="200" w:line="276" w:lineRule="auto"/>
      <w:outlineLvl w:val="2"/>
    </w:pPr>
    <w:rPr>
      <w:rFonts w:asciiTheme="majorHAnsi" w:eastAsia="MS Gothic" w:hAnsiTheme="majorHAnsi" w:cstheme="majorBidi"/>
      <w:b/>
      <w:bCs/>
      <w:i/>
      <w:color w:val="548DD4" w:themeColor="text2" w:themeTint="99"/>
      <w:sz w:val="26"/>
      <w:szCs w:val="26"/>
    </w:rPr>
  </w:style>
  <w:style w:type="paragraph" w:styleId="Rubrik4">
    <w:name w:val="heading 4"/>
    <w:basedOn w:val="Normal"/>
    <w:next w:val="Normal"/>
    <w:link w:val="Rubrik4Char"/>
    <w:uiPriority w:val="9"/>
    <w:unhideWhenUsed/>
    <w:qFormat/>
    <w:rsid w:val="00235596"/>
    <w:pPr>
      <w:keepNext/>
      <w:keepLines/>
      <w:spacing w:before="120"/>
      <w:outlineLvl w:val="3"/>
    </w:pPr>
    <w:rPr>
      <w:rFonts w:asciiTheme="majorHAnsi" w:eastAsiaTheme="majorEastAsia" w:hAnsiTheme="majorHAnsi" w:cstheme="majorBidi"/>
      <w:bCs/>
      <w:iCs/>
      <w:color w:val="4F81BD" w:themeColor="accent1"/>
    </w:rPr>
  </w:style>
  <w:style w:type="paragraph" w:styleId="Rubrik5">
    <w:name w:val="heading 5"/>
    <w:basedOn w:val="Normal"/>
    <w:next w:val="Normal"/>
    <w:link w:val="Rubrik5Char"/>
    <w:uiPriority w:val="9"/>
    <w:unhideWhenUsed/>
    <w:qFormat/>
    <w:rsid w:val="0092171F"/>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921B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235596"/>
    <w:rPr>
      <w:rFonts w:asciiTheme="majorHAnsi" w:eastAsiaTheme="majorEastAsia" w:hAnsiTheme="majorHAnsi" w:cstheme="majorBidi"/>
      <w:bCs/>
      <w:iCs/>
      <w:color w:val="4F81BD" w:themeColor="accent1"/>
    </w:rPr>
  </w:style>
  <w:style w:type="character" w:customStyle="1" w:styleId="Rubrik5Char">
    <w:name w:val="Rubrik 5 Char"/>
    <w:basedOn w:val="Standardstycketeckensnitt"/>
    <w:link w:val="Rubrik5"/>
    <w:uiPriority w:val="9"/>
    <w:rsid w:val="0092171F"/>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921BEE"/>
    <w:rPr>
      <w:rFonts w:asciiTheme="majorHAnsi" w:eastAsiaTheme="majorEastAsia" w:hAnsiTheme="majorHAnsi" w:cstheme="majorBidi"/>
      <w:i/>
      <w:iCs/>
      <w:color w:val="243F60" w:themeColor="accent1" w:themeShade="7F"/>
    </w:rPr>
  </w:style>
  <w:style w:type="character" w:customStyle="1" w:styleId="Rubrik1Char">
    <w:name w:val="Rubrik 1 Char"/>
    <w:basedOn w:val="Standardstycketeckensnitt"/>
    <w:link w:val="Rubrik1"/>
    <w:uiPriority w:val="9"/>
    <w:rsid w:val="00DD51D3"/>
    <w:rPr>
      <w:rFonts w:asciiTheme="majorHAnsi" w:eastAsiaTheme="majorEastAsia" w:hAnsiTheme="majorHAnsi" w:cstheme="majorBidi"/>
      <w:bCs/>
      <w:color w:val="345A8A" w:themeColor="accent1" w:themeShade="B5"/>
      <w:sz w:val="32"/>
      <w:szCs w:val="32"/>
    </w:rPr>
  </w:style>
  <w:style w:type="character" w:customStyle="1" w:styleId="Rubrik2Char">
    <w:name w:val="Rubrik 2 Char"/>
    <w:basedOn w:val="Standardstycketeckensnitt"/>
    <w:link w:val="Rubrik2"/>
    <w:uiPriority w:val="9"/>
    <w:rsid w:val="00DD51D3"/>
    <w:rPr>
      <w:rFonts w:asciiTheme="majorHAnsi" w:eastAsia="MS Gothic" w:hAnsiTheme="majorHAnsi"/>
      <w:b/>
      <w:bCs/>
      <w:color w:val="548DD4" w:themeColor="text2" w:themeTint="99"/>
      <w:sz w:val="26"/>
      <w:szCs w:val="26"/>
    </w:rPr>
  </w:style>
  <w:style w:type="character" w:customStyle="1" w:styleId="Rubrik3Char">
    <w:name w:val="Rubrik 3 Char"/>
    <w:basedOn w:val="Standardstycketeckensnitt"/>
    <w:link w:val="Rubrik3"/>
    <w:uiPriority w:val="9"/>
    <w:rsid w:val="00DD51D3"/>
    <w:rPr>
      <w:rFonts w:asciiTheme="majorHAnsi" w:eastAsia="MS Gothic" w:hAnsiTheme="majorHAnsi" w:cstheme="majorBidi"/>
      <w:b/>
      <w:bCs/>
      <w:i/>
      <w:color w:val="548DD4" w:themeColor="text2" w:themeTint="99"/>
      <w:sz w:val="26"/>
      <w:szCs w:val="26"/>
    </w:rPr>
  </w:style>
  <w:style w:type="character" w:customStyle="1" w:styleId="SidhuvudChar">
    <w:name w:val="Sidhuvud Char"/>
    <w:basedOn w:val="Standardstycketeckensnitt"/>
    <w:link w:val="Sidhuvud"/>
    <w:rsid w:val="00A47BC7"/>
    <w:rPr>
      <w:sz w:val="20"/>
    </w:rPr>
  </w:style>
  <w:style w:type="paragraph" w:styleId="Sidhuvud">
    <w:name w:val="header"/>
    <w:basedOn w:val="Normal"/>
    <w:link w:val="SidhuvudChar"/>
    <w:rsid w:val="00A47BC7"/>
    <w:pPr>
      <w:tabs>
        <w:tab w:val="center" w:pos="4536"/>
        <w:tab w:val="right" w:pos="9072"/>
      </w:tabs>
    </w:pPr>
    <w:rPr>
      <w:sz w:val="20"/>
    </w:rPr>
  </w:style>
  <w:style w:type="character" w:customStyle="1" w:styleId="SidfotChar">
    <w:name w:val="Sidfot Char"/>
    <w:basedOn w:val="Standardstycketeckensnitt"/>
    <w:link w:val="Sidfot"/>
    <w:rsid w:val="00A47BC7"/>
    <w:rPr>
      <w:sz w:val="23"/>
    </w:rPr>
  </w:style>
  <w:style w:type="paragraph" w:styleId="Sidfot">
    <w:name w:val="footer"/>
    <w:basedOn w:val="Normal"/>
    <w:link w:val="SidfotChar"/>
    <w:rsid w:val="00A47BC7"/>
    <w:pPr>
      <w:tabs>
        <w:tab w:val="center" w:pos="4536"/>
        <w:tab w:val="right" w:pos="9072"/>
      </w:tabs>
    </w:pPr>
  </w:style>
  <w:style w:type="character" w:customStyle="1" w:styleId="FotnotstextChar">
    <w:name w:val="Fotnotstext Char"/>
    <w:basedOn w:val="Standardstycketeckensnitt"/>
    <w:link w:val="Fotnotstext"/>
    <w:uiPriority w:val="99"/>
    <w:rsid w:val="00A47BC7"/>
    <w:rPr>
      <w:sz w:val="20"/>
      <w:szCs w:val="20"/>
    </w:rPr>
  </w:style>
  <w:style w:type="paragraph" w:styleId="Fotnotstext">
    <w:name w:val="footnote text"/>
    <w:basedOn w:val="Normal"/>
    <w:link w:val="FotnotstextChar"/>
    <w:uiPriority w:val="99"/>
    <w:unhideWhenUsed/>
    <w:rsid w:val="00A47BC7"/>
    <w:rPr>
      <w:sz w:val="20"/>
      <w:szCs w:val="20"/>
    </w:rPr>
  </w:style>
  <w:style w:type="character" w:customStyle="1" w:styleId="BallongtextChar">
    <w:name w:val="Ballongtext Char"/>
    <w:basedOn w:val="Standardstycketeckensnitt"/>
    <w:link w:val="Ballongtext"/>
    <w:uiPriority w:val="99"/>
    <w:semiHidden/>
    <w:rsid w:val="00A47BC7"/>
    <w:rPr>
      <w:rFonts w:ascii="Tahoma" w:hAnsi="Tahoma" w:cs="Tahoma"/>
      <w:sz w:val="16"/>
      <w:szCs w:val="16"/>
    </w:rPr>
  </w:style>
  <w:style w:type="paragraph" w:styleId="Ballongtext">
    <w:name w:val="Balloon Text"/>
    <w:basedOn w:val="Normal"/>
    <w:link w:val="BallongtextChar"/>
    <w:uiPriority w:val="99"/>
    <w:semiHidden/>
    <w:unhideWhenUsed/>
    <w:rsid w:val="00A47BC7"/>
    <w:rPr>
      <w:rFonts w:ascii="Tahoma" w:hAnsi="Tahoma" w:cs="Tahoma"/>
      <w:sz w:val="16"/>
      <w:szCs w:val="16"/>
    </w:rPr>
  </w:style>
  <w:style w:type="paragraph" w:styleId="Liststycke">
    <w:name w:val="List Paragraph"/>
    <w:basedOn w:val="Normal"/>
    <w:uiPriority w:val="34"/>
    <w:qFormat/>
    <w:rsid w:val="00247A35"/>
    <w:pPr>
      <w:ind w:left="720"/>
      <w:contextualSpacing/>
    </w:pPr>
  </w:style>
  <w:style w:type="table" w:styleId="Tabellrutnt">
    <w:name w:val="Table Grid"/>
    <w:basedOn w:val="Normaltabell"/>
    <w:uiPriority w:val="39"/>
    <w:rsid w:val="00A8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unhideWhenUsed/>
    <w:rsid w:val="005C5DC6"/>
    <w:pPr>
      <w:spacing w:before="120"/>
    </w:pPr>
    <w:rPr>
      <w:rFonts w:asciiTheme="majorHAnsi" w:hAnsiTheme="majorHAnsi"/>
      <w:b/>
      <w:color w:val="548DD4"/>
    </w:rPr>
  </w:style>
  <w:style w:type="paragraph" w:styleId="Innehll2">
    <w:name w:val="toc 2"/>
    <w:basedOn w:val="Normal"/>
    <w:next w:val="Normal"/>
    <w:autoRedefine/>
    <w:uiPriority w:val="39"/>
    <w:unhideWhenUsed/>
    <w:rsid w:val="005C5DC6"/>
    <w:rPr>
      <w:sz w:val="22"/>
      <w:szCs w:val="22"/>
    </w:rPr>
  </w:style>
  <w:style w:type="paragraph" w:styleId="Innehll3">
    <w:name w:val="toc 3"/>
    <w:basedOn w:val="Normal"/>
    <w:next w:val="Normal"/>
    <w:autoRedefine/>
    <w:uiPriority w:val="39"/>
    <w:unhideWhenUsed/>
    <w:rsid w:val="005C5DC6"/>
    <w:pPr>
      <w:ind w:left="240"/>
    </w:pPr>
    <w:rPr>
      <w:i/>
      <w:sz w:val="22"/>
      <w:szCs w:val="22"/>
    </w:rPr>
  </w:style>
  <w:style w:type="paragraph" w:styleId="Innehll4">
    <w:name w:val="toc 4"/>
    <w:basedOn w:val="Normal"/>
    <w:next w:val="Normal"/>
    <w:autoRedefine/>
    <w:uiPriority w:val="39"/>
    <w:unhideWhenUsed/>
    <w:rsid w:val="005C5DC6"/>
    <w:pPr>
      <w:pBdr>
        <w:between w:val="double" w:sz="6" w:space="0" w:color="auto"/>
      </w:pBdr>
      <w:ind w:left="480"/>
    </w:pPr>
    <w:rPr>
      <w:sz w:val="20"/>
      <w:szCs w:val="20"/>
    </w:rPr>
  </w:style>
  <w:style w:type="paragraph" w:styleId="Innehll5">
    <w:name w:val="toc 5"/>
    <w:basedOn w:val="Normal"/>
    <w:next w:val="Normal"/>
    <w:autoRedefine/>
    <w:uiPriority w:val="39"/>
    <w:unhideWhenUsed/>
    <w:rsid w:val="005C5DC6"/>
    <w:pPr>
      <w:pBdr>
        <w:between w:val="double" w:sz="6" w:space="0" w:color="auto"/>
      </w:pBdr>
      <w:ind w:left="720"/>
    </w:pPr>
    <w:rPr>
      <w:sz w:val="20"/>
      <w:szCs w:val="20"/>
    </w:rPr>
  </w:style>
  <w:style w:type="paragraph" w:styleId="Innehll6">
    <w:name w:val="toc 6"/>
    <w:basedOn w:val="Normal"/>
    <w:next w:val="Normal"/>
    <w:autoRedefine/>
    <w:uiPriority w:val="39"/>
    <w:unhideWhenUsed/>
    <w:rsid w:val="002B6AAB"/>
    <w:pPr>
      <w:pBdr>
        <w:between w:val="double" w:sz="6" w:space="0" w:color="auto"/>
      </w:pBdr>
      <w:ind w:left="960"/>
    </w:pPr>
    <w:rPr>
      <w:sz w:val="20"/>
      <w:szCs w:val="20"/>
    </w:rPr>
  </w:style>
  <w:style w:type="paragraph" w:styleId="Innehll7">
    <w:name w:val="toc 7"/>
    <w:basedOn w:val="Normal"/>
    <w:next w:val="Normal"/>
    <w:autoRedefine/>
    <w:uiPriority w:val="39"/>
    <w:unhideWhenUsed/>
    <w:rsid w:val="002B6AAB"/>
    <w:pPr>
      <w:pBdr>
        <w:between w:val="double" w:sz="6" w:space="0" w:color="auto"/>
      </w:pBdr>
      <w:ind w:left="1200"/>
    </w:pPr>
    <w:rPr>
      <w:sz w:val="20"/>
      <w:szCs w:val="20"/>
    </w:rPr>
  </w:style>
  <w:style w:type="paragraph" w:styleId="Innehll8">
    <w:name w:val="toc 8"/>
    <w:basedOn w:val="Normal"/>
    <w:next w:val="Normal"/>
    <w:autoRedefine/>
    <w:uiPriority w:val="39"/>
    <w:unhideWhenUsed/>
    <w:rsid w:val="002B6AAB"/>
    <w:pPr>
      <w:pBdr>
        <w:between w:val="double" w:sz="6" w:space="0" w:color="auto"/>
      </w:pBdr>
      <w:ind w:left="1440"/>
    </w:pPr>
    <w:rPr>
      <w:sz w:val="20"/>
      <w:szCs w:val="20"/>
    </w:rPr>
  </w:style>
  <w:style w:type="paragraph" w:styleId="Innehll9">
    <w:name w:val="toc 9"/>
    <w:basedOn w:val="Normal"/>
    <w:next w:val="Normal"/>
    <w:autoRedefine/>
    <w:uiPriority w:val="39"/>
    <w:unhideWhenUsed/>
    <w:rsid w:val="002B6AAB"/>
    <w:pPr>
      <w:pBdr>
        <w:between w:val="double" w:sz="6" w:space="0" w:color="auto"/>
      </w:pBdr>
      <w:ind w:left="1680"/>
    </w:pPr>
    <w:rPr>
      <w:sz w:val="20"/>
      <w:szCs w:val="20"/>
    </w:rPr>
  </w:style>
  <w:style w:type="character" w:styleId="Fotnotsreferens">
    <w:name w:val="footnote reference"/>
    <w:basedOn w:val="Standardstycketeckensnitt"/>
    <w:uiPriority w:val="99"/>
    <w:unhideWhenUsed/>
    <w:rsid w:val="00A47BC7"/>
    <w:rPr>
      <w:vertAlign w:val="superscript"/>
    </w:rPr>
  </w:style>
  <w:style w:type="character" w:styleId="Sidnummer">
    <w:name w:val="page number"/>
    <w:basedOn w:val="Standardstycketeckensnitt"/>
    <w:rsid w:val="00A47BC7"/>
    <w:rPr>
      <w:sz w:val="20"/>
    </w:rPr>
  </w:style>
  <w:style w:type="character" w:customStyle="1" w:styleId="apple-converted-space">
    <w:name w:val="apple-converted-space"/>
    <w:basedOn w:val="Standardstycketeckensnitt"/>
    <w:rsid w:val="003C41C6"/>
  </w:style>
  <w:style w:type="character" w:styleId="Stark">
    <w:name w:val="Strong"/>
    <w:basedOn w:val="Standardstycketeckensnitt"/>
    <w:uiPriority w:val="22"/>
    <w:qFormat/>
    <w:rsid w:val="003C41C6"/>
    <w:rPr>
      <w:b/>
      <w:bCs/>
    </w:rPr>
  </w:style>
  <w:style w:type="character" w:styleId="Hyperlnk">
    <w:name w:val="Hyperlink"/>
    <w:basedOn w:val="Standardstycketeckensnitt"/>
    <w:uiPriority w:val="99"/>
    <w:semiHidden/>
    <w:unhideWhenUsed/>
    <w:rsid w:val="003C41C6"/>
    <w:rPr>
      <w:color w:val="0000FF"/>
      <w:u w:val="single"/>
    </w:rPr>
  </w:style>
  <w:style w:type="character" w:customStyle="1" w:styleId="breadcrumbsep">
    <w:name w:val="breadcrumb_sep"/>
    <w:basedOn w:val="Standardstycketeckensnitt"/>
    <w:rsid w:val="00046B36"/>
  </w:style>
  <w:style w:type="numbering" w:customStyle="1" w:styleId="Ingenlista1">
    <w:name w:val="Ingen lista1"/>
    <w:next w:val="Ingenlista"/>
    <w:uiPriority w:val="99"/>
    <w:semiHidden/>
    <w:unhideWhenUsed/>
    <w:rsid w:val="00117C0D"/>
  </w:style>
  <w:style w:type="paragraph" w:styleId="Normalwebb">
    <w:name w:val="Normal (Web)"/>
    <w:basedOn w:val="Normal"/>
    <w:uiPriority w:val="99"/>
    <w:unhideWhenUsed/>
    <w:rsid w:val="00117C0D"/>
    <w:pPr>
      <w:spacing w:before="100" w:beforeAutospacing="1" w:after="100" w:afterAutospacing="1"/>
    </w:pPr>
    <w:rPr>
      <w:rFonts w:ascii="Times" w:hAnsi="Times" w:cs="Times New Roman"/>
      <w:sz w:val="20"/>
      <w:szCs w:val="20"/>
    </w:rPr>
  </w:style>
  <w:style w:type="paragraph" w:styleId="Dokumentversikt">
    <w:name w:val="Document Map"/>
    <w:basedOn w:val="Normal"/>
    <w:link w:val="DokumentversiktChar"/>
    <w:uiPriority w:val="99"/>
    <w:semiHidden/>
    <w:unhideWhenUsed/>
    <w:rsid w:val="00FC31CA"/>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FC31CA"/>
    <w:rPr>
      <w:rFonts w:ascii="Lucida Grande" w:hAnsi="Lucida Grande" w:cs="Lucida Grande"/>
    </w:rPr>
  </w:style>
  <w:style w:type="paragraph" w:customStyle="1" w:styleId="a">
    <w:basedOn w:val="Normal"/>
    <w:next w:val="HTML"/>
    <w:link w:val="HTMLChar"/>
    <w:uiPriority w:val="99"/>
    <w:unhideWhenUsed/>
    <w:rsid w:val="00BF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rPr>
  </w:style>
  <w:style w:type="character" w:customStyle="1" w:styleId="HTMLChar">
    <w:name w:val="HTML Char"/>
    <w:aliases w:val=" förformaterad Char"/>
    <w:basedOn w:val="Standardstycketeckensnitt"/>
    <w:link w:val="a"/>
    <w:uiPriority w:val="99"/>
    <w:semiHidden/>
    <w:rsid w:val="00BF6F4E"/>
    <w:rPr>
      <w:rFonts w:ascii="Courier" w:eastAsiaTheme="minorEastAsia" w:hAnsi="Courier" w:cstheme="minorBidi"/>
    </w:rPr>
  </w:style>
  <w:style w:type="paragraph" w:customStyle="1" w:styleId="HTML">
    <w:name w:val="HTML"/>
    <w:aliases w:val=" förformaterad"/>
    <w:basedOn w:val="Normal"/>
    <w:link w:val="HTMLChar1"/>
    <w:uiPriority w:val="99"/>
    <w:semiHidden/>
    <w:unhideWhenUsed/>
    <w:rsid w:val="00BF6F4E"/>
    <w:rPr>
      <w:rFonts w:ascii="Courier" w:hAnsi="Courier"/>
      <w:sz w:val="20"/>
      <w:szCs w:val="20"/>
    </w:rPr>
  </w:style>
  <w:style w:type="character" w:customStyle="1" w:styleId="HTMLChar1">
    <w:name w:val="HTML Char1"/>
    <w:aliases w:val=" förformaterad Char1"/>
    <w:basedOn w:val="Standardstycketeckensnitt"/>
    <w:link w:val="HTML"/>
    <w:uiPriority w:val="99"/>
    <w:semiHidden/>
    <w:rsid w:val="00BF6F4E"/>
    <w:rPr>
      <w:rFonts w:ascii="Courier" w:hAnsi="Courier"/>
      <w:sz w:val="20"/>
      <w:szCs w:val="20"/>
    </w:rPr>
  </w:style>
  <w:style w:type="character" w:styleId="Kommentarsreferens">
    <w:name w:val="annotation reference"/>
    <w:basedOn w:val="Standardstycketeckensnitt"/>
    <w:uiPriority w:val="99"/>
    <w:semiHidden/>
    <w:unhideWhenUsed/>
    <w:rsid w:val="00D35661"/>
    <w:rPr>
      <w:sz w:val="16"/>
      <w:szCs w:val="16"/>
    </w:rPr>
  </w:style>
  <w:style w:type="paragraph" w:styleId="Kommentarer">
    <w:name w:val="annotation text"/>
    <w:basedOn w:val="Normal"/>
    <w:link w:val="KommentarerChar"/>
    <w:uiPriority w:val="99"/>
    <w:semiHidden/>
    <w:unhideWhenUsed/>
    <w:rsid w:val="00D35661"/>
    <w:rPr>
      <w:sz w:val="20"/>
      <w:szCs w:val="20"/>
    </w:rPr>
  </w:style>
  <w:style w:type="character" w:customStyle="1" w:styleId="KommentarerChar">
    <w:name w:val="Kommentarer Char"/>
    <w:basedOn w:val="Standardstycketeckensnitt"/>
    <w:link w:val="Kommentarer"/>
    <w:uiPriority w:val="99"/>
    <w:semiHidden/>
    <w:rsid w:val="00D35661"/>
    <w:rPr>
      <w:sz w:val="20"/>
      <w:szCs w:val="20"/>
    </w:rPr>
  </w:style>
  <w:style w:type="paragraph" w:styleId="Kommentarsmne">
    <w:name w:val="annotation subject"/>
    <w:basedOn w:val="Kommentarer"/>
    <w:next w:val="Kommentarer"/>
    <w:link w:val="KommentarsmneChar"/>
    <w:uiPriority w:val="99"/>
    <w:semiHidden/>
    <w:unhideWhenUsed/>
    <w:rsid w:val="00D35661"/>
    <w:rPr>
      <w:b/>
      <w:bCs/>
    </w:rPr>
  </w:style>
  <w:style w:type="character" w:customStyle="1" w:styleId="KommentarsmneChar">
    <w:name w:val="Kommentarsämne Char"/>
    <w:basedOn w:val="KommentarerChar"/>
    <w:link w:val="Kommentarsmne"/>
    <w:uiPriority w:val="99"/>
    <w:semiHidden/>
    <w:rsid w:val="00D356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D3"/>
  </w:style>
  <w:style w:type="paragraph" w:styleId="Rubrik1">
    <w:name w:val="heading 1"/>
    <w:basedOn w:val="Normal"/>
    <w:next w:val="Normal"/>
    <w:link w:val="Rubrik1Char"/>
    <w:uiPriority w:val="9"/>
    <w:qFormat/>
    <w:rsid w:val="00DD51D3"/>
    <w:pPr>
      <w:keepNext/>
      <w:keepLines/>
      <w:spacing w:before="480"/>
      <w:outlineLvl w:val="0"/>
    </w:pPr>
    <w:rPr>
      <w:rFonts w:asciiTheme="majorHAnsi" w:eastAsiaTheme="majorEastAsia" w:hAnsiTheme="majorHAnsi" w:cstheme="majorBidi"/>
      <w:bCs/>
      <w:color w:val="345A8A" w:themeColor="accent1" w:themeShade="B5"/>
      <w:sz w:val="32"/>
      <w:szCs w:val="32"/>
    </w:rPr>
  </w:style>
  <w:style w:type="paragraph" w:styleId="Rubrik2">
    <w:name w:val="heading 2"/>
    <w:basedOn w:val="Normal"/>
    <w:next w:val="Normal"/>
    <w:link w:val="Rubrik2Char"/>
    <w:uiPriority w:val="9"/>
    <w:unhideWhenUsed/>
    <w:qFormat/>
    <w:rsid w:val="00DD51D3"/>
    <w:pPr>
      <w:keepNext/>
      <w:keepLines/>
      <w:spacing w:before="200" w:line="276" w:lineRule="auto"/>
      <w:outlineLvl w:val="1"/>
    </w:pPr>
    <w:rPr>
      <w:rFonts w:asciiTheme="majorHAnsi" w:eastAsia="MS Gothic" w:hAnsiTheme="majorHAnsi"/>
      <w:b/>
      <w:bCs/>
      <w:color w:val="548DD4" w:themeColor="text2" w:themeTint="99"/>
      <w:sz w:val="26"/>
      <w:szCs w:val="26"/>
    </w:rPr>
  </w:style>
  <w:style w:type="paragraph" w:styleId="Rubrik3">
    <w:name w:val="heading 3"/>
    <w:basedOn w:val="Normal"/>
    <w:next w:val="Normal"/>
    <w:link w:val="Rubrik3Char"/>
    <w:uiPriority w:val="9"/>
    <w:unhideWhenUsed/>
    <w:qFormat/>
    <w:rsid w:val="00DD51D3"/>
    <w:pPr>
      <w:keepNext/>
      <w:keepLines/>
      <w:spacing w:before="200" w:line="276" w:lineRule="auto"/>
      <w:outlineLvl w:val="2"/>
    </w:pPr>
    <w:rPr>
      <w:rFonts w:asciiTheme="majorHAnsi" w:eastAsia="MS Gothic" w:hAnsiTheme="majorHAnsi" w:cstheme="majorBidi"/>
      <w:b/>
      <w:bCs/>
      <w:i/>
      <w:color w:val="548DD4" w:themeColor="text2" w:themeTint="99"/>
      <w:sz w:val="26"/>
      <w:szCs w:val="26"/>
    </w:rPr>
  </w:style>
  <w:style w:type="paragraph" w:styleId="Rubrik4">
    <w:name w:val="heading 4"/>
    <w:basedOn w:val="Normal"/>
    <w:next w:val="Normal"/>
    <w:link w:val="Rubrik4Char"/>
    <w:uiPriority w:val="9"/>
    <w:unhideWhenUsed/>
    <w:qFormat/>
    <w:rsid w:val="00235596"/>
    <w:pPr>
      <w:keepNext/>
      <w:keepLines/>
      <w:spacing w:before="120"/>
      <w:outlineLvl w:val="3"/>
    </w:pPr>
    <w:rPr>
      <w:rFonts w:asciiTheme="majorHAnsi" w:eastAsiaTheme="majorEastAsia" w:hAnsiTheme="majorHAnsi" w:cstheme="majorBidi"/>
      <w:bCs/>
      <w:iCs/>
      <w:color w:val="4F81BD" w:themeColor="accent1"/>
    </w:rPr>
  </w:style>
  <w:style w:type="paragraph" w:styleId="Rubrik5">
    <w:name w:val="heading 5"/>
    <w:basedOn w:val="Normal"/>
    <w:next w:val="Normal"/>
    <w:link w:val="Rubrik5Char"/>
    <w:uiPriority w:val="9"/>
    <w:unhideWhenUsed/>
    <w:qFormat/>
    <w:rsid w:val="0092171F"/>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921B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235596"/>
    <w:rPr>
      <w:rFonts w:asciiTheme="majorHAnsi" w:eastAsiaTheme="majorEastAsia" w:hAnsiTheme="majorHAnsi" w:cstheme="majorBidi"/>
      <w:bCs/>
      <w:iCs/>
      <w:color w:val="4F81BD" w:themeColor="accent1"/>
    </w:rPr>
  </w:style>
  <w:style w:type="character" w:customStyle="1" w:styleId="Rubrik5Char">
    <w:name w:val="Rubrik 5 Char"/>
    <w:basedOn w:val="Standardstycketeckensnitt"/>
    <w:link w:val="Rubrik5"/>
    <w:uiPriority w:val="9"/>
    <w:rsid w:val="0092171F"/>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921BEE"/>
    <w:rPr>
      <w:rFonts w:asciiTheme="majorHAnsi" w:eastAsiaTheme="majorEastAsia" w:hAnsiTheme="majorHAnsi" w:cstheme="majorBidi"/>
      <w:i/>
      <w:iCs/>
      <w:color w:val="243F60" w:themeColor="accent1" w:themeShade="7F"/>
    </w:rPr>
  </w:style>
  <w:style w:type="character" w:customStyle="1" w:styleId="Rubrik1Char">
    <w:name w:val="Rubrik 1 Char"/>
    <w:basedOn w:val="Standardstycketeckensnitt"/>
    <w:link w:val="Rubrik1"/>
    <w:uiPriority w:val="9"/>
    <w:rsid w:val="00DD51D3"/>
    <w:rPr>
      <w:rFonts w:asciiTheme="majorHAnsi" w:eastAsiaTheme="majorEastAsia" w:hAnsiTheme="majorHAnsi" w:cstheme="majorBidi"/>
      <w:bCs/>
      <w:color w:val="345A8A" w:themeColor="accent1" w:themeShade="B5"/>
      <w:sz w:val="32"/>
      <w:szCs w:val="32"/>
    </w:rPr>
  </w:style>
  <w:style w:type="character" w:customStyle="1" w:styleId="Rubrik2Char">
    <w:name w:val="Rubrik 2 Char"/>
    <w:basedOn w:val="Standardstycketeckensnitt"/>
    <w:link w:val="Rubrik2"/>
    <w:uiPriority w:val="9"/>
    <w:rsid w:val="00DD51D3"/>
    <w:rPr>
      <w:rFonts w:asciiTheme="majorHAnsi" w:eastAsia="MS Gothic" w:hAnsiTheme="majorHAnsi"/>
      <w:b/>
      <w:bCs/>
      <w:color w:val="548DD4" w:themeColor="text2" w:themeTint="99"/>
      <w:sz w:val="26"/>
      <w:szCs w:val="26"/>
    </w:rPr>
  </w:style>
  <w:style w:type="character" w:customStyle="1" w:styleId="Rubrik3Char">
    <w:name w:val="Rubrik 3 Char"/>
    <w:basedOn w:val="Standardstycketeckensnitt"/>
    <w:link w:val="Rubrik3"/>
    <w:uiPriority w:val="9"/>
    <w:rsid w:val="00DD51D3"/>
    <w:rPr>
      <w:rFonts w:asciiTheme="majorHAnsi" w:eastAsia="MS Gothic" w:hAnsiTheme="majorHAnsi" w:cstheme="majorBidi"/>
      <w:b/>
      <w:bCs/>
      <w:i/>
      <w:color w:val="548DD4" w:themeColor="text2" w:themeTint="99"/>
      <w:sz w:val="26"/>
      <w:szCs w:val="26"/>
    </w:rPr>
  </w:style>
  <w:style w:type="character" w:customStyle="1" w:styleId="SidhuvudChar">
    <w:name w:val="Sidhuvud Char"/>
    <w:basedOn w:val="Standardstycketeckensnitt"/>
    <w:link w:val="Sidhuvud"/>
    <w:rsid w:val="00A47BC7"/>
    <w:rPr>
      <w:sz w:val="20"/>
    </w:rPr>
  </w:style>
  <w:style w:type="paragraph" w:styleId="Sidhuvud">
    <w:name w:val="header"/>
    <w:basedOn w:val="Normal"/>
    <w:link w:val="SidhuvudChar"/>
    <w:rsid w:val="00A47BC7"/>
    <w:pPr>
      <w:tabs>
        <w:tab w:val="center" w:pos="4536"/>
        <w:tab w:val="right" w:pos="9072"/>
      </w:tabs>
    </w:pPr>
    <w:rPr>
      <w:sz w:val="20"/>
    </w:rPr>
  </w:style>
  <w:style w:type="character" w:customStyle="1" w:styleId="SidfotChar">
    <w:name w:val="Sidfot Char"/>
    <w:basedOn w:val="Standardstycketeckensnitt"/>
    <w:link w:val="Sidfot"/>
    <w:rsid w:val="00A47BC7"/>
    <w:rPr>
      <w:sz w:val="23"/>
    </w:rPr>
  </w:style>
  <w:style w:type="paragraph" w:styleId="Sidfot">
    <w:name w:val="footer"/>
    <w:basedOn w:val="Normal"/>
    <w:link w:val="SidfotChar"/>
    <w:rsid w:val="00A47BC7"/>
    <w:pPr>
      <w:tabs>
        <w:tab w:val="center" w:pos="4536"/>
        <w:tab w:val="right" w:pos="9072"/>
      </w:tabs>
    </w:pPr>
  </w:style>
  <w:style w:type="character" w:customStyle="1" w:styleId="FotnotstextChar">
    <w:name w:val="Fotnotstext Char"/>
    <w:basedOn w:val="Standardstycketeckensnitt"/>
    <w:link w:val="Fotnotstext"/>
    <w:uiPriority w:val="99"/>
    <w:rsid w:val="00A47BC7"/>
    <w:rPr>
      <w:sz w:val="20"/>
      <w:szCs w:val="20"/>
    </w:rPr>
  </w:style>
  <w:style w:type="paragraph" w:styleId="Fotnotstext">
    <w:name w:val="footnote text"/>
    <w:basedOn w:val="Normal"/>
    <w:link w:val="FotnotstextChar"/>
    <w:uiPriority w:val="99"/>
    <w:unhideWhenUsed/>
    <w:rsid w:val="00A47BC7"/>
    <w:rPr>
      <w:sz w:val="20"/>
      <w:szCs w:val="20"/>
    </w:rPr>
  </w:style>
  <w:style w:type="character" w:customStyle="1" w:styleId="BallongtextChar">
    <w:name w:val="Ballongtext Char"/>
    <w:basedOn w:val="Standardstycketeckensnitt"/>
    <w:link w:val="Ballongtext"/>
    <w:uiPriority w:val="99"/>
    <w:semiHidden/>
    <w:rsid w:val="00A47BC7"/>
    <w:rPr>
      <w:rFonts w:ascii="Tahoma" w:hAnsi="Tahoma" w:cs="Tahoma"/>
      <w:sz w:val="16"/>
      <w:szCs w:val="16"/>
    </w:rPr>
  </w:style>
  <w:style w:type="paragraph" w:styleId="Ballongtext">
    <w:name w:val="Balloon Text"/>
    <w:basedOn w:val="Normal"/>
    <w:link w:val="BallongtextChar"/>
    <w:uiPriority w:val="99"/>
    <w:semiHidden/>
    <w:unhideWhenUsed/>
    <w:rsid w:val="00A47BC7"/>
    <w:rPr>
      <w:rFonts w:ascii="Tahoma" w:hAnsi="Tahoma" w:cs="Tahoma"/>
      <w:sz w:val="16"/>
      <w:szCs w:val="16"/>
    </w:rPr>
  </w:style>
  <w:style w:type="paragraph" w:styleId="Liststycke">
    <w:name w:val="List Paragraph"/>
    <w:basedOn w:val="Normal"/>
    <w:uiPriority w:val="34"/>
    <w:qFormat/>
    <w:rsid w:val="00247A35"/>
    <w:pPr>
      <w:ind w:left="720"/>
      <w:contextualSpacing/>
    </w:pPr>
  </w:style>
  <w:style w:type="table" w:styleId="Tabellrutnt">
    <w:name w:val="Table Grid"/>
    <w:basedOn w:val="Normaltabell"/>
    <w:uiPriority w:val="39"/>
    <w:rsid w:val="00A8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unhideWhenUsed/>
    <w:rsid w:val="005C5DC6"/>
    <w:pPr>
      <w:spacing w:before="120"/>
    </w:pPr>
    <w:rPr>
      <w:rFonts w:asciiTheme="majorHAnsi" w:hAnsiTheme="majorHAnsi"/>
      <w:b/>
      <w:color w:val="548DD4"/>
    </w:rPr>
  </w:style>
  <w:style w:type="paragraph" w:styleId="Innehll2">
    <w:name w:val="toc 2"/>
    <w:basedOn w:val="Normal"/>
    <w:next w:val="Normal"/>
    <w:autoRedefine/>
    <w:uiPriority w:val="39"/>
    <w:unhideWhenUsed/>
    <w:rsid w:val="005C5DC6"/>
    <w:rPr>
      <w:sz w:val="22"/>
      <w:szCs w:val="22"/>
    </w:rPr>
  </w:style>
  <w:style w:type="paragraph" w:styleId="Innehll3">
    <w:name w:val="toc 3"/>
    <w:basedOn w:val="Normal"/>
    <w:next w:val="Normal"/>
    <w:autoRedefine/>
    <w:uiPriority w:val="39"/>
    <w:unhideWhenUsed/>
    <w:rsid w:val="005C5DC6"/>
    <w:pPr>
      <w:ind w:left="240"/>
    </w:pPr>
    <w:rPr>
      <w:i/>
      <w:sz w:val="22"/>
      <w:szCs w:val="22"/>
    </w:rPr>
  </w:style>
  <w:style w:type="paragraph" w:styleId="Innehll4">
    <w:name w:val="toc 4"/>
    <w:basedOn w:val="Normal"/>
    <w:next w:val="Normal"/>
    <w:autoRedefine/>
    <w:uiPriority w:val="39"/>
    <w:unhideWhenUsed/>
    <w:rsid w:val="005C5DC6"/>
    <w:pPr>
      <w:pBdr>
        <w:between w:val="double" w:sz="6" w:space="0" w:color="auto"/>
      </w:pBdr>
      <w:ind w:left="480"/>
    </w:pPr>
    <w:rPr>
      <w:sz w:val="20"/>
      <w:szCs w:val="20"/>
    </w:rPr>
  </w:style>
  <w:style w:type="paragraph" w:styleId="Innehll5">
    <w:name w:val="toc 5"/>
    <w:basedOn w:val="Normal"/>
    <w:next w:val="Normal"/>
    <w:autoRedefine/>
    <w:uiPriority w:val="39"/>
    <w:unhideWhenUsed/>
    <w:rsid w:val="005C5DC6"/>
    <w:pPr>
      <w:pBdr>
        <w:between w:val="double" w:sz="6" w:space="0" w:color="auto"/>
      </w:pBdr>
      <w:ind w:left="720"/>
    </w:pPr>
    <w:rPr>
      <w:sz w:val="20"/>
      <w:szCs w:val="20"/>
    </w:rPr>
  </w:style>
  <w:style w:type="paragraph" w:styleId="Innehll6">
    <w:name w:val="toc 6"/>
    <w:basedOn w:val="Normal"/>
    <w:next w:val="Normal"/>
    <w:autoRedefine/>
    <w:uiPriority w:val="39"/>
    <w:unhideWhenUsed/>
    <w:rsid w:val="002B6AAB"/>
    <w:pPr>
      <w:pBdr>
        <w:between w:val="double" w:sz="6" w:space="0" w:color="auto"/>
      </w:pBdr>
      <w:ind w:left="960"/>
    </w:pPr>
    <w:rPr>
      <w:sz w:val="20"/>
      <w:szCs w:val="20"/>
    </w:rPr>
  </w:style>
  <w:style w:type="paragraph" w:styleId="Innehll7">
    <w:name w:val="toc 7"/>
    <w:basedOn w:val="Normal"/>
    <w:next w:val="Normal"/>
    <w:autoRedefine/>
    <w:uiPriority w:val="39"/>
    <w:unhideWhenUsed/>
    <w:rsid w:val="002B6AAB"/>
    <w:pPr>
      <w:pBdr>
        <w:between w:val="double" w:sz="6" w:space="0" w:color="auto"/>
      </w:pBdr>
      <w:ind w:left="1200"/>
    </w:pPr>
    <w:rPr>
      <w:sz w:val="20"/>
      <w:szCs w:val="20"/>
    </w:rPr>
  </w:style>
  <w:style w:type="paragraph" w:styleId="Innehll8">
    <w:name w:val="toc 8"/>
    <w:basedOn w:val="Normal"/>
    <w:next w:val="Normal"/>
    <w:autoRedefine/>
    <w:uiPriority w:val="39"/>
    <w:unhideWhenUsed/>
    <w:rsid w:val="002B6AAB"/>
    <w:pPr>
      <w:pBdr>
        <w:between w:val="double" w:sz="6" w:space="0" w:color="auto"/>
      </w:pBdr>
      <w:ind w:left="1440"/>
    </w:pPr>
    <w:rPr>
      <w:sz w:val="20"/>
      <w:szCs w:val="20"/>
    </w:rPr>
  </w:style>
  <w:style w:type="paragraph" w:styleId="Innehll9">
    <w:name w:val="toc 9"/>
    <w:basedOn w:val="Normal"/>
    <w:next w:val="Normal"/>
    <w:autoRedefine/>
    <w:uiPriority w:val="39"/>
    <w:unhideWhenUsed/>
    <w:rsid w:val="002B6AAB"/>
    <w:pPr>
      <w:pBdr>
        <w:between w:val="double" w:sz="6" w:space="0" w:color="auto"/>
      </w:pBdr>
      <w:ind w:left="1680"/>
    </w:pPr>
    <w:rPr>
      <w:sz w:val="20"/>
      <w:szCs w:val="20"/>
    </w:rPr>
  </w:style>
  <w:style w:type="character" w:styleId="Fotnotsreferens">
    <w:name w:val="footnote reference"/>
    <w:basedOn w:val="Standardstycketeckensnitt"/>
    <w:uiPriority w:val="99"/>
    <w:unhideWhenUsed/>
    <w:rsid w:val="00A47BC7"/>
    <w:rPr>
      <w:vertAlign w:val="superscript"/>
    </w:rPr>
  </w:style>
  <w:style w:type="character" w:styleId="Sidnummer">
    <w:name w:val="page number"/>
    <w:basedOn w:val="Standardstycketeckensnitt"/>
    <w:rsid w:val="00A47BC7"/>
    <w:rPr>
      <w:sz w:val="20"/>
    </w:rPr>
  </w:style>
  <w:style w:type="character" w:customStyle="1" w:styleId="apple-converted-space">
    <w:name w:val="apple-converted-space"/>
    <w:basedOn w:val="Standardstycketeckensnitt"/>
    <w:rsid w:val="003C41C6"/>
  </w:style>
  <w:style w:type="character" w:styleId="Stark">
    <w:name w:val="Strong"/>
    <w:basedOn w:val="Standardstycketeckensnitt"/>
    <w:uiPriority w:val="22"/>
    <w:qFormat/>
    <w:rsid w:val="003C41C6"/>
    <w:rPr>
      <w:b/>
      <w:bCs/>
    </w:rPr>
  </w:style>
  <w:style w:type="character" w:styleId="Hyperlnk">
    <w:name w:val="Hyperlink"/>
    <w:basedOn w:val="Standardstycketeckensnitt"/>
    <w:uiPriority w:val="99"/>
    <w:semiHidden/>
    <w:unhideWhenUsed/>
    <w:rsid w:val="003C41C6"/>
    <w:rPr>
      <w:color w:val="0000FF"/>
      <w:u w:val="single"/>
    </w:rPr>
  </w:style>
  <w:style w:type="character" w:customStyle="1" w:styleId="breadcrumbsep">
    <w:name w:val="breadcrumb_sep"/>
    <w:basedOn w:val="Standardstycketeckensnitt"/>
    <w:rsid w:val="00046B36"/>
  </w:style>
  <w:style w:type="numbering" w:customStyle="1" w:styleId="Ingenlista1">
    <w:name w:val="Ingen lista1"/>
    <w:next w:val="Ingenlista"/>
    <w:uiPriority w:val="99"/>
    <w:semiHidden/>
    <w:unhideWhenUsed/>
    <w:rsid w:val="00117C0D"/>
  </w:style>
  <w:style w:type="paragraph" w:styleId="Normalwebb">
    <w:name w:val="Normal (Web)"/>
    <w:basedOn w:val="Normal"/>
    <w:uiPriority w:val="99"/>
    <w:unhideWhenUsed/>
    <w:rsid w:val="00117C0D"/>
    <w:pPr>
      <w:spacing w:before="100" w:beforeAutospacing="1" w:after="100" w:afterAutospacing="1"/>
    </w:pPr>
    <w:rPr>
      <w:rFonts w:ascii="Times" w:hAnsi="Times" w:cs="Times New Roman"/>
      <w:sz w:val="20"/>
      <w:szCs w:val="20"/>
    </w:rPr>
  </w:style>
  <w:style w:type="paragraph" w:styleId="Dokumentversikt">
    <w:name w:val="Document Map"/>
    <w:basedOn w:val="Normal"/>
    <w:link w:val="DokumentversiktChar"/>
    <w:uiPriority w:val="99"/>
    <w:semiHidden/>
    <w:unhideWhenUsed/>
    <w:rsid w:val="00FC31CA"/>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FC31CA"/>
    <w:rPr>
      <w:rFonts w:ascii="Lucida Grande" w:hAnsi="Lucida Grande" w:cs="Lucida Grande"/>
    </w:rPr>
  </w:style>
  <w:style w:type="paragraph" w:customStyle="1" w:styleId="a">
    <w:basedOn w:val="Normal"/>
    <w:next w:val="HTML"/>
    <w:link w:val="HTMLChar"/>
    <w:uiPriority w:val="99"/>
    <w:unhideWhenUsed/>
    <w:rsid w:val="00BF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rPr>
  </w:style>
  <w:style w:type="character" w:customStyle="1" w:styleId="HTMLChar">
    <w:name w:val="HTML Char"/>
    <w:aliases w:val=" förformaterad Char"/>
    <w:basedOn w:val="Standardstycketeckensnitt"/>
    <w:link w:val="a"/>
    <w:uiPriority w:val="99"/>
    <w:semiHidden/>
    <w:rsid w:val="00BF6F4E"/>
    <w:rPr>
      <w:rFonts w:ascii="Courier" w:eastAsiaTheme="minorEastAsia" w:hAnsi="Courier" w:cstheme="minorBidi"/>
    </w:rPr>
  </w:style>
  <w:style w:type="paragraph" w:customStyle="1" w:styleId="HTML">
    <w:name w:val="HTML"/>
    <w:aliases w:val=" förformaterad"/>
    <w:basedOn w:val="Normal"/>
    <w:link w:val="HTMLChar1"/>
    <w:uiPriority w:val="99"/>
    <w:semiHidden/>
    <w:unhideWhenUsed/>
    <w:rsid w:val="00BF6F4E"/>
    <w:rPr>
      <w:rFonts w:ascii="Courier" w:hAnsi="Courier"/>
      <w:sz w:val="20"/>
      <w:szCs w:val="20"/>
    </w:rPr>
  </w:style>
  <w:style w:type="character" w:customStyle="1" w:styleId="HTMLChar1">
    <w:name w:val="HTML Char1"/>
    <w:aliases w:val=" förformaterad Char1"/>
    <w:basedOn w:val="Standardstycketeckensnitt"/>
    <w:link w:val="HTML"/>
    <w:uiPriority w:val="99"/>
    <w:semiHidden/>
    <w:rsid w:val="00BF6F4E"/>
    <w:rPr>
      <w:rFonts w:ascii="Courier" w:hAnsi="Courier"/>
      <w:sz w:val="20"/>
      <w:szCs w:val="20"/>
    </w:rPr>
  </w:style>
  <w:style w:type="character" w:styleId="Kommentarsreferens">
    <w:name w:val="annotation reference"/>
    <w:basedOn w:val="Standardstycketeckensnitt"/>
    <w:uiPriority w:val="99"/>
    <w:semiHidden/>
    <w:unhideWhenUsed/>
    <w:rsid w:val="00D35661"/>
    <w:rPr>
      <w:sz w:val="16"/>
      <w:szCs w:val="16"/>
    </w:rPr>
  </w:style>
  <w:style w:type="paragraph" w:styleId="Kommentarer">
    <w:name w:val="annotation text"/>
    <w:basedOn w:val="Normal"/>
    <w:link w:val="KommentarerChar"/>
    <w:uiPriority w:val="99"/>
    <w:semiHidden/>
    <w:unhideWhenUsed/>
    <w:rsid w:val="00D35661"/>
    <w:rPr>
      <w:sz w:val="20"/>
      <w:szCs w:val="20"/>
    </w:rPr>
  </w:style>
  <w:style w:type="character" w:customStyle="1" w:styleId="KommentarerChar">
    <w:name w:val="Kommentarer Char"/>
    <w:basedOn w:val="Standardstycketeckensnitt"/>
    <w:link w:val="Kommentarer"/>
    <w:uiPriority w:val="99"/>
    <w:semiHidden/>
    <w:rsid w:val="00D35661"/>
    <w:rPr>
      <w:sz w:val="20"/>
      <w:szCs w:val="20"/>
    </w:rPr>
  </w:style>
  <w:style w:type="paragraph" w:styleId="Kommentarsmne">
    <w:name w:val="annotation subject"/>
    <w:basedOn w:val="Kommentarer"/>
    <w:next w:val="Kommentarer"/>
    <w:link w:val="KommentarsmneChar"/>
    <w:uiPriority w:val="99"/>
    <w:semiHidden/>
    <w:unhideWhenUsed/>
    <w:rsid w:val="00D35661"/>
    <w:rPr>
      <w:b/>
      <w:bCs/>
    </w:rPr>
  </w:style>
  <w:style w:type="character" w:customStyle="1" w:styleId="KommentarsmneChar">
    <w:name w:val="Kommentarsämne Char"/>
    <w:basedOn w:val="KommentarerChar"/>
    <w:link w:val="Kommentarsmne"/>
    <w:uiPriority w:val="99"/>
    <w:semiHidden/>
    <w:rsid w:val="00D356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7760">
      <w:bodyDiv w:val="1"/>
      <w:marLeft w:val="0"/>
      <w:marRight w:val="0"/>
      <w:marTop w:val="0"/>
      <w:marBottom w:val="0"/>
      <w:divBdr>
        <w:top w:val="none" w:sz="0" w:space="0" w:color="auto"/>
        <w:left w:val="none" w:sz="0" w:space="0" w:color="auto"/>
        <w:bottom w:val="none" w:sz="0" w:space="0" w:color="auto"/>
        <w:right w:val="none" w:sz="0" w:space="0" w:color="auto"/>
      </w:divBdr>
    </w:div>
    <w:div w:id="189536681">
      <w:bodyDiv w:val="1"/>
      <w:marLeft w:val="0"/>
      <w:marRight w:val="0"/>
      <w:marTop w:val="0"/>
      <w:marBottom w:val="0"/>
      <w:divBdr>
        <w:top w:val="none" w:sz="0" w:space="0" w:color="auto"/>
        <w:left w:val="none" w:sz="0" w:space="0" w:color="auto"/>
        <w:bottom w:val="none" w:sz="0" w:space="0" w:color="auto"/>
        <w:right w:val="none" w:sz="0" w:space="0" w:color="auto"/>
      </w:divBdr>
    </w:div>
    <w:div w:id="303587861">
      <w:bodyDiv w:val="1"/>
      <w:marLeft w:val="0"/>
      <w:marRight w:val="0"/>
      <w:marTop w:val="0"/>
      <w:marBottom w:val="0"/>
      <w:divBdr>
        <w:top w:val="none" w:sz="0" w:space="0" w:color="auto"/>
        <w:left w:val="none" w:sz="0" w:space="0" w:color="auto"/>
        <w:bottom w:val="none" w:sz="0" w:space="0" w:color="auto"/>
        <w:right w:val="none" w:sz="0" w:space="0" w:color="auto"/>
      </w:divBdr>
    </w:div>
    <w:div w:id="351415953">
      <w:bodyDiv w:val="1"/>
      <w:marLeft w:val="0"/>
      <w:marRight w:val="0"/>
      <w:marTop w:val="0"/>
      <w:marBottom w:val="0"/>
      <w:divBdr>
        <w:top w:val="none" w:sz="0" w:space="0" w:color="auto"/>
        <w:left w:val="none" w:sz="0" w:space="0" w:color="auto"/>
        <w:bottom w:val="none" w:sz="0" w:space="0" w:color="auto"/>
        <w:right w:val="none" w:sz="0" w:space="0" w:color="auto"/>
      </w:divBdr>
    </w:div>
    <w:div w:id="403839226">
      <w:bodyDiv w:val="1"/>
      <w:marLeft w:val="0"/>
      <w:marRight w:val="0"/>
      <w:marTop w:val="0"/>
      <w:marBottom w:val="0"/>
      <w:divBdr>
        <w:top w:val="none" w:sz="0" w:space="0" w:color="auto"/>
        <w:left w:val="none" w:sz="0" w:space="0" w:color="auto"/>
        <w:bottom w:val="none" w:sz="0" w:space="0" w:color="auto"/>
        <w:right w:val="none" w:sz="0" w:space="0" w:color="auto"/>
      </w:divBdr>
    </w:div>
    <w:div w:id="440416432">
      <w:bodyDiv w:val="1"/>
      <w:marLeft w:val="0"/>
      <w:marRight w:val="0"/>
      <w:marTop w:val="0"/>
      <w:marBottom w:val="0"/>
      <w:divBdr>
        <w:top w:val="none" w:sz="0" w:space="0" w:color="auto"/>
        <w:left w:val="none" w:sz="0" w:space="0" w:color="auto"/>
        <w:bottom w:val="none" w:sz="0" w:space="0" w:color="auto"/>
        <w:right w:val="none" w:sz="0" w:space="0" w:color="auto"/>
      </w:divBdr>
    </w:div>
    <w:div w:id="556937704">
      <w:bodyDiv w:val="1"/>
      <w:marLeft w:val="0"/>
      <w:marRight w:val="0"/>
      <w:marTop w:val="0"/>
      <w:marBottom w:val="0"/>
      <w:divBdr>
        <w:top w:val="none" w:sz="0" w:space="0" w:color="auto"/>
        <w:left w:val="none" w:sz="0" w:space="0" w:color="auto"/>
        <w:bottom w:val="none" w:sz="0" w:space="0" w:color="auto"/>
        <w:right w:val="none" w:sz="0" w:space="0" w:color="auto"/>
      </w:divBdr>
    </w:div>
    <w:div w:id="566693312">
      <w:bodyDiv w:val="1"/>
      <w:marLeft w:val="0"/>
      <w:marRight w:val="0"/>
      <w:marTop w:val="0"/>
      <w:marBottom w:val="0"/>
      <w:divBdr>
        <w:top w:val="none" w:sz="0" w:space="0" w:color="auto"/>
        <w:left w:val="none" w:sz="0" w:space="0" w:color="auto"/>
        <w:bottom w:val="none" w:sz="0" w:space="0" w:color="auto"/>
        <w:right w:val="none" w:sz="0" w:space="0" w:color="auto"/>
      </w:divBdr>
    </w:div>
    <w:div w:id="572157257">
      <w:bodyDiv w:val="1"/>
      <w:marLeft w:val="0"/>
      <w:marRight w:val="0"/>
      <w:marTop w:val="0"/>
      <w:marBottom w:val="0"/>
      <w:divBdr>
        <w:top w:val="none" w:sz="0" w:space="0" w:color="auto"/>
        <w:left w:val="none" w:sz="0" w:space="0" w:color="auto"/>
        <w:bottom w:val="none" w:sz="0" w:space="0" w:color="auto"/>
        <w:right w:val="none" w:sz="0" w:space="0" w:color="auto"/>
      </w:divBdr>
    </w:div>
    <w:div w:id="648443417">
      <w:bodyDiv w:val="1"/>
      <w:marLeft w:val="0"/>
      <w:marRight w:val="0"/>
      <w:marTop w:val="0"/>
      <w:marBottom w:val="0"/>
      <w:divBdr>
        <w:top w:val="none" w:sz="0" w:space="0" w:color="auto"/>
        <w:left w:val="none" w:sz="0" w:space="0" w:color="auto"/>
        <w:bottom w:val="none" w:sz="0" w:space="0" w:color="auto"/>
        <w:right w:val="none" w:sz="0" w:space="0" w:color="auto"/>
      </w:divBdr>
    </w:div>
    <w:div w:id="698431447">
      <w:bodyDiv w:val="1"/>
      <w:marLeft w:val="0"/>
      <w:marRight w:val="0"/>
      <w:marTop w:val="0"/>
      <w:marBottom w:val="0"/>
      <w:divBdr>
        <w:top w:val="none" w:sz="0" w:space="0" w:color="auto"/>
        <w:left w:val="none" w:sz="0" w:space="0" w:color="auto"/>
        <w:bottom w:val="none" w:sz="0" w:space="0" w:color="auto"/>
        <w:right w:val="none" w:sz="0" w:space="0" w:color="auto"/>
      </w:divBdr>
    </w:div>
    <w:div w:id="776173998">
      <w:bodyDiv w:val="1"/>
      <w:marLeft w:val="0"/>
      <w:marRight w:val="0"/>
      <w:marTop w:val="0"/>
      <w:marBottom w:val="0"/>
      <w:divBdr>
        <w:top w:val="none" w:sz="0" w:space="0" w:color="auto"/>
        <w:left w:val="none" w:sz="0" w:space="0" w:color="auto"/>
        <w:bottom w:val="none" w:sz="0" w:space="0" w:color="auto"/>
        <w:right w:val="none" w:sz="0" w:space="0" w:color="auto"/>
      </w:divBdr>
    </w:div>
    <w:div w:id="807863953">
      <w:bodyDiv w:val="1"/>
      <w:marLeft w:val="0"/>
      <w:marRight w:val="0"/>
      <w:marTop w:val="0"/>
      <w:marBottom w:val="0"/>
      <w:divBdr>
        <w:top w:val="none" w:sz="0" w:space="0" w:color="auto"/>
        <w:left w:val="none" w:sz="0" w:space="0" w:color="auto"/>
        <w:bottom w:val="none" w:sz="0" w:space="0" w:color="auto"/>
        <w:right w:val="none" w:sz="0" w:space="0" w:color="auto"/>
      </w:divBdr>
    </w:div>
    <w:div w:id="840512433">
      <w:bodyDiv w:val="1"/>
      <w:marLeft w:val="0"/>
      <w:marRight w:val="0"/>
      <w:marTop w:val="0"/>
      <w:marBottom w:val="0"/>
      <w:divBdr>
        <w:top w:val="none" w:sz="0" w:space="0" w:color="auto"/>
        <w:left w:val="none" w:sz="0" w:space="0" w:color="auto"/>
        <w:bottom w:val="none" w:sz="0" w:space="0" w:color="auto"/>
        <w:right w:val="none" w:sz="0" w:space="0" w:color="auto"/>
      </w:divBdr>
    </w:div>
    <w:div w:id="846939515">
      <w:bodyDiv w:val="1"/>
      <w:marLeft w:val="0"/>
      <w:marRight w:val="0"/>
      <w:marTop w:val="0"/>
      <w:marBottom w:val="0"/>
      <w:divBdr>
        <w:top w:val="none" w:sz="0" w:space="0" w:color="auto"/>
        <w:left w:val="none" w:sz="0" w:space="0" w:color="auto"/>
        <w:bottom w:val="none" w:sz="0" w:space="0" w:color="auto"/>
        <w:right w:val="none" w:sz="0" w:space="0" w:color="auto"/>
      </w:divBdr>
    </w:div>
    <w:div w:id="868758406">
      <w:bodyDiv w:val="1"/>
      <w:marLeft w:val="0"/>
      <w:marRight w:val="0"/>
      <w:marTop w:val="0"/>
      <w:marBottom w:val="0"/>
      <w:divBdr>
        <w:top w:val="none" w:sz="0" w:space="0" w:color="auto"/>
        <w:left w:val="none" w:sz="0" w:space="0" w:color="auto"/>
        <w:bottom w:val="none" w:sz="0" w:space="0" w:color="auto"/>
        <w:right w:val="none" w:sz="0" w:space="0" w:color="auto"/>
      </w:divBdr>
      <w:divsChild>
        <w:div w:id="1772504814">
          <w:marLeft w:val="0"/>
          <w:marRight w:val="0"/>
          <w:marTop w:val="0"/>
          <w:marBottom w:val="0"/>
          <w:divBdr>
            <w:top w:val="none" w:sz="0" w:space="0" w:color="auto"/>
            <w:left w:val="none" w:sz="0" w:space="0" w:color="auto"/>
            <w:bottom w:val="none" w:sz="0" w:space="0" w:color="auto"/>
            <w:right w:val="none" w:sz="0" w:space="0" w:color="auto"/>
          </w:divBdr>
          <w:divsChild>
            <w:div w:id="1068725029">
              <w:marLeft w:val="0"/>
              <w:marRight w:val="0"/>
              <w:marTop w:val="0"/>
              <w:marBottom w:val="0"/>
              <w:divBdr>
                <w:top w:val="none" w:sz="0" w:space="0" w:color="auto"/>
                <w:left w:val="none" w:sz="0" w:space="0" w:color="auto"/>
                <w:bottom w:val="none" w:sz="0" w:space="0" w:color="auto"/>
                <w:right w:val="none" w:sz="0" w:space="0" w:color="auto"/>
              </w:divBdr>
              <w:divsChild>
                <w:div w:id="17659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7261">
      <w:bodyDiv w:val="1"/>
      <w:marLeft w:val="0"/>
      <w:marRight w:val="0"/>
      <w:marTop w:val="0"/>
      <w:marBottom w:val="0"/>
      <w:divBdr>
        <w:top w:val="none" w:sz="0" w:space="0" w:color="auto"/>
        <w:left w:val="none" w:sz="0" w:space="0" w:color="auto"/>
        <w:bottom w:val="none" w:sz="0" w:space="0" w:color="auto"/>
        <w:right w:val="none" w:sz="0" w:space="0" w:color="auto"/>
      </w:divBdr>
    </w:div>
    <w:div w:id="949582930">
      <w:bodyDiv w:val="1"/>
      <w:marLeft w:val="0"/>
      <w:marRight w:val="0"/>
      <w:marTop w:val="0"/>
      <w:marBottom w:val="0"/>
      <w:divBdr>
        <w:top w:val="none" w:sz="0" w:space="0" w:color="auto"/>
        <w:left w:val="none" w:sz="0" w:space="0" w:color="auto"/>
        <w:bottom w:val="none" w:sz="0" w:space="0" w:color="auto"/>
        <w:right w:val="none" w:sz="0" w:space="0" w:color="auto"/>
      </w:divBdr>
    </w:div>
    <w:div w:id="103018610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137841980">
      <w:bodyDiv w:val="1"/>
      <w:marLeft w:val="0"/>
      <w:marRight w:val="0"/>
      <w:marTop w:val="0"/>
      <w:marBottom w:val="0"/>
      <w:divBdr>
        <w:top w:val="none" w:sz="0" w:space="0" w:color="auto"/>
        <w:left w:val="none" w:sz="0" w:space="0" w:color="auto"/>
        <w:bottom w:val="none" w:sz="0" w:space="0" w:color="auto"/>
        <w:right w:val="none" w:sz="0" w:space="0" w:color="auto"/>
      </w:divBdr>
      <w:divsChild>
        <w:div w:id="949319613">
          <w:marLeft w:val="0"/>
          <w:marRight w:val="0"/>
          <w:marTop w:val="0"/>
          <w:marBottom w:val="0"/>
          <w:divBdr>
            <w:top w:val="none" w:sz="0" w:space="0" w:color="auto"/>
            <w:left w:val="none" w:sz="0" w:space="0" w:color="auto"/>
            <w:bottom w:val="none" w:sz="0" w:space="0" w:color="auto"/>
            <w:right w:val="none" w:sz="0" w:space="0" w:color="auto"/>
          </w:divBdr>
          <w:divsChild>
            <w:div w:id="874003722">
              <w:marLeft w:val="0"/>
              <w:marRight w:val="0"/>
              <w:marTop w:val="0"/>
              <w:marBottom w:val="0"/>
              <w:divBdr>
                <w:top w:val="none" w:sz="0" w:space="0" w:color="auto"/>
                <w:left w:val="none" w:sz="0" w:space="0" w:color="auto"/>
                <w:bottom w:val="none" w:sz="0" w:space="0" w:color="auto"/>
                <w:right w:val="none" w:sz="0" w:space="0" w:color="auto"/>
              </w:divBdr>
              <w:divsChild>
                <w:div w:id="1762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3217">
      <w:bodyDiv w:val="1"/>
      <w:marLeft w:val="0"/>
      <w:marRight w:val="0"/>
      <w:marTop w:val="0"/>
      <w:marBottom w:val="0"/>
      <w:divBdr>
        <w:top w:val="none" w:sz="0" w:space="0" w:color="auto"/>
        <w:left w:val="none" w:sz="0" w:space="0" w:color="auto"/>
        <w:bottom w:val="none" w:sz="0" w:space="0" w:color="auto"/>
        <w:right w:val="none" w:sz="0" w:space="0" w:color="auto"/>
      </w:divBdr>
    </w:div>
    <w:div w:id="1307784964">
      <w:bodyDiv w:val="1"/>
      <w:marLeft w:val="0"/>
      <w:marRight w:val="0"/>
      <w:marTop w:val="0"/>
      <w:marBottom w:val="0"/>
      <w:divBdr>
        <w:top w:val="none" w:sz="0" w:space="0" w:color="auto"/>
        <w:left w:val="none" w:sz="0" w:space="0" w:color="auto"/>
        <w:bottom w:val="none" w:sz="0" w:space="0" w:color="auto"/>
        <w:right w:val="none" w:sz="0" w:space="0" w:color="auto"/>
      </w:divBdr>
      <w:divsChild>
        <w:div w:id="1544436779">
          <w:marLeft w:val="0"/>
          <w:marRight w:val="0"/>
          <w:marTop w:val="0"/>
          <w:marBottom w:val="0"/>
          <w:divBdr>
            <w:top w:val="none" w:sz="0" w:space="0" w:color="auto"/>
            <w:left w:val="none" w:sz="0" w:space="0" w:color="auto"/>
            <w:bottom w:val="none" w:sz="0" w:space="0" w:color="auto"/>
            <w:right w:val="none" w:sz="0" w:space="0" w:color="auto"/>
          </w:divBdr>
          <w:divsChild>
            <w:div w:id="2026708946">
              <w:marLeft w:val="0"/>
              <w:marRight w:val="0"/>
              <w:marTop w:val="0"/>
              <w:marBottom w:val="0"/>
              <w:divBdr>
                <w:top w:val="none" w:sz="0" w:space="0" w:color="auto"/>
                <w:left w:val="none" w:sz="0" w:space="0" w:color="auto"/>
                <w:bottom w:val="none" w:sz="0" w:space="0" w:color="auto"/>
                <w:right w:val="none" w:sz="0" w:space="0" w:color="auto"/>
              </w:divBdr>
              <w:divsChild>
                <w:div w:id="14696098">
                  <w:marLeft w:val="0"/>
                  <w:marRight w:val="0"/>
                  <w:marTop w:val="0"/>
                  <w:marBottom w:val="0"/>
                  <w:divBdr>
                    <w:top w:val="none" w:sz="0" w:space="0" w:color="auto"/>
                    <w:left w:val="none" w:sz="0" w:space="0" w:color="auto"/>
                    <w:bottom w:val="none" w:sz="0" w:space="0" w:color="auto"/>
                    <w:right w:val="none" w:sz="0" w:space="0" w:color="auto"/>
                  </w:divBdr>
                  <w:divsChild>
                    <w:div w:id="13850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73271">
      <w:bodyDiv w:val="1"/>
      <w:marLeft w:val="0"/>
      <w:marRight w:val="0"/>
      <w:marTop w:val="0"/>
      <w:marBottom w:val="0"/>
      <w:divBdr>
        <w:top w:val="none" w:sz="0" w:space="0" w:color="auto"/>
        <w:left w:val="none" w:sz="0" w:space="0" w:color="auto"/>
        <w:bottom w:val="none" w:sz="0" w:space="0" w:color="auto"/>
        <w:right w:val="none" w:sz="0" w:space="0" w:color="auto"/>
      </w:divBdr>
    </w:div>
    <w:div w:id="1358507298">
      <w:bodyDiv w:val="1"/>
      <w:marLeft w:val="0"/>
      <w:marRight w:val="0"/>
      <w:marTop w:val="0"/>
      <w:marBottom w:val="0"/>
      <w:divBdr>
        <w:top w:val="none" w:sz="0" w:space="0" w:color="auto"/>
        <w:left w:val="none" w:sz="0" w:space="0" w:color="auto"/>
        <w:bottom w:val="none" w:sz="0" w:space="0" w:color="auto"/>
        <w:right w:val="none" w:sz="0" w:space="0" w:color="auto"/>
      </w:divBdr>
    </w:div>
    <w:div w:id="1424842577">
      <w:bodyDiv w:val="1"/>
      <w:marLeft w:val="0"/>
      <w:marRight w:val="0"/>
      <w:marTop w:val="0"/>
      <w:marBottom w:val="0"/>
      <w:divBdr>
        <w:top w:val="none" w:sz="0" w:space="0" w:color="auto"/>
        <w:left w:val="none" w:sz="0" w:space="0" w:color="auto"/>
        <w:bottom w:val="none" w:sz="0" w:space="0" w:color="auto"/>
        <w:right w:val="none" w:sz="0" w:space="0" w:color="auto"/>
      </w:divBdr>
    </w:div>
    <w:div w:id="1605190032">
      <w:bodyDiv w:val="1"/>
      <w:marLeft w:val="0"/>
      <w:marRight w:val="0"/>
      <w:marTop w:val="0"/>
      <w:marBottom w:val="0"/>
      <w:divBdr>
        <w:top w:val="none" w:sz="0" w:space="0" w:color="auto"/>
        <w:left w:val="none" w:sz="0" w:space="0" w:color="auto"/>
        <w:bottom w:val="none" w:sz="0" w:space="0" w:color="auto"/>
        <w:right w:val="none" w:sz="0" w:space="0" w:color="auto"/>
      </w:divBdr>
    </w:div>
    <w:div w:id="1688630635">
      <w:bodyDiv w:val="1"/>
      <w:marLeft w:val="0"/>
      <w:marRight w:val="0"/>
      <w:marTop w:val="0"/>
      <w:marBottom w:val="0"/>
      <w:divBdr>
        <w:top w:val="none" w:sz="0" w:space="0" w:color="auto"/>
        <w:left w:val="none" w:sz="0" w:space="0" w:color="auto"/>
        <w:bottom w:val="none" w:sz="0" w:space="0" w:color="auto"/>
        <w:right w:val="none" w:sz="0" w:space="0" w:color="auto"/>
      </w:divBdr>
    </w:div>
    <w:div w:id="1867521937">
      <w:bodyDiv w:val="1"/>
      <w:marLeft w:val="0"/>
      <w:marRight w:val="0"/>
      <w:marTop w:val="0"/>
      <w:marBottom w:val="0"/>
      <w:divBdr>
        <w:top w:val="none" w:sz="0" w:space="0" w:color="auto"/>
        <w:left w:val="none" w:sz="0" w:space="0" w:color="auto"/>
        <w:bottom w:val="none" w:sz="0" w:space="0" w:color="auto"/>
        <w:right w:val="none" w:sz="0" w:space="0" w:color="auto"/>
      </w:divBdr>
    </w:div>
    <w:div w:id="1938174853">
      <w:bodyDiv w:val="1"/>
      <w:marLeft w:val="0"/>
      <w:marRight w:val="0"/>
      <w:marTop w:val="0"/>
      <w:marBottom w:val="0"/>
      <w:divBdr>
        <w:top w:val="none" w:sz="0" w:space="0" w:color="auto"/>
        <w:left w:val="none" w:sz="0" w:space="0" w:color="auto"/>
        <w:bottom w:val="none" w:sz="0" w:space="0" w:color="auto"/>
        <w:right w:val="none" w:sz="0" w:space="0" w:color="auto"/>
      </w:divBdr>
    </w:div>
    <w:div w:id="2033647800">
      <w:bodyDiv w:val="1"/>
      <w:marLeft w:val="0"/>
      <w:marRight w:val="0"/>
      <w:marTop w:val="0"/>
      <w:marBottom w:val="0"/>
      <w:divBdr>
        <w:top w:val="none" w:sz="0" w:space="0" w:color="auto"/>
        <w:left w:val="none" w:sz="0" w:space="0" w:color="auto"/>
        <w:bottom w:val="none" w:sz="0" w:space="0" w:color="auto"/>
        <w:right w:val="none" w:sz="0" w:space="0" w:color="auto"/>
      </w:divBdr>
      <w:divsChild>
        <w:div w:id="933824842">
          <w:marLeft w:val="0"/>
          <w:marRight w:val="0"/>
          <w:marTop w:val="135"/>
          <w:marBottom w:val="90"/>
          <w:divBdr>
            <w:top w:val="none" w:sz="0" w:space="0" w:color="auto"/>
            <w:left w:val="none" w:sz="0" w:space="0" w:color="auto"/>
            <w:bottom w:val="none" w:sz="0" w:space="0" w:color="auto"/>
            <w:right w:val="none" w:sz="0" w:space="0" w:color="auto"/>
          </w:divBdr>
        </w:div>
        <w:div w:id="2105955432">
          <w:marLeft w:val="0"/>
          <w:marRight w:val="0"/>
          <w:marTop w:val="90"/>
          <w:marBottom w:val="135"/>
          <w:divBdr>
            <w:top w:val="none" w:sz="0" w:space="0" w:color="auto"/>
            <w:left w:val="none" w:sz="0" w:space="0" w:color="auto"/>
            <w:bottom w:val="none" w:sz="0" w:space="0" w:color="auto"/>
            <w:right w:val="none" w:sz="0" w:space="0" w:color="auto"/>
          </w:divBdr>
        </w:div>
      </w:divsChild>
    </w:div>
    <w:div w:id="2046371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s.lib.chalmers.se/rweb/?personID=124375" TargetMode="External"/><Relationship Id="rId2" Type="http://schemas.openxmlformats.org/officeDocument/2006/relationships/hyperlink" Target="http://portal.research.lu.se/portal/sv/persons/torbjoern-hjort(34347c3f-5f08-4412-a9f8-573a58acc46e).html" TargetMode="External"/><Relationship Id="rId1" Type="http://schemas.openxmlformats.org/officeDocument/2006/relationships/hyperlink" Target="http://portal.research.lu.se/portal/sv/publications/knapphetens-boningar--om-fattiga-barnfamiljers-boende-och-ekonomi(fe102fd1-eb73-49f2-8661-2027f4530e1e).html" TargetMode="External"/><Relationship Id="rId5" Type="http://schemas.openxmlformats.org/officeDocument/2006/relationships/hyperlink" Target="http://hurvibor.se/lanssidor/goteborgsregionen/kommuner/goteborg/" TargetMode="External"/><Relationship Id="rId4" Type="http://schemas.openxmlformats.org/officeDocument/2006/relationships/hyperlink" Target="http://www.fastighetsaga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2230647C1B8A7F489D96DB5B68D85951" ma:contentTypeVersion="58" ma:contentTypeDescription="Skapa ett nytt dokument." ma:contentTypeScope="" ma:versionID="2af9910a05ab9e3a2fc549d79ccd5c3e">
  <xsd:schema xmlns:xsd="http://www.w3.org/2001/XMLSchema" xmlns:xs="http://www.w3.org/2001/XMLSchema" xmlns:p="http://schemas.microsoft.com/office/2006/metadata/properties" xmlns:ns2="ac08e1fa-08b6-4940-a840-336f31af8ae7" xmlns:ns3="c56c232e-be59-4d2f-8f23-b46d5eb1e210" targetNamespace="http://schemas.microsoft.com/office/2006/metadata/properties" ma:root="true" ma:fieldsID="8fa344b62657e95b0b009b5c45167b56" ns2:_="" ns3:_="">
    <xsd:import namespace="ac08e1fa-08b6-4940-a840-336f31af8ae7"/>
    <xsd:import namespace="c56c232e-be59-4d2f-8f23-b46d5eb1e210"/>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8e1fa-08b6-4940-a840-336f31af8ae7"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c232e-be59-4d2f-8f23-b46d5eb1e210"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de688159-df0e-4c37-9d72-fd11abc59498}" ma:internalName="TaxCatchAll" ma:showField="CatchAllData" ma:web="c56c232e-be59-4d2f-8f23-b46d5eb1e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e688159-df0e-4c37-9d72-fd11abc59498}" ma:internalName="TaxCatchAllLabel" ma:readOnly="true" ma:showField="CatchAllDataLabel" ma:web="c56c232e-be59-4d2f-8f23-b46d5eb1e210">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p:properties xmlns:p="http://schemas.microsoft.com/office/2006/metadata/properties" xmlns:xsi="http://www.w3.org/2001/XMLSchema-instance" xmlns:pc="http://schemas.microsoft.com/office/infopath/2007/PartnerControls">
  <documentManagement>
    <HGFDocDate xmlns="ac08e1fa-08b6-4940-a840-336f31af8ae7">2017-01-12T23:00:00+00:00</HGFDocDate>
    <TaxKeywordTaxHTField xmlns="c56c232e-be59-4d2f-8f23-b46d5eb1e210">
      <Terms xmlns="http://schemas.microsoft.com/office/infopath/2007/PartnerControls"/>
    </TaxKeywordTaxHTField>
    <TaxCatchAll xmlns="c56c232e-be59-4d2f-8f23-b46d5eb1e210">
      <Value>21</Value>
      <Value>9</Value>
      <Value>1</Value>
    </TaxCatchAll>
    <HGFKeywordsTaxHTField0 xmlns="ac08e1fa-08b6-4940-a840-336f31af8ae7" xsi:nil="true"/>
    <HGFFileTypeTaxHTField0 xmlns="ac08e1fa-08b6-4940-a840-336f31af8ae7">
      <Terms xmlns="http://schemas.microsoft.com/office/infopath/2007/PartnerControls"/>
    </HGFFileTypeTaxHTField0>
    <HGFDocOwner xmlns="ac08e1fa-08b6-4940-a840-336f31af8ae7">
      <UserInfo>
        <DisplayName>Anna Hamrin</DisplayName>
        <AccountId>823</AccountId>
        <AccountType/>
      </UserInfo>
    </HGFDocOwner>
    <HGFRegionTaxHTField0 xmlns="ac08e1fa-08b6-4940-a840-336f31af8ae7">
      <Terms xmlns="http://schemas.microsoft.com/office/infopath/2007/PartnerControls">
        <TermInfo xmlns="http://schemas.microsoft.com/office/infopath/2007/PartnerControls">
          <TermName xmlns="http://schemas.microsoft.com/office/infopath/2007/PartnerControls">Region västra Sverige</TermName>
          <TermId xmlns="http://schemas.microsoft.com/office/infopath/2007/PartnerControls">c29ce807-2eb9-4182-83e3-870431cd160c</TermId>
        </TermInfo>
      </Terms>
    </HGFRegionTaxHTField0>
    <HGFBusinessTaxHTField0 xmlns="ac08e1fa-08b6-4940-a840-336f31af8ae7">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DocTypeTaxHTField0 xmlns="ac08e1fa-08b6-4940-a840-336f31af8ae7">
      <Terms xmlns="http://schemas.microsoft.com/office/infopath/2007/PartnerControls">
        <TermInfo xmlns="http://schemas.microsoft.com/office/infopath/2007/PartnerControls">
          <TermName xmlns="http://schemas.microsoft.com/office/infopath/2007/PartnerControls">Underlag</TermName>
          <TermId xmlns="http://schemas.microsoft.com/office/infopath/2007/PartnerControls">17d4c247-a9ec-4587-8289-be25ac390bce</TermId>
        </TermInfo>
      </Terms>
    </HGFDocTypeTaxHTField0>
    <_dlc_DocId xmlns="c56c232e-be59-4d2f-8f23-b46d5eb1e210">434H7WWKWUWK-13-3935</_dlc_DocId>
    <_dlc_DocIdUrl xmlns="c56c232e-be59-4d2f-8f23-b46d5eb1e210">
      <Url>https://bosse.hyresgastforeningen.se/collab/53/region-vastra-sverige-kommunikation-och-opinionsbildning/_layouts/DocIdRedir.aspx?ID=434H7WWKWUWK-13-3935</Url>
      <Description>434H7WWKWUWK-13-3935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92C4-3934-4C10-8B85-D1FE7DCA3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8e1fa-08b6-4940-a840-336f31af8ae7"/>
    <ds:schemaRef ds:uri="c56c232e-be59-4d2f-8f23-b46d5eb1e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BAF1F-D2FC-4688-B3D9-65858DB54B50}">
  <ds:schemaRefs>
    <ds:schemaRef ds:uri="http://schemas.microsoft.com/sharepoint/events"/>
  </ds:schemaRefs>
</ds:datastoreItem>
</file>

<file path=customXml/itemProps3.xml><?xml version="1.0" encoding="utf-8"?>
<ds:datastoreItem xmlns:ds="http://schemas.openxmlformats.org/officeDocument/2006/customXml" ds:itemID="{6E8A9E24-B8F7-4F67-AA2B-6910F2561919}">
  <ds:schemaRefs>
    <ds:schemaRef ds:uri="http://schemas.microsoft.com/sharepoint/v3/contenttype/forms"/>
  </ds:schemaRefs>
</ds:datastoreItem>
</file>

<file path=customXml/itemProps4.xml><?xml version="1.0" encoding="utf-8"?>
<ds:datastoreItem xmlns:ds="http://schemas.openxmlformats.org/officeDocument/2006/customXml" ds:itemID="{D6579BB9-69BC-4C2C-9158-6633BA6B7F45}">
  <ds:schemaRefs>
    <ds:schemaRef ds:uri="http://schemas.microsoft.com/sharepoint/v3/contenttype/forms/url"/>
  </ds:schemaRefs>
</ds:datastoreItem>
</file>

<file path=customXml/itemProps5.xml><?xml version="1.0" encoding="utf-8"?>
<ds:datastoreItem xmlns:ds="http://schemas.openxmlformats.org/officeDocument/2006/customXml" ds:itemID="{D696929D-9F02-42D1-8961-FF14971B03A1}">
  <ds:schemaRefs>
    <ds:schemaRef ds:uri="http://schemas.microsoft.com/office/2006/documentManagement/types"/>
    <ds:schemaRef ds:uri="http://schemas.openxmlformats.org/package/2006/metadata/core-properties"/>
    <ds:schemaRef ds:uri="ac08e1fa-08b6-4940-a840-336f31af8ae7"/>
    <ds:schemaRef ds:uri="http://purl.org/dc/elements/1.1/"/>
    <ds:schemaRef ds:uri="http://schemas.microsoft.com/office/2006/metadata/properties"/>
    <ds:schemaRef ds:uri="http://schemas.microsoft.com/office/infopath/2007/PartnerControls"/>
    <ds:schemaRef ds:uri="http://purl.org/dc/terms/"/>
    <ds:schemaRef ds:uri="c56c232e-be59-4d2f-8f23-b46d5eb1e210"/>
    <ds:schemaRef ds:uri="http://www.w3.org/XML/1998/namespace"/>
    <ds:schemaRef ds:uri="http://purl.org/dc/dcmitype/"/>
  </ds:schemaRefs>
</ds:datastoreItem>
</file>

<file path=customXml/itemProps6.xml><?xml version="1.0" encoding="utf-8"?>
<ds:datastoreItem xmlns:ds="http://schemas.openxmlformats.org/officeDocument/2006/customXml" ds:itemID="{F55E1FBF-D2F9-4E21-9ABB-DB9C5FE0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26719</Words>
  <Characters>141613</Characters>
  <Application>Microsoft Office Word</Application>
  <DocSecurity>0</DocSecurity>
  <Lines>1180</Lines>
  <Paragraphs>335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Palmstierna Rådgivare AB</Company>
  <LinksUpToDate>false</LinksUpToDate>
  <CharactersWithSpaces>167997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 Palmstierna</dc:creator>
  <cp:lastModifiedBy>Eva Thorpenberg</cp:lastModifiedBy>
  <cp:revision>2</cp:revision>
  <cp:lastPrinted>2016-12-05T14:00:00Z</cp:lastPrinted>
  <dcterms:created xsi:type="dcterms:W3CDTF">2017-01-18T10:10:00Z</dcterms:created>
  <dcterms:modified xsi:type="dcterms:W3CDTF">2017-01-18T10:10:00Z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0x010100C22C9A619773441A8D703190DAA3143300591CFE58D6E64528804B05BD9DCDEDE9002230647C1B8A7F489D96DB5B68D85951</vt:lpwstr>
  </property>
  <property fmtid="{D5CDD505-2E9C-101B-9397-08002B2CF9AE}" pid="3" name="_dlc_DocIdItemGuid">
    <vt:lpwstr>387c61d8-d4f5-4fed-9f69-c57a87a37b79</vt:lpwstr>
  </property>
  <property fmtid="{D5CDD505-2E9C-101B-9397-08002B2CF9AE}" pid="4" name="HGFDecisionMakerTaxHTField0">
    <vt:lpwstr/>
  </property>
  <property fmtid="{D5CDD505-2E9C-101B-9397-08002B2CF9AE}" pid="5" name="HGFBusiness">
    <vt:lpwstr>9;#Kommunikation|d6a30504-0cb6-4ea2-84bc-9095caf36273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21;#Underlag|17d4c247-a9ec-4587-8289-be25ac390bce</vt:lpwstr>
  </property>
  <property fmtid="{D5CDD505-2E9C-101B-9397-08002B2CF9AE}" pid="10" name="HGFRegion">
    <vt:lpwstr>1;#Region västra Sverige|c29ce807-2eb9-4182-83e3-870431cd160c</vt:lpwstr>
  </property>
  <property fmtid="{D5CDD505-2E9C-101B-9397-08002B2CF9AE}" pid="11" name="HGFAppliesTo">
    <vt:lpwstr/>
  </property>
  <property fmtid="{D5CDD505-2E9C-101B-9397-08002B2CF9AE}" pid="12" name="HGFFileType">
    <vt:lpwstr/>
  </property>
</Properties>
</file>