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8A4F" w14:textId="77777777" w:rsidR="004B2F8E" w:rsidRDefault="00BF0541">
      <w:pPr>
        <w:rPr>
          <w:b/>
          <w:color w:val="000000"/>
          <w:sz w:val="24"/>
          <w:szCs w:val="24"/>
        </w:rPr>
      </w:pPr>
      <w:r>
        <w:rPr>
          <w:noProof/>
        </w:rPr>
        <mc:AlternateContent>
          <mc:Choice Requires="wps">
            <w:drawing>
              <wp:anchor distT="0" distB="0" distL="114300" distR="114300" simplePos="0" relativeHeight="251658240" behindDoc="0" locked="0" layoutInCell="1" hidden="0" allowOverlap="1" wp14:anchorId="63A4FB33" wp14:editId="4B45C7AA">
                <wp:simplePos x="0" y="0"/>
                <wp:positionH relativeFrom="column">
                  <wp:posOffset>1</wp:posOffset>
                </wp:positionH>
                <wp:positionV relativeFrom="paragraph">
                  <wp:posOffset>0</wp:posOffset>
                </wp:positionV>
                <wp:extent cx="3778443" cy="266700"/>
                <wp:effectExtent l="0" t="0" r="0" b="0"/>
                <wp:wrapNone/>
                <wp:docPr id="2" name="Rectangle 2"/>
                <wp:cNvGraphicFramePr/>
                <a:graphic xmlns:a="http://schemas.openxmlformats.org/drawingml/2006/main">
                  <a:graphicData uri="http://schemas.microsoft.com/office/word/2010/wordprocessingShape">
                    <wps:wsp>
                      <wps:cNvSpPr/>
                      <wps:spPr>
                        <a:xfrm>
                          <a:off x="3461541" y="3651413"/>
                          <a:ext cx="3768918" cy="257175"/>
                        </a:xfrm>
                        <a:prstGeom prst="rect">
                          <a:avLst/>
                        </a:prstGeom>
                        <a:noFill/>
                        <a:ln>
                          <a:noFill/>
                        </a:ln>
                      </wps:spPr>
                      <wps:txbx>
                        <w:txbxContent>
                          <w:p w14:paraId="420C3E32" w14:textId="77777777" w:rsidR="004B2F8E" w:rsidRDefault="00BF0541">
                            <w:pPr>
                              <w:spacing w:after="0" w:line="240" w:lineRule="auto"/>
                              <w:textDirection w:val="btLr"/>
                            </w:pPr>
                            <w:r>
                              <w:rPr>
                                <w:i/>
                                <w:color w:val="000000"/>
                                <w:sz w:val="28"/>
                              </w:rPr>
                              <w:t xml:space="preserve">Press release </w:t>
                            </w:r>
                          </w:p>
                        </w:txbxContent>
                      </wps:txbx>
                      <wps:bodyPr spcFirstLastPara="1" wrap="square" lIns="36000" tIns="36000" rIns="36000" bIns="36000" anchor="ctr" anchorCtr="0">
                        <a:noAutofit/>
                      </wps:bodyPr>
                    </wps:wsp>
                  </a:graphicData>
                </a:graphic>
              </wp:anchor>
            </w:drawing>
          </mc:Choice>
          <mc:Fallback>
            <w:pict>
              <v:rect w14:anchorId="63A4FB33" id="Rectangle 2" o:spid="_x0000_s1026" style="position:absolute;margin-left:0;margin-top:0;width:29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" filled="f" stroked="f">
                <v:textbox inset="1mm,1mm,1mm,1mm">
                  <w:txbxContent>
                    <w:p w14:paraId="420C3E32" w14:textId="77777777" w:rsidR="004B2F8E" w:rsidRDefault="00BF0541">
                      <w:pPr>
                        <w:spacing w:after="0" w:line="240" w:lineRule="auto"/>
                        <w:textDirection w:val="btLr"/>
                      </w:pPr>
                      <w:r>
                        <w:rPr>
                          <w:i/>
                          <w:color w:val="000000"/>
                          <w:sz w:val="28"/>
                        </w:rPr>
                        <w:t xml:space="preserve">Press release </w:t>
                      </w:r>
                    </w:p>
                  </w:txbxContent>
                </v:textbox>
              </v:rect>
            </w:pict>
          </mc:Fallback>
        </mc:AlternateContent>
      </w:r>
    </w:p>
    <w:p w14:paraId="61F29D30" w14:textId="37E82C5F" w:rsidR="004B2F8E" w:rsidRPr="00A17765" w:rsidRDefault="00A17765">
      <w:pPr>
        <w:pBdr>
          <w:top w:val="nil"/>
          <w:left w:val="nil"/>
          <w:bottom w:val="nil"/>
          <w:right w:val="nil"/>
          <w:between w:val="nil"/>
        </w:pBdr>
        <w:spacing w:after="0" w:line="240" w:lineRule="auto"/>
        <w:jc w:val="center"/>
        <w:rPr>
          <w:b/>
          <w:color w:val="000000"/>
          <w:sz w:val="36"/>
          <w:szCs w:val="36"/>
          <w:lang w:val="nb-NO"/>
        </w:rPr>
      </w:pPr>
      <w:r w:rsidRPr="00A17765">
        <w:rPr>
          <w:b/>
          <w:color w:val="000000"/>
          <w:sz w:val="36"/>
          <w:szCs w:val="36"/>
          <w:lang w:val="nb-NO"/>
        </w:rPr>
        <w:t xml:space="preserve">Kongsberg Digital </w:t>
      </w:r>
      <w:proofErr w:type="spellStart"/>
      <w:r w:rsidRPr="00A17765">
        <w:rPr>
          <w:b/>
          <w:color w:val="000000"/>
          <w:sz w:val="36"/>
          <w:szCs w:val="36"/>
          <w:lang w:val="nb-NO"/>
        </w:rPr>
        <w:t>add</w:t>
      </w:r>
      <w:r w:rsidR="00C03DB0">
        <w:rPr>
          <w:b/>
          <w:color w:val="000000"/>
          <w:sz w:val="36"/>
          <w:szCs w:val="36"/>
          <w:lang w:val="nb-NO"/>
        </w:rPr>
        <w:t>s</w:t>
      </w:r>
      <w:proofErr w:type="spellEnd"/>
      <w:r w:rsidRPr="00A17765">
        <w:rPr>
          <w:b/>
          <w:color w:val="000000"/>
          <w:sz w:val="36"/>
          <w:szCs w:val="36"/>
          <w:lang w:val="nb-NO"/>
        </w:rPr>
        <w:t xml:space="preserve"> </w:t>
      </w:r>
      <w:proofErr w:type="spellStart"/>
      <w:r w:rsidRPr="00A17765">
        <w:rPr>
          <w:b/>
          <w:color w:val="000000"/>
          <w:sz w:val="36"/>
          <w:szCs w:val="36"/>
          <w:lang w:val="nb-NO"/>
        </w:rPr>
        <w:t>BunkerPlanner</w:t>
      </w:r>
      <w:proofErr w:type="spellEnd"/>
      <w:r w:rsidRPr="00A17765">
        <w:rPr>
          <w:b/>
          <w:color w:val="000000"/>
          <w:sz w:val="36"/>
          <w:szCs w:val="36"/>
          <w:lang w:val="nb-NO"/>
        </w:rPr>
        <w:t xml:space="preserve"> by </w:t>
      </w:r>
      <w:proofErr w:type="spellStart"/>
      <w:r w:rsidRPr="00A17765">
        <w:rPr>
          <w:b/>
          <w:color w:val="000000"/>
          <w:sz w:val="36"/>
          <w:szCs w:val="36"/>
          <w:lang w:val="nb-NO"/>
        </w:rPr>
        <w:t>BunkerMetric</w:t>
      </w:r>
      <w:proofErr w:type="spellEnd"/>
      <w:r w:rsidRPr="00A17765">
        <w:rPr>
          <w:b/>
          <w:color w:val="000000"/>
          <w:sz w:val="36"/>
          <w:szCs w:val="36"/>
          <w:lang w:val="nb-NO"/>
        </w:rPr>
        <w:t xml:space="preserve"> </w:t>
      </w:r>
      <w:r w:rsidR="002351B5">
        <w:rPr>
          <w:b/>
          <w:color w:val="000000"/>
          <w:sz w:val="36"/>
          <w:szCs w:val="36"/>
          <w:lang w:val="nb-NO"/>
        </w:rPr>
        <w:br/>
      </w:r>
      <w:r w:rsidRPr="00A17765">
        <w:rPr>
          <w:b/>
          <w:color w:val="000000"/>
          <w:sz w:val="36"/>
          <w:szCs w:val="36"/>
          <w:lang w:val="nb-NO"/>
        </w:rPr>
        <w:t xml:space="preserve">to </w:t>
      </w:r>
      <w:proofErr w:type="spellStart"/>
      <w:r w:rsidRPr="00A17765">
        <w:rPr>
          <w:b/>
          <w:color w:val="000000"/>
          <w:sz w:val="36"/>
          <w:szCs w:val="36"/>
          <w:lang w:val="nb-NO"/>
        </w:rPr>
        <w:t>the</w:t>
      </w:r>
      <w:proofErr w:type="spellEnd"/>
      <w:r w:rsidRPr="00A17765">
        <w:rPr>
          <w:b/>
          <w:color w:val="000000"/>
          <w:sz w:val="36"/>
          <w:szCs w:val="36"/>
          <w:lang w:val="nb-NO"/>
        </w:rPr>
        <w:t xml:space="preserve"> </w:t>
      </w:r>
      <w:proofErr w:type="spellStart"/>
      <w:r w:rsidRPr="00A17765">
        <w:rPr>
          <w:b/>
          <w:color w:val="000000"/>
          <w:sz w:val="36"/>
          <w:szCs w:val="36"/>
          <w:lang w:val="nb-NO"/>
        </w:rPr>
        <w:t>Kognifai</w:t>
      </w:r>
      <w:proofErr w:type="spellEnd"/>
      <w:r w:rsidRPr="00A17765">
        <w:rPr>
          <w:b/>
          <w:color w:val="000000"/>
          <w:sz w:val="36"/>
          <w:szCs w:val="36"/>
          <w:lang w:val="nb-NO"/>
        </w:rPr>
        <w:t xml:space="preserve"> Marketplace</w:t>
      </w:r>
    </w:p>
    <w:p w14:paraId="338525E3" w14:textId="77777777" w:rsidR="004B2F8E" w:rsidRPr="00B5034A" w:rsidRDefault="004B2F8E">
      <w:pPr>
        <w:pBdr>
          <w:top w:val="nil"/>
          <w:left w:val="nil"/>
          <w:bottom w:val="nil"/>
          <w:right w:val="nil"/>
          <w:between w:val="nil"/>
        </w:pBdr>
        <w:spacing w:after="0" w:line="240" w:lineRule="auto"/>
        <w:jc w:val="center"/>
        <w:rPr>
          <w:b/>
          <w:color w:val="000000"/>
          <w:sz w:val="16"/>
          <w:szCs w:val="16"/>
          <w:lang w:val="nb-NO"/>
        </w:rPr>
      </w:pPr>
    </w:p>
    <w:p w14:paraId="4A0DFF18" w14:textId="38C95106" w:rsidR="004B2F8E" w:rsidRDefault="00C03DB0">
      <w:pPr>
        <w:pBdr>
          <w:top w:val="nil"/>
          <w:left w:val="nil"/>
          <w:bottom w:val="nil"/>
          <w:right w:val="nil"/>
          <w:between w:val="nil"/>
        </w:pBdr>
        <w:spacing w:after="0" w:line="240" w:lineRule="auto"/>
        <w:jc w:val="center"/>
        <w:rPr>
          <w:b/>
          <w:color w:val="000000"/>
          <w:sz w:val="36"/>
          <w:szCs w:val="36"/>
        </w:rPr>
      </w:pPr>
      <w:r>
        <w:rPr>
          <w:b/>
          <w:noProof/>
          <w:color w:val="000000"/>
          <w:sz w:val="36"/>
          <w:szCs w:val="36"/>
        </w:rPr>
        <w:drawing>
          <wp:inline distT="0" distB="0" distL="0" distR="0" wp14:anchorId="1E36235B" wp14:editId="3A3254B3">
            <wp:extent cx="5939619" cy="3193576"/>
            <wp:effectExtent l="0" t="0" r="4445" b="6985"/>
            <wp:docPr id="5" name="Picture 5" descr="A picture containing boat, water,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oat, water, sky, outdoor&#10;&#10;Description automatically generated"/>
                    <pic:cNvPicPr/>
                  </pic:nvPicPr>
                  <pic:blipFill rotWithShape="1">
                    <a:blip r:embed="rId9" cstate="print">
                      <a:extLst>
                        <a:ext uri="{28A0092B-C50C-407E-A947-70E740481C1C}">
                          <a14:useLocalDpi xmlns:a14="http://schemas.microsoft.com/office/drawing/2010/main" val="0"/>
                        </a:ext>
                      </a:extLst>
                    </a:blip>
                    <a:srcRect t="7751" b="11598"/>
                    <a:stretch/>
                  </pic:blipFill>
                  <pic:spPr bwMode="auto">
                    <a:xfrm>
                      <a:off x="0" y="0"/>
                      <a:ext cx="5943600" cy="3195716"/>
                    </a:xfrm>
                    <a:prstGeom prst="rect">
                      <a:avLst/>
                    </a:prstGeom>
                    <a:ln>
                      <a:noFill/>
                    </a:ln>
                    <a:extLst>
                      <a:ext uri="{53640926-AAD7-44D8-BBD7-CCE9431645EC}">
                        <a14:shadowObscured xmlns:a14="http://schemas.microsoft.com/office/drawing/2010/main"/>
                      </a:ext>
                    </a:extLst>
                  </pic:spPr>
                </pic:pic>
              </a:graphicData>
            </a:graphic>
          </wp:inline>
        </w:drawing>
      </w:r>
    </w:p>
    <w:p w14:paraId="6EDEF6A4" w14:textId="7A9A292C" w:rsidR="00BA12CD" w:rsidRDefault="00FC4168" w:rsidP="00FE613C">
      <w:pPr>
        <w:pBdr>
          <w:top w:val="nil"/>
          <w:left w:val="nil"/>
          <w:bottom w:val="nil"/>
          <w:right w:val="nil"/>
          <w:between w:val="nil"/>
        </w:pBdr>
        <w:spacing w:after="0" w:line="240" w:lineRule="auto"/>
        <w:jc w:val="center"/>
        <w:rPr>
          <w:sz w:val="18"/>
          <w:szCs w:val="18"/>
        </w:rPr>
      </w:pPr>
      <w:proofErr w:type="spellStart"/>
      <w:r>
        <w:rPr>
          <w:sz w:val="18"/>
          <w:szCs w:val="18"/>
        </w:rPr>
        <w:t>BunkerMetric’s</w:t>
      </w:r>
      <w:proofErr w:type="spellEnd"/>
      <w:r>
        <w:rPr>
          <w:sz w:val="18"/>
          <w:szCs w:val="18"/>
        </w:rPr>
        <w:t xml:space="preserve"> </w:t>
      </w:r>
      <w:r w:rsidR="00A06D09">
        <w:rPr>
          <w:sz w:val="18"/>
          <w:szCs w:val="18"/>
        </w:rPr>
        <w:t xml:space="preserve">bunkering optimization application, </w:t>
      </w:r>
      <w:proofErr w:type="spellStart"/>
      <w:r w:rsidR="00A06D09">
        <w:rPr>
          <w:sz w:val="18"/>
          <w:szCs w:val="18"/>
        </w:rPr>
        <w:t>BunkerPlanner</w:t>
      </w:r>
      <w:proofErr w:type="spellEnd"/>
      <w:r w:rsidR="00A06D09">
        <w:rPr>
          <w:sz w:val="18"/>
          <w:szCs w:val="18"/>
        </w:rPr>
        <w:t xml:space="preserve">, </w:t>
      </w:r>
      <w:r w:rsidR="00850B3A">
        <w:rPr>
          <w:sz w:val="18"/>
          <w:szCs w:val="18"/>
        </w:rPr>
        <w:t xml:space="preserve">is now available on the </w:t>
      </w:r>
      <w:proofErr w:type="spellStart"/>
      <w:r w:rsidR="00850B3A">
        <w:rPr>
          <w:sz w:val="18"/>
          <w:szCs w:val="18"/>
        </w:rPr>
        <w:t>Kognifai</w:t>
      </w:r>
      <w:proofErr w:type="spellEnd"/>
      <w:r w:rsidR="00850B3A">
        <w:rPr>
          <w:sz w:val="18"/>
          <w:szCs w:val="18"/>
        </w:rPr>
        <w:t xml:space="preserve"> </w:t>
      </w:r>
      <w:proofErr w:type="gramStart"/>
      <w:r w:rsidR="00850B3A">
        <w:rPr>
          <w:sz w:val="18"/>
          <w:szCs w:val="18"/>
        </w:rPr>
        <w:t>Marketplace</w:t>
      </w:r>
      <w:proofErr w:type="gramEnd"/>
    </w:p>
    <w:p w14:paraId="63B5D64B" w14:textId="77777777" w:rsidR="000B607C" w:rsidRPr="00E603D3" w:rsidRDefault="000B607C" w:rsidP="00FE613C">
      <w:pPr>
        <w:pBdr>
          <w:top w:val="nil"/>
          <w:left w:val="nil"/>
          <w:bottom w:val="nil"/>
          <w:right w:val="nil"/>
          <w:between w:val="nil"/>
        </w:pBdr>
        <w:spacing w:after="0" w:line="240" w:lineRule="auto"/>
        <w:jc w:val="center"/>
        <w:rPr>
          <w:sz w:val="18"/>
          <w:szCs w:val="18"/>
        </w:rPr>
      </w:pPr>
    </w:p>
    <w:p w14:paraId="75784135" w14:textId="61AADD81" w:rsidR="00646D4D" w:rsidRDefault="00482473" w:rsidP="000B607C">
      <w:pPr>
        <w:pBdr>
          <w:top w:val="nil"/>
          <w:left w:val="nil"/>
          <w:bottom w:val="nil"/>
          <w:right w:val="nil"/>
          <w:between w:val="nil"/>
        </w:pBdr>
        <w:spacing w:before="120" w:after="0" w:line="240" w:lineRule="auto"/>
        <w:jc w:val="both"/>
      </w:pPr>
      <w:r w:rsidRPr="00211DFD">
        <w:rPr>
          <w:b/>
          <w:bCs/>
        </w:rPr>
        <w:t>Asker, Norway, June 8</w:t>
      </w:r>
      <w:r w:rsidRPr="00211DFD">
        <w:rPr>
          <w:b/>
          <w:bCs/>
          <w:vertAlign w:val="superscript"/>
        </w:rPr>
        <w:t>t</w:t>
      </w:r>
      <w:r w:rsidR="00211DFD" w:rsidRPr="00211DFD">
        <w:rPr>
          <w:b/>
          <w:bCs/>
          <w:vertAlign w:val="superscript"/>
        </w:rPr>
        <w:t>h</w:t>
      </w:r>
      <w:r w:rsidR="005C6F18" w:rsidRPr="00211DFD">
        <w:rPr>
          <w:b/>
          <w:bCs/>
        </w:rPr>
        <w:t>, 2021</w:t>
      </w:r>
      <w:r w:rsidR="00211DFD" w:rsidRPr="00211DFD">
        <w:rPr>
          <w:b/>
          <w:bCs/>
        </w:rPr>
        <w:t xml:space="preserve"> –</w:t>
      </w:r>
      <w:r w:rsidR="00211DFD">
        <w:t xml:space="preserve"> </w:t>
      </w:r>
      <w:r>
        <w:t xml:space="preserve">Kongsberg Digital </w:t>
      </w:r>
      <w:r w:rsidR="00141873">
        <w:t xml:space="preserve">has </w:t>
      </w:r>
      <w:r>
        <w:t xml:space="preserve">signed a partnership agreement with </w:t>
      </w:r>
      <w:proofErr w:type="spellStart"/>
      <w:r>
        <w:t>BunkerMetric</w:t>
      </w:r>
      <w:proofErr w:type="spellEnd"/>
      <w:r>
        <w:t xml:space="preserve"> to add their </w:t>
      </w:r>
      <w:proofErr w:type="spellStart"/>
      <w:r>
        <w:t>BunkerPlanner</w:t>
      </w:r>
      <w:proofErr w:type="spellEnd"/>
      <w:r>
        <w:t xml:space="preserve"> </w:t>
      </w:r>
      <w:r w:rsidR="00646D4D">
        <w:t xml:space="preserve">software </w:t>
      </w:r>
      <w:r>
        <w:t xml:space="preserve">application to the </w:t>
      </w:r>
      <w:proofErr w:type="spellStart"/>
      <w:r>
        <w:t>Kognifai</w:t>
      </w:r>
      <w:proofErr w:type="spellEnd"/>
      <w:r>
        <w:t xml:space="preserve"> Marketplace.</w:t>
      </w:r>
      <w:r w:rsidR="002D183E">
        <w:t xml:space="preserve"> </w:t>
      </w:r>
      <w:r w:rsidR="00E632A8">
        <w:t xml:space="preserve">Designed to </w:t>
      </w:r>
      <w:r>
        <w:t xml:space="preserve">support </w:t>
      </w:r>
      <w:r w:rsidR="00E632A8">
        <w:t xml:space="preserve">ship operators </w:t>
      </w:r>
      <w:r>
        <w:t xml:space="preserve">in making optimal </w:t>
      </w:r>
      <w:r w:rsidR="00580F92">
        <w:t xml:space="preserve">bunker purchasing </w:t>
      </w:r>
      <w:r>
        <w:t>decision</w:t>
      </w:r>
      <w:r w:rsidR="002D183E">
        <w:t>s</w:t>
      </w:r>
      <w:r>
        <w:t xml:space="preserve"> </w:t>
      </w:r>
      <w:r w:rsidR="00646D4D">
        <w:t xml:space="preserve">by </w:t>
      </w:r>
      <w:r w:rsidR="00555B09">
        <w:t xml:space="preserve">helping </w:t>
      </w:r>
      <w:r w:rsidR="000526A9">
        <w:t xml:space="preserve">to </w:t>
      </w:r>
      <w:r>
        <w:t>choos</w:t>
      </w:r>
      <w:r w:rsidR="00F607CA">
        <w:t>e</w:t>
      </w:r>
      <w:r>
        <w:t xml:space="preserve"> ports, </w:t>
      </w:r>
      <w:proofErr w:type="gramStart"/>
      <w:r>
        <w:t>volume</w:t>
      </w:r>
      <w:proofErr w:type="gramEnd"/>
      <w:r>
        <w:t xml:space="preserve"> and fuel grade for bunkering</w:t>
      </w:r>
      <w:r w:rsidR="00646D4D">
        <w:t xml:space="preserve">, </w:t>
      </w:r>
      <w:proofErr w:type="spellStart"/>
      <w:r w:rsidR="00646D4D">
        <w:t>BunkerPlanner</w:t>
      </w:r>
      <w:proofErr w:type="spellEnd"/>
      <w:r w:rsidR="00646D4D">
        <w:t xml:space="preserve"> by </w:t>
      </w:r>
      <w:proofErr w:type="spellStart"/>
      <w:r w:rsidR="00646D4D">
        <w:t>BunkerMetric</w:t>
      </w:r>
      <w:proofErr w:type="spellEnd"/>
      <w:r w:rsidR="00646D4D">
        <w:t xml:space="preserve"> </w:t>
      </w:r>
      <w:r>
        <w:t>can be used to minimize costs whil</w:t>
      </w:r>
      <w:r w:rsidR="00772B11">
        <w:t>st</w:t>
      </w:r>
      <w:r>
        <w:t xml:space="preserve"> </w:t>
      </w:r>
      <w:r w:rsidR="000526A9">
        <w:t xml:space="preserve">taking </w:t>
      </w:r>
      <w:r>
        <w:t>relevant operational, commercial and regulatory factors</w:t>
      </w:r>
      <w:r w:rsidR="000526A9" w:rsidRPr="000526A9">
        <w:t xml:space="preserve"> </w:t>
      </w:r>
      <w:r w:rsidR="000526A9">
        <w:t>into consideration</w:t>
      </w:r>
      <w:r>
        <w:t>.</w:t>
      </w:r>
    </w:p>
    <w:p w14:paraId="6BD9FB7A" w14:textId="77777777" w:rsidR="003B7BD1" w:rsidRDefault="00482473" w:rsidP="000B607C">
      <w:pPr>
        <w:pBdr>
          <w:top w:val="nil"/>
          <w:left w:val="nil"/>
          <w:bottom w:val="nil"/>
          <w:right w:val="nil"/>
          <w:between w:val="nil"/>
        </w:pBdr>
        <w:spacing w:before="120" w:after="0" w:line="240" w:lineRule="auto"/>
        <w:jc w:val="both"/>
      </w:pPr>
      <w:r>
        <w:t xml:space="preserve">By using </w:t>
      </w:r>
      <w:proofErr w:type="spellStart"/>
      <w:r>
        <w:t>BunkerPlanner</w:t>
      </w:r>
      <w:proofErr w:type="spellEnd"/>
      <w:r>
        <w:t xml:space="preserve">, Vessel Insight subscribers can expect </w:t>
      </w:r>
      <w:r w:rsidR="002B1C01">
        <w:t xml:space="preserve">cost savings of </w:t>
      </w:r>
      <w:r>
        <w:t>2-4% on bunker operations</w:t>
      </w:r>
      <w:r w:rsidR="00CB4BCF">
        <w:t>, which</w:t>
      </w:r>
      <w:r w:rsidR="00EC4946">
        <w:t>,</w:t>
      </w:r>
      <w:r w:rsidR="00CB4BCF">
        <w:t xml:space="preserve"> f</w:t>
      </w:r>
      <w:r>
        <w:t>or a vessel burning 20 ton</w:t>
      </w:r>
      <w:r w:rsidR="004D0AA7">
        <w:t>s</w:t>
      </w:r>
      <w:r w:rsidR="002B1C01">
        <w:t xml:space="preserve"> of fuel</w:t>
      </w:r>
      <w:r>
        <w:t xml:space="preserve"> per day</w:t>
      </w:r>
      <w:r w:rsidR="00EC4946">
        <w:t xml:space="preserve"> and</w:t>
      </w:r>
      <w:r>
        <w:t xml:space="preserve"> sailing 250 days a year</w:t>
      </w:r>
      <w:r w:rsidR="00EC4946">
        <w:t>,</w:t>
      </w:r>
      <w:r>
        <w:t xml:space="preserve"> </w:t>
      </w:r>
      <w:r w:rsidR="0034359A">
        <w:t xml:space="preserve">translates to potential annual savings </w:t>
      </w:r>
      <w:r w:rsidR="00EC4946">
        <w:t>of</w:t>
      </w:r>
      <w:r>
        <w:t xml:space="preserve"> USD 20-80,000 per vessel. The ROI is usually within a few months of operation.</w:t>
      </w:r>
    </w:p>
    <w:p w14:paraId="4C486F1D" w14:textId="6AE2C410" w:rsidR="00482473" w:rsidRPr="00F826EA" w:rsidRDefault="00F826EA" w:rsidP="000B607C">
      <w:pPr>
        <w:pBdr>
          <w:top w:val="nil"/>
          <w:left w:val="nil"/>
          <w:bottom w:val="nil"/>
          <w:right w:val="nil"/>
          <w:between w:val="nil"/>
        </w:pBdr>
        <w:spacing w:before="120" w:after="0" w:line="240" w:lineRule="auto"/>
        <w:jc w:val="both"/>
      </w:pPr>
      <w:r w:rsidRPr="00F826EA">
        <w:rPr>
          <w:i/>
          <w:iCs/>
        </w:rPr>
        <w:t>“</w:t>
      </w:r>
      <w:r w:rsidR="00482473" w:rsidRPr="00F826EA">
        <w:rPr>
          <w:i/>
          <w:iCs/>
        </w:rPr>
        <w:t xml:space="preserve">We are happy to welcome </w:t>
      </w:r>
      <w:proofErr w:type="spellStart"/>
      <w:r w:rsidR="00482473" w:rsidRPr="00F826EA">
        <w:rPr>
          <w:i/>
          <w:iCs/>
        </w:rPr>
        <w:t>BunkerMetric</w:t>
      </w:r>
      <w:r w:rsidR="00AF3952">
        <w:rPr>
          <w:i/>
          <w:iCs/>
        </w:rPr>
        <w:t>’s</w:t>
      </w:r>
      <w:proofErr w:type="spellEnd"/>
      <w:r w:rsidR="00482473" w:rsidRPr="00F826EA">
        <w:rPr>
          <w:i/>
          <w:iCs/>
        </w:rPr>
        <w:t xml:space="preserve"> </w:t>
      </w:r>
      <w:proofErr w:type="spellStart"/>
      <w:r w:rsidR="00482473" w:rsidRPr="00F826EA">
        <w:rPr>
          <w:i/>
          <w:iCs/>
        </w:rPr>
        <w:t>BunkerPlanner</w:t>
      </w:r>
      <w:proofErr w:type="spellEnd"/>
      <w:r w:rsidR="00482473" w:rsidRPr="00F826EA">
        <w:rPr>
          <w:i/>
          <w:iCs/>
        </w:rPr>
        <w:t xml:space="preserve"> as a new partner application </w:t>
      </w:r>
      <w:r w:rsidR="00D377C5">
        <w:rPr>
          <w:i/>
          <w:iCs/>
        </w:rPr>
        <w:t>on</w:t>
      </w:r>
      <w:r w:rsidR="00482473" w:rsidRPr="00F826EA">
        <w:rPr>
          <w:i/>
          <w:iCs/>
        </w:rPr>
        <w:t xml:space="preserve"> the </w:t>
      </w:r>
      <w:proofErr w:type="spellStart"/>
      <w:r w:rsidR="00482473" w:rsidRPr="00F826EA">
        <w:rPr>
          <w:i/>
          <w:iCs/>
        </w:rPr>
        <w:t>Kognifai</w:t>
      </w:r>
      <w:proofErr w:type="spellEnd"/>
      <w:r w:rsidR="00482473" w:rsidRPr="00F826EA">
        <w:rPr>
          <w:i/>
          <w:iCs/>
        </w:rPr>
        <w:t xml:space="preserve"> Marketplace</w:t>
      </w:r>
      <w:r w:rsidRPr="00F826EA">
        <w:rPr>
          <w:i/>
          <w:iCs/>
        </w:rPr>
        <w:t>,”</w:t>
      </w:r>
      <w:r>
        <w:t xml:space="preserve"> says Eirik </w:t>
      </w:r>
      <w:proofErr w:type="spellStart"/>
      <w:r>
        <w:t>Næsje</w:t>
      </w:r>
      <w:proofErr w:type="spellEnd"/>
      <w:r>
        <w:t>, Senior Vice President of Vessel Insight, Kongsberg Digital</w:t>
      </w:r>
      <w:r w:rsidRPr="00F826EA">
        <w:t>.</w:t>
      </w:r>
      <w:r w:rsidR="00482473" w:rsidRPr="00F826EA">
        <w:rPr>
          <w:i/>
          <w:iCs/>
        </w:rPr>
        <w:t xml:space="preserve"> </w:t>
      </w:r>
      <w:r w:rsidRPr="00F826EA">
        <w:rPr>
          <w:i/>
          <w:iCs/>
        </w:rPr>
        <w:t>“</w:t>
      </w:r>
      <w:r w:rsidR="00482473" w:rsidRPr="00F826EA">
        <w:rPr>
          <w:i/>
          <w:iCs/>
        </w:rPr>
        <w:t xml:space="preserve">The </w:t>
      </w:r>
      <w:proofErr w:type="spellStart"/>
      <w:r w:rsidR="00482473" w:rsidRPr="00F826EA">
        <w:rPr>
          <w:i/>
          <w:iCs/>
        </w:rPr>
        <w:t>BunkerPlanner</w:t>
      </w:r>
      <w:proofErr w:type="spellEnd"/>
      <w:r w:rsidR="00482473" w:rsidRPr="00F826EA">
        <w:rPr>
          <w:i/>
          <w:iCs/>
        </w:rPr>
        <w:t xml:space="preserve"> application by </w:t>
      </w:r>
      <w:proofErr w:type="spellStart"/>
      <w:r w:rsidR="00482473" w:rsidRPr="00F826EA">
        <w:rPr>
          <w:i/>
          <w:iCs/>
        </w:rPr>
        <w:t>BunkerMetric</w:t>
      </w:r>
      <w:proofErr w:type="spellEnd"/>
      <w:r w:rsidR="00482473" w:rsidRPr="00F826EA">
        <w:rPr>
          <w:i/>
          <w:iCs/>
        </w:rPr>
        <w:t xml:space="preserve"> will benefit Vessel Insight subscribers with almost immediate effect by</w:t>
      </w:r>
      <w:r w:rsidR="00D377C5">
        <w:rPr>
          <w:i/>
          <w:iCs/>
        </w:rPr>
        <w:t xml:space="preserve"> helping them </w:t>
      </w:r>
      <w:r w:rsidR="00482473" w:rsidRPr="00F826EA">
        <w:rPr>
          <w:i/>
          <w:iCs/>
        </w:rPr>
        <w:t>choos</w:t>
      </w:r>
      <w:r w:rsidR="00D377C5">
        <w:rPr>
          <w:i/>
          <w:iCs/>
        </w:rPr>
        <w:t>e</w:t>
      </w:r>
      <w:r w:rsidR="00482473" w:rsidRPr="00F826EA">
        <w:rPr>
          <w:i/>
          <w:iCs/>
        </w:rPr>
        <w:t xml:space="preserve"> the right bunker port, volume and grade. Bunker planning is a complex puzzle for shipowners, especially when navigating all operational, </w:t>
      </w:r>
      <w:proofErr w:type="gramStart"/>
      <w:r w:rsidR="00482473" w:rsidRPr="00F826EA">
        <w:rPr>
          <w:i/>
          <w:iCs/>
        </w:rPr>
        <w:t>commercial</w:t>
      </w:r>
      <w:proofErr w:type="gramEnd"/>
      <w:r w:rsidR="00482473" w:rsidRPr="00F826EA">
        <w:rPr>
          <w:i/>
          <w:iCs/>
        </w:rPr>
        <w:t xml:space="preserve"> and regulatory constraints. Having </w:t>
      </w:r>
      <w:r w:rsidR="00E06700">
        <w:rPr>
          <w:i/>
          <w:iCs/>
        </w:rPr>
        <w:t>an application</w:t>
      </w:r>
      <w:r w:rsidR="00482473" w:rsidRPr="00F826EA">
        <w:rPr>
          <w:i/>
          <w:iCs/>
        </w:rPr>
        <w:t xml:space="preserve"> to incorporate these factors in the decision-making process can improve efficiency and reduce </w:t>
      </w:r>
      <w:r w:rsidR="00E06700">
        <w:rPr>
          <w:i/>
          <w:iCs/>
        </w:rPr>
        <w:t xml:space="preserve">the </w:t>
      </w:r>
      <w:r w:rsidR="00482473" w:rsidRPr="00F826EA">
        <w:rPr>
          <w:i/>
          <w:iCs/>
        </w:rPr>
        <w:t>risk of Vessel Insight subscribers</w:t>
      </w:r>
      <w:r w:rsidR="001A5A1A">
        <w:rPr>
          <w:i/>
          <w:iCs/>
        </w:rPr>
        <w:t xml:space="preserve"> making the wrong choice </w:t>
      </w:r>
      <w:r w:rsidR="00EE34E6">
        <w:rPr>
          <w:i/>
          <w:iCs/>
        </w:rPr>
        <w:t>for</w:t>
      </w:r>
      <w:r w:rsidR="001A5A1A">
        <w:rPr>
          <w:i/>
          <w:iCs/>
        </w:rPr>
        <w:t xml:space="preserve"> bunkering</w:t>
      </w:r>
      <w:r w:rsidRPr="00F826EA">
        <w:rPr>
          <w:i/>
          <w:iCs/>
        </w:rPr>
        <w:t>.”</w:t>
      </w:r>
    </w:p>
    <w:p w14:paraId="448D6AF7" w14:textId="3E5E9BB3" w:rsidR="000B607C" w:rsidRDefault="00482473" w:rsidP="000B607C">
      <w:pPr>
        <w:pBdr>
          <w:top w:val="nil"/>
          <w:left w:val="nil"/>
          <w:bottom w:val="nil"/>
          <w:right w:val="nil"/>
          <w:between w:val="nil"/>
        </w:pBdr>
        <w:spacing w:before="120" w:after="0" w:line="240" w:lineRule="auto"/>
        <w:jc w:val="both"/>
      </w:pPr>
      <w:proofErr w:type="spellStart"/>
      <w:r>
        <w:lastRenderedPageBreak/>
        <w:t>Bunker</w:t>
      </w:r>
      <w:r w:rsidR="00215CB8">
        <w:t>Planner</w:t>
      </w:r>
      <w:proofErr w:type="spellEnd"/>
      <w:r>
        <w:t xml:space="preserve"> integrates w</w:t>
      </w:r>
      <w:r w:rsidR="000B607C">
        <w:t>i</w:t>
      </w:r>
      <w:r>
        <w:t xml:space="preserve">th </w:t>
      </w:r>
      <w:proofErr w:type="spellStart"/>
      <w:r>
        <w:t>Kognifai</w:t>
      </w:r>
      <w:proofErr w:type="spellEnd"/>
      <w:r>
        <w:t xml:space="preserve"> and other relevant data sources, such as port call costs and the daily bunker market</w:t>
      </w:r>
      <w:r w:rsidR="00EE34E6">
        <w:t>, to develop</w:t>
      </w:r>
      <w:r>
        <w:t xml:space="preserve"> a specific bunker plan </w:t>
      </w:r>
      <w:r w:rsidR="00EE34E6">
        <w:t xml:space="preserve">for each vessel </w:t>
      </w:r>
      <w:r>
        <w:t xml:space="preserve">based on calculations made </w:t>
      </w:r>
      <w:r w:rsidR="00B806B4">
        <w:t>from</w:t>
      </w:r>
      <w:r>
        <w:t xml:space="preserve"> </w:t>
      </w:r>
      <w:r w:rsidR="00EE34E6">
        <w:t xml:space="preserve">the </w:t>
      </w:r>
      <w:r>
        <w:t xml:space="preserve">contextualized data. </w:t>
      </w:r>
      <w:r w:rsidR="00EE34E6">
        <w:t>A</w:t>
      </w:r>
      <w:r>
        <w:t xml:space="preserve"> daily email </w:t>
      </w:r>
      <w:r w:rsidR="00EE34E6">
        <w:t xml:space="preserve">communicates </w:t>
      </w:r>
      <w:proofErr w:type="spellStart"/>
      <w:r w:rsidR="00215CB8">
        <w:t>BunkerMetric’</w:t>
      </w:r>
      <w:r w:rsidR="00AF3952">
        <w:t>s</w:t>
      </w:r>
      <w:proofErr w:type="spellEnd"/>
      <w:r>
        <w:t xml:space="preserve"> recommendations to the fleet</w:t>
      </w:r>
      <w:r w:rsidR="00B806B4">
        <w:t>,</w:t>
      </w:r>
      <w:r>
        <w:t xml:space="preserve"> showing vessels</w:t>
      </w:r>
      <w:r w:rsidR="009229C5">
        <w:t>’</w:t>
      </w:r>
      <w:r>
        <w:t xml:space="preserve"> priority for bunkering. </w:t>
      </w:r>
      <w:r w:rsidR="009229C5">
        <w:t xml:space="preserve">Additionally, customers </w:t>
      </w:r>
      <w:r>
        <w:t xml:space="preserve">can </w:t>
      </w:r>
      <w:r w:rsidR="009229C5">
        <w:t>use</w:t>
      </w:r>
      <w:r w:rsidR="00E2607E">
        <w:t xml:space="preserve"> a web interface to </w:t>
      </w:r>
      <w:r>
        <w:t>review plan details</w:t>
      </w:r>
      <w:r w:rsidR="00E2607E">
        <w:t xml:space="preserve">, </w:t>
      </w:r>
      <w:r>
        <w:t>access info</w:t>
      </w:r>
      <w:r w:rsidR="00B806B4">
        <w:t>rmation</w:t>
      </w:r>
      <w:r>
        <w:t xml:space="preserve"> on prices and run new scenarios at any time.</w:t>
      </w:r>
    </w:p>
    <w:p w14:paraId="4E87E730" w14:textId="77777777" w:rsidR="000B607C" w:rsidRDefault="000B607C" w:rsidP="000B607C">
      <w:pPr>
        <w:pBdr>
          <w:top w:val="nil"/>
          <w:left w:val="nil"/>
          <w:bottom w:val="nil"/>
          <w:right w:val="nil"/>
          <w:between w:val="nil"/>
        </w:pBdr>
        <w:spacing w:before="120" w:after="0" w:line="240" w:lineRule="auto"/>
        <w:jc w:val="both"/>
      </w:pPr>
    </w:p>
    <w:p w14:paraId="0AA60833" w14:textId="40ACAEAB" w:rsidR="00482473" w:rsidRPr="00E2607E" w:rsidRDefault="00482473" w:rsidP="000B607C">
      <w:pPr>
        <w:pBdr>
          <w:top w:val="nil"/>
          <w:left w:val="nil"/>
          <w:bottom w:val="nil"/>
          <w:right w:val="nil"/>
          <w:between w:val="nil"/>
        </w:pBdr>
        <w:spacing w:before="120" w:after="0" w:line="240" w:lineRule="auto"/>
        <w:jc w:val="both"/>
        <w:rPr>
          <w:b/>
          <w:bCs/>
        </w:rPr>
      </w:pPr>
      <w:r w:rsidRPr="00E2607E">
        <w:rPr>
          <w:b/>
          <w:bCs/>
        </w:rPr>
        <w:t>In</w:t>
      </w:r>
      <w:r w:rsidR="007750E6">
        <w:rPr>
          <w:b/>
          <w:bCs/>
        </w:rPr>
        <w:t>-</w:t>
      </w:r>
      <w:r w:rsidRPr="00E2607E">
        <w:rPr>
          <w:b/>
          <w:bCs/>
        </w:rPr>
        <w:t xml:space="preserve">depth </w:t>
      </w:r>
      <w:r w:rsidR="007750E6" w:rsidRPr="00E2607E">
        <w:rPr>
          <w:b/>
          <w:bCs/>
        </w:rPr>
        <w:t>understanding</w:t>
      </w:r>
    </w:p>
    <w:p w14:paraId="1E95470C" w14:textId="34334559" w:rsidR="00482473" w:rsidRDefault="00482473" w:rsidP="000B607C">
      <w:pPr>
        <w:pBdr>
          <w:top w:val="nil"/>
          <w:left w:val="nil"/>
          <w:bottom w:val="nil"/>
          <w:right w:val="nil"/>
          <w:between w:val="nil"/>
        </w:pBdr>
        <w:spacing w:before="120" w:after="0" w:line="240" w:lineRule="auto"/>
        <w:jc w:val="both"/>
      </w:pPr>
      <w:proofErr w:type="spellStart"/>
      <w:r>
        <w:t>BunkerMetric</w:t>
      </w:r>
      <w:r w:rsidR="00AF3952">
        <w:t>’s</w:t>
      </w:r>
      <w:proofErr w:type="spellEnd"/>
      <w:r>
        <w:t xml:space="preserve"> </w:t>
      </w:r>
      <w:proofErr w:type="spellStart"/>
      <w:r>
        <w:t>BunkerPlanner</w:t>
      </w:r>
      <w:proofErr w:type="spellEnd"/>
      <w:r>
        <w:t xml:space="preserve"> models a vast number of recommendations</w:t>
      </w:r>
      <w:r w:rsidR="00AF3952">
        <w:t>,</w:t>
      </w:r>
      <w:r>
        <w:t xml:space="preserve"> </w:t>
      </w:r>
      <w:proofErr w:type="gramStart"/>
      <w:r w:rsidR="00AF3952">
        <w:t>taking</w:t>
      </w:r>
      <w:r>
        <w:t xml:space="preserve"> </w:t>
      </w:r>
      <w:r w:rsidR="001F3A49">
        <w:t xml:space="preserve">into </w:t>
      </w:r>
      <w:r w:rsidR="00376BFA">
        <w:t>account</w:t>
      </w:r>
      <w:proofErr w:type="gramEnd"/>
      <w:r w:rsidR="001F3A49">
        <w:t xml:space="preserve"> </w:t>
      </w:r>
      <w:r>
        <w:t xml:space="preserve">business rules such as commingling of fuels on board, time charter costs vs. costs for speeding up when </w:t>
      </w:r>
      <w:r w:rsidR="002309A6">
        <w:t>choosing</w:t>
      </w:r>
      <w:r>
        <w:t xml:space="preserve"> bunker ports, quarantine constraints, congestion in bunker ports, barge costs, port call costs and many others. By considering </w:t>
      </w:r>
      <w:r w:rsidR="00376BFA">
        <w:t>these</w:t>
      </w:r>
      <w:r>
        <w:t xml:space="preserve"> details </w:t>
      </w:r>
      <w:r w:rsidR="00376BFA">
        <w:t xml:space="preserve">whilst taking </w:t>
      </w:r>
      <w:r>
        <w:t xml:space="preserve">a holistic view of costs, </w:t>
      </w:r>
      <w:proofErr w:type="spellStart"/>
      <w:r>
        <w:t>BunkerMetric</w:t>
      </w:r>
      <w:proofErr w:type="spellEnd"/>
      <w:r>
        <w:t xml:space="preserve"> can provide better</w:t>
      </w:r>
      <w:r w:rsidR="0038722A">
        <w:t xml:space="preserve">, more authoritative </w:t>
      </w:r>
      <w:r>
        <w:t>recommendations.</w:t>
      </w:r>
    </w:p>
    <w:p w14:paraId="4CDE6C62" w14:textId="1DD85E0A" w:rsidR="00482473" w:rsidRPr="00A02D9E" w:rsidRDefault="00482473" w:rsidP="000B607C">
      <w:pPr>
        <w:pBdr>
          <w:top w:val="nil"/>
          <w:left w:val="nil"/>
          <w:bottom w:val="nil"/>
          <w:right w:val="nil"/>
          <w:between w:val="nil"/>
        </w:pBdr>
        <w:spacing w:before="120" w:after="0" w:line="240" w:lineRule="auto"/>
        <w:jc w:val="both"/>
        <w:rPr>
          <w:i/>
          <w:iCs/>
        </w:rPr>
      </w:pPr>
      <w:r w:rsidRPr="001373B0">
        <w:rPr>
          <w:i/>
          <w:iCs/>
        </w:rPr>
        <w:t xml:space="preserve">“We are excited that the combination of wealth and accuracy of data </w:t>
      </w:r>
      <w:r w:rsidR="00A02D9E">
        <w:rPr>
          <w:i/>
          <w:iCs/>
        </w:rPr>
        <w:t xml:space="preserve">from </w:t>
      </w:r>
      <w:r w:rsidR="001373B0" w:rsidRPr="001373B0">
        <w:rPr>
          <w:i/>
          <w:iCs/>
        </w:rPr>
        <w:t>K</w:t>
      </w:r>
      <w:r w:rsidR="00A02D9E">
        <w:rPr>
          <w:i/>
          <w:iCs/>
        </w:rPr>
        <w:t>ONGSBERG</w:t>
      </w:r>
      <w:r w:rsidR="001373B0" w:rsidRPr="001373B0">
        <w:rPr>
          <w:i/>
          <w:iCs/>
        </w:rPr>
        <w:t xml:space="preserve">’s Vessel Insight </w:t>
      </w:r>
      <w:r w:rsidRPr="001373B0">
        <w:rPr>
          <w:i/>
          <w:iCs/>
        </w:rPr>
        <w:t xml:space="preserve">and </w:t>
      </w:r>
      <w:proofErr w:type="spellStart"/>
      <w:r w:rsidRPr="001373B0">
        <w:rPr>
          <w:i/>
          <w:iCs/>
        </w:rPr>
        <w:t>BunkerPlanner’s</w:t>
      </w:r>
      <w:proofErr w:type="spellEnd"/>
      <w:r w:rsidRPr="001373B0">
        <w:rPr>
          <w:i/>
          <w:iCs/>
        </w:rPr>
        <w:t xml:space="preserve"> detailed calculations for bunker buyers will give direct and significant savings to our joint subscribers,</w:t>
      </w:r>
      <w:r w:rsidR="00B6555C" w:rsidRPr="001373B0">
        <w:rPr>
          <w:i/>
          <w:iCs/>
        </w:rPr>
        <w:t>”</w:t>
      </w:r>
      <w:r>
        <w:t xml:space="preserve"> says Christian Plum, CEO, </w:t>
      </w:r>
      <w:proofErr w:type="spellStart"/>
      <w:r>
        <w:t>BunkerMetric</w:t>
      </w:r>
      <w:proofErr w:type="spellEnd"/>
      <w:r>
        <w:t xml:space="preserve">. </w:t>
      </w:r>
      <w:r w:rsidR="00B6555C" w:rsidRPr="00A02D9E">
        <w:rPr>
          <w:i/>
          <w:iCs/>
        </w:rPr>
        <w:t>“</w:t>
      </w:r>
      <w:r w:rsidRPr="00A02D9E">
        <w:rPr>
          <w:i/>
          <w:iCs/>
        </w:rPr>
        <w:t xml:space="preserve">The complexities of buying and burning bunkers are ever growing, with new rules </w:t>
      </w:r>
      <w:r w:rsidR="00B0534C">
        <w:rPr>
          <w:i/>
          <w:iCs/>
        </w:rPr>
        <w:t>such</w:t>
      </w:r>
      <w:r w:rsidRPr="00A02D9E">
        <w:rPr>
          <w:i/>
          <w:iCs/>
        </w:rPr>
        <w:t xml:space="preserve"> as ECA Zones, 0.5% Sulphur limit and no-scrubber zones </w:t>
      </w:r>
      <w:r w:rsidR="00695581">
        <w:rPr>
          <w:i/>
          <w:iCs/>
        </w:rPr>
        <w:t>having come</w:t>
      </w:r>
      <w:r w:rsidR="00B0534C">
        <w:rPr>
          <w:i/>
          <w:iCs/>
        </w:rPr>
        <w:t xml:space="preserve"> into force</w:t>
      </w:r>
      <w:r w:rsidRPr="00A02D9E">
        <w:rPr>
          <w:i/>
          <w:iCs/>
        </w:rPr>
        <w:t xml:space="preserve"> in the last few years. In the </w:t>
      </w:r>
      <w:r w:rsidR="00B0534C">
        <w:rPr>
          <w:i/>
          <w:iCs/>
        </w:rPr>
        <w:t>future we will</w:t>
      </w:r>
      <w:r w:rsidRPr="00A02D9E">
        <w:rPr>
          <w:i/>
          <w:iCs/>
        </w:rPr>
        <w:t xml:space="preserve"> see EEXI, CII and wider adoption of new fuel types. Operators and bunker buyers navigating in this market need good tools</w:t>
      </w:r>
      <w:r w:rsidR="00BE3DC5">
        <w:rPr>
          <w:i/>
          <w:iCs/>
        </w:rPr>
        <w:t xml:space="preserve"> such as those</w:t>
      </w:r>
      <w:r w:rsidRPr="00A02D9E">
        <w:rPr>
          <w:i/>
          <w:iCs/>
        </w:rPr>
        <w:t xml:space="preserve"> as provided by </w:t>
      </w:r>
      <w:proofErr w:type="spellStart"/>
      <w:r w:rsidRPr="00A02D9E">
        <w:rPr>
          <w:i/>
          <w:iCs/>
        </w:rPr>
        <w:t>BunkerPlanner</w:t>
      </w:r>
      <w:proofErr w:type="spellEnd"/>
      <w:r w:rsidRPr="00A02D9E">
        <w:rPr>
          <w:i/>
          <w:iCs/>
        </w:rPr>
        <w:t xml:space="preserve">, based on good data provided by </w:t>
      </w:r>
      <w:r w:rsidR="004D346D" w:rsidRPr="00A02D9E">
        <w:rPr>
          <w:i/>
          <w:iCs/>
        </w:rPr>
        <w:t>KONGSBERG.</w:t>
      </w:r>
      <w:r w:rsidRPr="00A02D9E">
        <w:rPr>
          <w:i/>
          <w:iCs/>
        </w:rPr>
        <w:t>”</w:t>
      </w:r>
    </w:p>
    <w:p w14:paraId="337F3859" w14:textId="1CDB9160" w:rsidR="004B2F8E" w:rsidRDefault="00482473" w:rsidP="000B607C">
      <w:pPr>
        <w:pBdr>
          <w:top w:val="nil"/>
          <w:left w:val="nil"/>
          <w:bottom w:val="nil"/>
          <w:right w:val="nil"/>
          <w:between w:val="nil"/>
        </w:pBdr>
        <w:spacing w:before="120" w:after="0" w:line="240" w:lineRule="auto"/>
        <w:jc w:val="both"/>
        <w:rPr>
          <w:color w:val="000000"/>
        </w:rPr>
      </w:pPr>
      <w:proofErr w:type="spellStart"/>
      <w:r>
        <w:t>BunkerPlanner</w:t>
      </w:r>
      <w:proofErr w:type="spellEnd"/>
      <w:r>
        <w:t xml:space="preserve"> by </w:t>
      </w:r>
      <w:proofErr w:type="spellStart"/>
      <w:r>
        <w:t>BunkerMetric</w:t>
      </w:r>
      <w:proofErr w:type="spellEnd"/>
      <w:r>
        <w:t xml:space="preserve"> will be available for Vessel Insight subscribers on the </w:t>
      </w:r>
      <w:proofErr w:type="spellStart"/>
      <w:r>
        <w:t>Kognifai</w:t>
      </w:r>
      <w:proofErr w:type="spellEnd"/>
      <w:r>
        <w:t xml:space="preserve"> Marketplace from June </w:t>
      </w:r>
      <w:r w:rsidR="00AF1629">
        <w:t>8</w:t>
      </w:r>
      <w:r w:rsidR="00AF1629" w:rsidRPr="00AF1629">
        <w:rPr>
          <w:vertAlign w:val="superscript"/>
        </w:rPr>
        <w:t>th</w:t>
      </w:r>
      <w:r w:rsidR="00AF1629">
        <w:t xml:space="preserve">, </w:t>
      </w:r>
      <w:r>
        <w:t>2021</w:t>
      </w:r>
      <w:r w:rsidR="00BF0541">
        <w:rPr>
          <w:color w:val="000000"/>
        </w:rPr>
        <w:t>.</w:t>
      </w:r>
    </w:p>
    <w:p w14:paraId="2E64D0C4" w14:textId="77777777" w:rsidR="000B607C" w:rsidRDefault="000B607C" w:rsidP="000B607C">
      <w:pPr>
        <w:pBdr>
          <w:top w:val="nil"/>
          <w:left w:val="nil"/>
          <w:bottom w:val="nil"/>
          <w:right w:val="nil"/>
          <w:between w:val="nil"/>
        </w:pBdr>
        <w:spacing w:before="120" w:after="0" w:line="240" w:lineRule="auto"/>
        <w:jc w:val="both"/>
        <w:rPr>
          <w:color w:val="000000"/>
        </w:rPr>
      </w:pPr>
    </w:p>
    <w:p w14:paraId="75E14078" w14:textId="77777777" w:rsidR="004B2F8E" w:rsidRDefault="00BF0541">
      <w:pPr>
        <w:jc w:val="both"/>
        <w:rPr>
          <w:b/>
        </w:rPr>
      </w:pPr>
      <w:r>
        <w:rPr>
          <w:noProof/>
        </w:rPr>
        <mc:AlternateContent>
          <mc:Choice Requires="wps">
            <w:drawing>
              <wp:anchor distT="0" distB="0" distL="114300" distR="114300" simplePos="0" relativeHeight="251659264" behindDoc="0" locked="0" layoutInCell="1" hidden="0" allowOverlap="1" wp14:anchorId="4F09B36D" wp14:editId="4235414D">
                <wp:simplePos x="0" y="0"/>
                <wp:positionH relativeFrom="column">
                  <wp:posOffset>25401</wp:posOffset>
                </wp:positionH>
                <wp:positionV relativeFrom="paragraph">
                  <wp:posOffset>152400</wp:posOffset>
                </wp:positionV>
                <wp:extent cx="5896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97600" y="3780000"/>
                          <a:ext cx="5896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3929AB0" id="_x0000_t32" coordsize="21600,21600" o:spt="32" o:oned="t" path="m,l21600,21600e" filled="f">
                <v:path arrowok="t" fillok="f" o:connecttype="none"/>
                <o:lock v:ext="edit" shapetype="t"/>
              </v:shapetype>
              <v:shape id="Straight Arrow Connector 1" o:spid="_x0000_s1026" type="#_x0000_t32" style="position:absolute;margin-left:2pt;margin-top:12pt;width:464.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" strokecolor="black [3200]">
                <v:stroke startarrowwidth="narrow" startarrowlength="short" endarrowwidth="narrow" endarrowlength="short" joinstyle="miter"/>
              </v:shape>
            </w:pict>
          </mc:Fallback>
        </mc:AlternateContent>
      </w:r>
    </w:p>
    <w:p w14:paraId="05E909C9" w14:textId="77777777" w:rsidR="0041262C" w:rsidRDefault="0041262C" w:rsidP="0041262C">
      <w:pPr>
        <w:spacing w:after="0" w:line="240" w:lineRule="auto"/>
        <w:rPr>
          <w:b/>
          <w:i/>
          <w:color w:val="000000"/>
        </w:rPr>
      </w:pPr>
      <w:r>
        <w:rPr>
          <w:b/>
          <w:i/>
          <w:color w:val="000000"/>
        </w:rPr>
        <w:t>KONGSBERG DIGITAL</w:t>
      </w:r>
    </w:p>
    <w:p w14:paraId="58292235" w14:textId="4E37AE0A" w:rsidR="0041262C" w:rsidRDefault="0041262C" w:rsidP="0041262C">
      <w:pPr>
        <w:spacing w:after="120" w:line="240" w:lineRule="auto"/>
        <w:rPr>
          <w:rFonts w:ascii="Calibri Light" w:hAnsi="Calibri Light"/>
          <w:i/>
          <w:color w:val="000000"/>
          <w:sz w:val="18"/>
          <w:szCs w:val="18"/>
        </w:rPr>
      </w:pPr>
      <w:r>
        <w:rPr>
          <w:i/>
          <w:color w:val="000000"/>
          <w:sz w:val="18"/>
          <w:szCs w:val="18"/>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Pr>
          <w:i/>
          <w:color w:val="000000"/>
          <w:sz w:val="18"/>
          <w:szCs w:val="18"/>
        </w:rPr>
        <w:t>automation</w:t>
      </w:r>
      <w:proofErr w:type="gramEnd"/>
      <w:r>
        <w:rPr>
          <w:i/>
          <w:color w:val="000000"/>
          <w:sz w:val="18"/>
          <w:szCs w:val="18"/>
        </w:rPr>
        <w:t xml:space="preserve"> and autonomous operations.</w:t>
      </w:r>
      <w:r w:rsidR="00132C26">
        <w:rPr>
          <w:i/>
          <w:color w:val="000000"/>
          <w:sz w:val="18"/>
          <w:szCs w:val="18"/>
        </w:rPr>
        <w:t xml:space="preserve"> </w:t>
      </w:r>
      <w:hyperlink r:id="rId10" w:history="1">
        <w:r w:rsidR="00AA0933" w:rsidRPr="004B0E9D">
          <w:rPr>
            <w:rStyle w:val="Hyperlink"/>
            <w:i/>
            <w:sz w:val="18"/>
            <w:szCs w:val="18"/>
          </w:rPr>
          <w:t>www.kongsbergdigital.com</w:t>
        </w:r>
      </w:hyperlink>
    </w:p>
    <w:p w14:paraId="0086E8F5" w14:textId="77777777" w:rsidR="0041262C" w:rsidRDefault="0041262C" w:rsidP="0041262C">
      <w:pPr>
        <w:pStyle w:val="NoSpacing"/>
        <w:rPr>
          <w:rFonts w:asciiTheme="majorHAnsi" w:hAnsiTheme="majorHAnsi" w:cstheme="majorHAnsi"/>
          <w:b/>
          <w:bCs/>
          <w:i/>
          <w:iCs/>
        </w:rPr>
      </w:pPr>
      <w:r w:rsidRPr="00C07864">
        <w:rPr>
          <w:rFonts w:ascii="Calibri" w:eastAsia="Calibri" w:hAnsi="Calibri" w:cs="Calibri"/>
          <w:b/>
          <w:i/>
          <w:color w:val="000000"/>
          <w:lang w:eastAsia="en-SG"/>
        </w:rPr>
        <w:t>KONGSBERG</w:t>
      </w:r>
      <w:r>
        <w:rPr>
          <w:rFonts w:asciiTheme="majorHAnsi" w:hAnsiTheme="majorHAnsi" w:cstheme="majorHAnsi"/>
          <w:b/>
          <w:bCs/>
          <w:i/>
          <w:iCs/>
        </w:rPr>
        <w:t xml:space="preserve"> </w:t>
      </w:r>
    </w:p>
    <w:p w14:paraId="6D8CE426" w14:textId="529BDE37" w:rsidR="0041262C" w:rsidRDefault="0041262C" w:rsidP="00AE2B0B">
      <w:pPr>
        <w:pStyle w:val="NoSpacing"/>
        <w:spacing w:after="120"/>
        <w:rPr>
          <w:rFonts w:asciiTheme="majorHAnsi" w:hAnsiTheme="majorHAnsi" w:cstheme="majorHAnsi"/>
          <w:i/>
          <w:iCs/>
          <w:sz w:val="18"/>
          <w:szCs w:val="18"/>
        </w:rPr>
      </w:pPr>
      <w:r>
        <w:rPr>
          <w:rFonts w:asciiTheme="majorHAnsi" w:hAnsiTheme="majorHAnsi" w:cstheme="majorHAnsi"/>
          <w:i/>
          <w:iCs/>
          <w:sz w:val="18"/>
          <w:szCs w:val="18"/>
        </w:rPr>
        <w:t xml:space="preserve">KONGSBERG (OSE-ticker: KOG) is an international, </w:t>
      </w:r>
      <w:r>
        <w:rPr>
          <w:rFonts w:asciiTheme="majorHAnsi" w:hAnsiTheme="majorHAnsi" w:cstheme="majorHAnsi"/>
          <w:i/>
          <w:iCs/>
          <w:color w:val="000000" w:themeColor="text1"/>
          <w:sz w:val="18"/>
          <w:szCs w:val="18"/>
        </w:rPr>
        <w:t xml:space="preserve">leading global technology corporation delivering mission-critical systems and solutions with extreme performance for customers that operate under extremely challenging conditions. We work with nations, </w:t>
      </w:r>
      <w:proofErr w:type="gramStart"/>
      <w:r>
        <w:rPr>
          <w:rFonts w:asciiTheme="majorHAnsi" w:hAnsiTheme="majorHAnsi" w:cstheme="majorHAnsi"/>
          <w:i/>
          <w:iCs/>
          <w:color w:val="000000" w:themeColor="text1"/>
          <w:sz w:val="18"/>
          <w:szCs w:val="18"/>
        </w:rPr>
        <w:t>businesses</w:t>
      </w:r>
      <w:proofErr w:type="gramEnd"/>
      <w:r>
        <w:rPr>
          <w:rFonts w:asciiTheme="majorHAnsi" w:hAnsiTheme="majorHAnsi" w:cstheme="majorHAnsi"/>
          <w:i/>
          <w:iCs/>
          <w:color w:val="000000" w:themeColor="text1"/>
          <w:sz w:val="18"/>
          <w:szCs w:val="18"/>
        </w:rPr>
        <w:t xml:space="preserve"> and research environments to push the boundaries of technology development in industries such as space, </w:t>
      </w:r>
      <w:r>
        <w:rPr>
          <w:rFonts w:asciiTheme="majorHAnsi" w:hAnsiTheme="majorHAnsi" w:cstheme="majorHAnsi"/>
          <w:i/>
          <w:iCs/>
          <w:sz w:val="18"/>
          <w:szCs w:val="18"/>
        </w:rPr>
        <w:t>offshore and energy, merchant marine, defense and aerospace, and more. KONGSBERG has about 11,000 employees located in more than 40 countries, creating a total revenue of NOK 25.6bn in 2020.</w:t>
      </w:r>
      <w:r w:rsidR="00AE2B0B">
        <w:rPr>
          <w:rFonts w:asciiTheme="majorHAnsi" w:hAnsiTheme="majorHAnsi" w:cstheme="majorHAnsi"/>
          <w:i/>
          <w:iCs/>
          <w:sz w:val="18"/>
          <w:szCs w:val="18"/>
        </w:rPr>
        <w:t xml:space="preserve"> </w:t>
      </w:r>
      <w:r>
        <w:rPr>
          <w:rFonts w:asciiTheme="majorHAnsi" w:hAnsiTheme="majorHAnsi" w:cstheme="majorHAnsi"/>
          <w:i/>
          <w:iCs/>
          <w:sz w:val="18"/>
          <w:szCs w:val="18"/>
        </w:rPr>
        <w:t xml:space="preserve">Follow us on: </w:t>
      </w:r>
      <w:hyperlink r:id="rId11" w:history="1">
        <w:r>
          <w:rPr>
            <w:rStyle w:val="Hyperlink"/>
            <w:rFonts w:asciiTheme="majorHAnsi" w:hAnsiTheme="majorHAnsi" w:cstheme="majorHAnsi"/>
            <w:i/>
            <w:iCs/>
            <w:sz w:val="18"/>
            <w:szCs w:val="18"/>
          </w:rPr>
          <w:t>kongsberg.com</w:t>
        </w:r>
      </w:hyperlink>
      <w:r>
        <w:rPr>
          <w:rFonts w:asciiTheme="majorHAnsi" w:hAnsiTheme="majorHAnsi" w:cstheme="majorHAnsi"/>
          <w:i/>
          <w:iCs/>
          <w:sz w:val="18"/>
          <w:szCs w:val="18"/>
        </w:rPr>
        <w:t xml:space="preserve">, Facebook, </w:t>
      </w:r>
      <w:proofErr w:type="gramStart"/>
      <w:r>
        <w:rPr>
          <w:rFonts w:asciiTheme="majorHAnsi" w:hAnsiTheme="majorHAnsi" w:cstheme="majorHAnsi"/>
          <w:i/>
          <w:iCs/>
          <w:sz w:val="18"/>
          <w:szCs w:val="18"/>
        </w:rPr>
        <w:t>Twitter</w:t>
      </w:r>
      <w:proofErr w:type="gramEnd"/>
      <w:r>
        <w:rPr>
          <w:rFonts w:asciiTheme="majorHAnsi" w:hAnsiTheme="majorHAnsi" w:cstheme="majorHAnsi"/>
          <w:i/>
          <w:iCs/>
          <w:sz w:val="18"/>
          <w:szCs w:val="18"/>
        </w:rPr>
        <w:t xml:space="preserve"> and LinkedIn</w:t>
      </w:r>
    </w:p>
    <w:p w14:paraId="5637A619" w14:textId="77777777" w:rsidR="0041262C" w:rsidRPr="00C07864" w:rsidRDefault="0041262C" w:rsidP="0041262C">
      <w:pPr>
        <w:pStyle w:val="NoSpacing"/>
        <w:rPr>
          <w:rFonts w:ascii="Calibri" w:eastAsia="Calibri" w:hAnsi="Calibri" w:cs="Calibri"/>
          <w:b/>
          <w:i/>
          <w:color w:val="000000"/>
          <w:lang w:eastAsia="en-SG"/>
        </w:rPr>
      </w:pPr>
      <w:proofErr w:type="spellStart"/>
      <w:r w:rsidRPr="00C07864">
        <w:rPr>
          <w:rFonts w:ascii="Calibri" w:eastAsia="Calibri" w:hAnsi="Calibri" w:cs="Calibri"/>
          <w:b/>
          <w:i/>
          <w:color w:val="000000"/>
          <w:lang w:eastAsia="en-SG"/>
        </w:rPr>
        <w:t>BunkerMetric</w:t>
      </w:r>
      <w:proofErr w:type="spellEnd"/>
    </w:p>
    <w:p w14:paraId="2FEBECD7" w14:textId="54DA4D49" w:rsidR="0041262C" w:rsidRPr="00AE2B0B" w:rsidRDefault="0041262C" w:rsidP="0041262C">
      <w:pPr>
        <w:pStyle w:val="NoSpacing"/>
        <w:rPr>
          <w:rFonts w:asciiTheme="majorHAnsi" w:hAnsiTheme="majorHAnsi" w:cstheme="majorHAnsi"/>
          <w:i/>
          <w:iCs/>
          <w:sz w:val="18"/>
          <w:szCs w:val="18"/>
        </w:rPr>
      </w:pPr>
      <w:proofErr w:type="spellStart"/>
      <w:r w:rsidRPr="00AE2B0B">
        <w:rPr>
          <w:rFonts w:asciiTheme="majorHAnsi" w:hAnsiTheme="majorHAnsi" w:cstheme="majorHAnsi"/>
          <w:i/>
          <w:iCs/>
          <w:sz w:val="18"/>
          <w:szCs w:val="18"/>
        </w:rPr>
        <w:t>BunkerMetric</w:t>
      </w:r>
      <w:proofErr w:type="spellEnd"/>
      <w:r w:rsidRPr="00AE2B0B">
        <w:rPr>
          <w:rFonts w:asciiTheme="majorHAnsi" w:hAnsiTheme="majorHAnsi" w:cstheme="majorHAnsi"/>
          <w:i/>
          <w:iCs/>
          <w:sz w:val="18"/>
          <w:szCs w:val="18"/>
        </w:rPr>
        <w:t xml:space="preserve"> is a Scandinavian software company bringing the power of advanced digital technologies to the marine bunkering segment. Our state-of-the-art algorithms and data platforms support you to uncover bunkering strategies and market insights, with a direct positive impact to your organization’s bottom line. </w:t>
      </w:r>
      <w:proofErr w:type="spellStart"/>
      <w:r w:rsidRPr="00AE2B0B">
        <w:rPr>
          <w:rFonts w:asciiTheme="majorHAnsi" w:hAnsiTheme="majorHAnsi" w:cstheme="majorHAnsi"/>
          <w:i/>
          <w:iCs/>
          <w:sz w:val="18"/>
          <w:szCs w:val="18"/>
        </w:rPr>
        <w:t>BunkerMetric</w:t>
      </w:r>
      <w:proofErr w:type="spellEnd"/>
      <w:r w:rsidRPr="00AE2B0B">
        <w:rPr>
          <w:rFonts w:asciiTheme="majorHAnsi" w:hAnsiTheme="majorHAnsi" w:cstheme="majorHAnsi"/>
          <w:i/>
          <w:iCs/>
          <w:sz w:val="18"/>
          <w:szCs w:val="18"/>
        </w:rPr>
        <w:t xml:space="preserve"> was founded in 2018 and the founders have been working with Bunkers, Digitization and Shipping for more than 15 years. </w:t>
      </w:r>
      <w:proofErr w:type="spellStart"/>
      <w:r w:rsidRPr="00AE2B0B">
        <w:rPr>
          <w:rFonts w:asciiTheme="majorHAnsi" w:hAnsiTheme="majorHAnsi" w:cstheme="majorHAnsi"/>
          <w:i/>
          <w:iCs/>
          <w:sz w:val="18"/>
          <w:szCs w:val="18"/>
        </w:rPr>
        <w:t>BunkerMetric</w:t>
      </w:r>
      <w:proofErr w:type="spellEnd"/>
      <w:r w:rsidRPr="00AE2B0B">
        <w:rPr>
          <w:rFonts w:asciiTheme="majorHAnsi" w:hAnsiTheme="majorHAnsi" w:cstheme="majorHAnsi"/>
          <w:i/>
          <w:iCs/>
          <w:sz w:val="18"/>
          <w:szCs w:val="18"/>
        </w:rPr>
        <w:t xml:space="preserve"> is backed by investors and partners like IBM, Signal Ventures, </w:t>
      </w:r>
      <w:proofErr w:type="gramStart"/>
      <w:r w:rsidRPr="00AE2B0B">
        <w:rPr>
          <w:rFonts w:asciiTheme="majorHAnsi" w:hAnsiTheme="majorHAnsi" w:cstheme="majorHAnsi"/>
          <w:i/>
          <w:iCs/>
          <w:sz w:val="18"/>
          <w:szCs w:val="18"/>
        </w:rPr>
        <w:t>Kongsberg</w:t>
      </w:r>
      <w:proofErr w:type="gramEnd"/>
      <w:r w:rsidRPr="00AE2B0B">
        <w:rPr>
          <w:rFonts w:asciiTheme="majorHAnsi" w:hAnsiTheme="majorHAnsi" w:cstheme="majorHAnsi"/>
          <w:i/>
          <w:iCs/>
          <w:sz w:val="18"/>
          <w:szCs w:val="18"/>
        </w:rPr>
        <w:t xml:space="preserve"> and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88"/>
        <w:gridCol w:w="4762"/>
      </w:tblGrid>
      <w:tr w:rsidR="004F7E0D" w:rsidRPr="00695581" w14:paraId="2C8DFC04" w14:textId="77777777" w:rsidTr="00883C07">
        <w:tc>
          <w:tcPr>
            <w:tcW w:w="4588" w:type="dxa"/>
          </w:tcPr>
          <w:p w14:paraId="669AD94E" w14:textId="6120690F" w:rsidR="004F7E0D" w:rsidRDefault="004F7E0D" w:rsidP="00883C07">
            <w:pPr>
              <w:pStyle w:val="Header"/>
              <w:rPr>
                <w:rFonts w:asciiTheme="majorHAnsi" w:hAnsiTheme="majorHAnsi" w:cstheme="majorHAnsi"/>
                <w:b/>
              </w:rPr>
            </w:pPr>
            <w:r w:rsidRPr="00817FD6">
              <w:rPr>
                <w:rFonts w:asciiTheme="majorHAnsi" w:hAnsiTheme="majorHAnsi" w:cstheme="majorHAnsi"/>
                <w:b/>
              </w:rPr>
              <w:lastRenderedPageBreak/>
              <w:t>CONTACT:</w:t>
            </w:r>
          </w:p>
          <w:p w14:paraId="48D0761F" w14:textId="5D8F64F1" w:rsidR="004F7E0D" w:rsidRDefault="004F7E0D" w:rsidP="00883C07">
            <w:pPr>
              <w:pStyle w:val="Header"/>
              <w:rPr>
                <w:rFonts w:asciiTheme="majorHAnsi" w:hAnsiTheme="majorHAnsi" w:cstheme="majorHAnsi"/>
                <w:b/>
                <w:sz w:val="20"/>
                <w:szCs w:val="20"/>
              </w:rPr>
            </w:pPr>
          </w:p>
          <w:p w14:paraId="28D43FCA" w14:textId="789C7595" w:rsidR="004F7E0D" w:rsidRPr="004F7E0D" w:rsidRDefault="004F7E0D" w:rsidP="004F7E0D">
            <w:pPr>
              <w:pStyle w:val="Header"/>
              <w:rPr>
                <w:rFonts w:asciiTheme="majorHAnsi" w:hAnsiTheme="majorHAnsi" w:cstheme="majorHAnsi"/>
                <w:b/>
                <w:sz w:val="20"/>
                <w:szCs w:val="20"/>
              </w:rPr>
            </w:pPr>
            <w:r w:rsidRPr="004F7E0D">
              <w:rPr>
                <w:rFonts w:asciiTheme="majorHAnsi" w:hAnsiTheme="majorHAnsi" w:cstheme="majorHAnsi"/>
                <w:b/>
                <w:sz w:val="20"/>
                <w:szCs w:val="20"/>
              </w:rPr>
              <w:t>Mathilde Magnussen</w:t>
            </w:r>
          </w:p>
          <w:p w14:paraId="719FE659" w14:textId="77777777" w:rsidR="004F7E0D" w:rsidRPr="004F7E0D" w:rsidRDefault="004F7E0D" w:rsidP="004F7E0D">
            <w:pPr>
              <w:pStyle w:val="Header"/>
              <w:rPr>
                <w:rFonts w:asciiTheme="majorHAnsi" w:hAnsiTheme="majorHAnsi" w:cstheme="majorHAnsi"/>
                <w:bCs/>
                <w:i/>
                <w:iCs/>
                <w:sz w:val="20"/>
                <w:szCs w:val="20"/>
              </w:rPr>
            </w:pPr>
            <w:r w:rsidRPr="004F7E0D">
              <w:rPr>
                <w:rFonts w:asciiTheme="majorHAnsi" w:hAnsiTheme="majorHAnsi" w:cstheme="majorHAnsi"/>
                <w:bCs/>
                <w:i/>
                <w:iCs/>
                <w:sz w:val="20"/>
                <w:szCs w:val="20"/>
              </w:rPr>
              <w:t>VP Communication and Marketing</w:t>
            </w:r>
          </w:p>
          <w:p w14:paraId="1E54C67E" w14:textId="77777777" w:rsidR="004F7E0D" w:rsidRPr="004F7E0D" w:rsidRDefault="004F7E0D" w:rsidP="004F7E0D">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Kongsberg Digital</w:t>
            </w:r>
          </w:p>
          <w:p w14:paraId="354F8174" w14:textId="77777777" w:rsidR="004F7E0D" w:rsidRPr="004F7E0D" w:rsidRDefault="004F7E0D" w:rsidP="004F7E0D">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(+47) 456 78 255</w:t>
            </w:r>
          </w:p>
          <w:p w14:paraId="6CB22695" w14:textId="732EDE73" w:rsidR="004F7E0D" w:rsidRPr="004F7E0D" w:rsidRDefault="00787419" w:rsidP="004F7E0D">
            <w:pPr>
              <w:pStyle w:val="Header"/>
              <w:rPr>
                <w:rFonts w:asciiTheme="majorHAnsi" w:hAnsiTheme="majorHAnsi" w:cstheme="majorHAnsi"/>
                <w:bCs/>
                <w:sz w:val="20"/>
                <w:szCs w:val="20"/>
                <w:lang w:val="nb-NO"/>
              </w:rPr>
            </w:pPr>
            <w:hyperlink r:id="rId12" w:history="1">
              <w:r w:rsidR="00236015" w:rsidRPr="004B0E9D">
                <w:rPr>
                  <w:rStyle w:val="Hyperlink"/>
                  <w:rFonts w:asciiTheme="majorHAnsi" w:hAnsiTheme="majorHAnsi" w:cstheme="majorHAnsi"/>
                  <w:bCs/>
                  <w:sz w:val="20"/>
                  <w:szCs w:val="20"/>
                  <w:lang w:val="nb-NO"/>
                </w:rPr>
                <w:t>mathilde.magnussen@kdi.kongsberg.com</w:t>
              </w:r>
            </w:hyperlink>
          </w:p>
        </w:tc>
        <w:tc>
          <w:tcPr>
            <w:tcW w:w="4762" w:type="dxa"/>
          </w:tcPr>
          <w:p w14:paraId="097F0EC7" w14:textId="77777777" w:rsidR="004F7E0D" w:rsidRPr="0041262C" w:rsidRDefault="004F7E0D" w:rsidP="00883C07">
            <w:pPr>
              <w:pStyle w:val="Header"/>
              <w:rPr>
                <w:rFonts w:asciiTheme="majorHAnsi" w:hAnsiTheme="majorHAnsi" w:cstheme="majorHAnsi"/>
                <w:b/>
                <w:sz w:val="20"/>
                <w:szCs w:val="20"/>
                <w:lang w:val="nb-NO"/>
              </w:rPr>
            </w:pPr>
          </w:p>
          <w:p w14:paraId="6A66AA74" w14:textId="77777777" w:rsidR="004F7E0D" w:rsidRPr="0041262C" w:rsidRDefault="004F7E0D" w:rsidP="00883C07">
            <w:pPr>
              <w:pStyle w:val="Header"/>
              <w:rPr>
                <w:rFonts w:asciiTheme="majorHAnsi" w:hAnsiTheme="majorHAnsi" w:cstheme="majorHAnsi"/>
                <w:b/>
                <w:sz w:val="20"/>
                <w:szCs w:val="20"/>
                <w:lang w:val="nb-NO"/>
              </w:rPr>
            </w:pPr>
          </w:p>
          <w:p w14:paraId="29206060" w14:textId="77777777" w:rsidR="00684B7A" w:rsidRDefault="00684B7A" w:rsidP="00D96734">
            <w:pPr>
              <w:pStyle w:val="Header"/>
              <w:rPr>
                <w:rFonts w:asciiTheme="majorHAnsi" w:hAnsiTheme="majorHAnsi" w:cstheme="majorHAnsi"/>
                <w:b/>
                <w:sz w:val="20"/>
                <w:szCs w:val="20"/>
              </w:rPr>
            </w:pPr>
            <w:r w:rsidRPr="00684B7A">
              <w:rPr>
                <w:rFonts w:asciiTheme="majorHAnsi" w:hAnsiTheme="majorHAnsi" w:cstheme="majorHAnsi"/>
                <w:b/>
                <w:sz w:val="20"/>
                <w:szCs w:val="20"/>
              </w:rPr>
              <w:t>Niels Juncker</w:t>
            </w:r>
          </w:p>
          <w:p w14:paraId="37A873EF" w14:textId="77777777" w:rsidR="00001861" w:rsidRDefault="00001861" w:rsidP="00D96734">
            <w:pPr>
              <w:pStyle w:val="Header"/>
              <w:rPr>
                <w:rFonts w:asciiTheme="majorHAnsi" w:hAnsiTheme="majorHAnsi" w:cstheme="majorHAnsi"/>
                <w:bCs/>
                <w:i/>
                <w:iCs/>
                <w:sz w:val="20"/>
                <w:szCs w:val="20"/>
              </w:rPr>
            </w:pPr>
            <w:r w:rsidRPr="00001861">
              <w:rPr>
                <w:rFonts w:asciiTheme="majorHAnsi" w:hAnsiTheme="majorHAnsi" w:cstheme="majorHAnsi"/>
                <w:bCs/>
                <w:i/>
                <w:iCs/>
                <w:sz w:val="20"/>
                <w:szCs w:val="20"/>
              </w:rPr>
              <w:t>Director</w:t>
            </w:r>
            <w:r>
              <w:rPr>
                <w:rFonts w:asciiTheme="majorHAnsi" w:hAnsiTheme="majorHAnsi" w:cstheme="majorHAnsi"/>
                <w:bCs/>
                <w:i/>
                <w:iCs/>
                <w:sz w:val="20"/>
                <w:szCs w:val="20"/>
              </w:rPr>
              <w:t>,</w:t>
            </w:r>
            <w:r w:rsidRPr="00001861">
              <w:rPr>
                <w:rFonts w:asciiTheme="majorHAnsi" w:hAnsiTheme="majorHAnsi" w:cstheme="majorHAnsi"/>
                <w:bCs/>
                <w:i/>
                <w:iCs/>
                <w:sz w:val="20"/>
                <w:szCs w:val="20"/>
              </w:rPr>
              <w:t xml:space="preserve"> Sales and Business Development</w:t>
            </w:r>
          </w:p>
          <w:p w14:paraId="4EB2A07A" w14:textId="77777777" w:rsidR="004E1A9E" w:rsidRPr="00236015" w:rsidRDefault="004E1A9E" w:rsidP="00D96734">
            <w:pPr>
              <w:pStyle w:val="Header"/>
              <w:rPr>
                <w:rFonts w:asciiTheme="majorHAnsi" w:hAnsiTheme="majorHAnsi" w:cstheme="majorHAnsi"/>
                <w:bCs/>
                <w:sz w:val="20"/>
                <w:szCs w:val="20"/>
                <w:lang w:val="nb-NO"/>
              </w:rPr>
            </w:pPr>
            <w:proofErr w:type="spellStart"/>
            <w:r w:rsidRPr="00236015">
              <w:rPr>
                <w:rFonts w:asciiTheme="majorHAnsi" w:hAnsiTheme="majorHAnsi" w:cstheme="majorHAnsi"/>
                <w:bCs/>
                <w:sz w:val="20"/>
                <w:szCs w:val="20"/>
                <w:lang w:val="nb-NO"/>
              </w:rPr>
              <w:t>BunkerMetric</w:t>
            </w:r>
            <w:proofErr w:type="spellEnd"/>
            <w:r w:rsidRPr="00236015">
              <w:rPr>
                <w:rFonts w:asciiTheme="majorHAnsi" w:hAnsiTheme="majorHAnsi" w:cstheme="majorHAnsi"/>
                <w:bCs/>
                <w:sz w:val="20"/>
                <w:szCs w:val="20"/>
                <w:lang w:val="nb-NO"/>
              </w:rPr>
              <w:t xml:space="preserve"> </w:t>
            </w:r>
          </w:p>
          <w:p w14:paraId="65AA1632" w14:textId="77777777" w:rsidR="00F41915" w:rsidRPr="00236015" w:rsidRDefault="00F41915" w:rsidP="00D96734">
            <w:pPr>
              <w:pStyle w:val="Header"/>
              <w:rPr>
                <w:rFonts w:asciiTheme="majorHAnsi" w:hAnsiTheme="majorHAnsi" w:cstheme="majorHAnsi"/>
                <w:bCs/>
                <w:sz w:val="20"/>
                <w:szCs w:val="20"/>
                <w:lang w:val="nb-NO"/>
              </w:rPr>
            </w:pPr>
            <w:r w:rsidRPr="00236015">
              <w:rPr>
                <w:rFonts w:asciiTheme="majorHAnsi" w:hAnsiTheme="majorHAnsi" w:cstheme="majorHAnsi"/>
                <w:bCs/>
                <w:sz w:val="20"/>
                <w:szCs w:val="20"/>
                <w:lang w:val="nb-NO"/>
              </w:rPr>
              <w:t>(+45) 20 95 97 20</w:t>
            </w:r>
          </w:p>
          <w:p w14:paraId="16F0BCF7" w14:textId="60F32FB6" w:rsidR="004F7E0D" w:rsidRPr="00236015" w:rsidRDefault="00787419" w:rsidP="00D96734">
            <w:pPr>
              <w:pStyle w:val="Header"/>
              <w:rPr>
                <w:rFonts w:asciiTheme="majorHAnsi" w:hAnsiTheme="majorHAnsi" w:cstheme="majorHAnsi"/>
                <w:bCs/>
                <w:sz w:val="20"/>
                <w:szCs w:val="20"/>
                <w:lang w:val="nb-NO"/>
              </w:rPr>
            </w:pPr>
            <w:hyperlink r:id="rId13" w:history="1">
              <w:r w:rsidR="00236015" w:rsidRPr="00236015">
                <w:rPr>
                  <w:rStyle w:val="Hyperlink"/>
                  <w:rFonts w:asciiTheme="majorHAnsi" w:hAnsiTheme="majorHAnsi" w:cstheme="majorHAnsi"/>
                  <w:bCs/>
                  <w:sz w:val="20"/>
                  <w:szCs w:val="20"/>
                  <w:lang w:val="nb-NO"/>
                </w:rPr>
                <w:t>niels.juncker@bunkermetric.com</w:t>
              </w:r>
            </w:hyperlink>
          </w:p>
        </w:tc>
      </w:tr>
      <w:tr w:rsidR="004F7E0D" w14:paraId="785AF9AF" w14:textId="77777777" w:rsidTr="00883C07">
        <w:tc>
          <w:tcPr>
            <w:tcW w:w="4588" w:type="dxa"/>
          </w:tcPr>
          <w:p w14:paraId="7351249D" w14:textId="77777777" w:rsidR="00236015" w:rsidRDefault="00236015" w:rsidP="00236015">
            <w:pPr>
              <w:pStyle w:val="Header"/>
              <w:rPr>
                <w:rFonts w:asciiTheme="majorHAnsi" w:hAnsiTheme="majorHAnsi" w:cstheme="majorHAnsi"/>
                <w:b/>
                <w:sz w:val="20"/>
                <w:szCs w:val="20"/>
              </w:rPr>
            </w:pPr>
            <w:r>
              <w:rPr>
                <w:rFonts w:asciiTheme="majorHAnsi" w:hAnsiTheme="majorHAnsi" w:cstheme="majorHAnsi"/>
                <w:b/>
                <w:sz w:val="20"/>
                <w:szCs w:val="20"/>
              </w:rPr>
              <w:t>David Pugh</w:t>
            </w:r>
          </w:p>
          <w:p w14:paraId="0AF69C5D" w14:textId="77777777" w:rsidR="00236015" w:rsidRDefault="00236015" w:rsidP="00236015">
            <w:pPr>
              <w:pStyle w:val="Header"/>
              <w:rPr>
                <w:rFonts w:asciiTheme="majorHAnsi" w:hAnsiTheme="majorHAnsi" w:cstheme="majorHAnsi"/>
                <w:bCs/>
                <w:i/>
                <w:iCs/>
                <w:sz w:val="20"/>
                <w:szCs w:val="20"/>
              </w:rPr>
            </w:pPr>
            <w:r>
              <w:rPr>
                <w:rFonts w:asciiTheme="majorHAnsi" w:hAnsiTheme="majorHAnsi" w:cstheme="majorHAnsi"/>
                <w:bCs/>
                <w:i/>
                <w:iCs/>
                <w:sz w:val="20"/>
                <w:szCs w:val="20"/>
              </w:rPr>
              <w:t>Account Manager</w:t>
            </w:r>
          </w:p>
          <w:p w14:paraId="31D9630B" w14:textId="77777777" w:rsidR="00236015" w:rsidRDefault="00236015" w:rsidP="00236015">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Saltwater Stone</w:t>
            </w:r>
          </w:p>
          <w:p w14:paraId="7BB96CDE" w14:textId="77777777" w:rsidR="00236015" w:rsidRDefault="00236015" w:rsidP="00236015">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(+44) 1202 669244</w:t>
            </w:r>
          </w:p>
          <w:p w14:paraId="270D5998" w14:textId="091E3EE7" w:rsidR="00236015" w:rsidRPr="00236015" w:rsidRDefault="00787419" w:rsidP="00236015">
            <w:pPr>
              <w:pStyle w:val="Header"/>
              <w:rPr>
                <w:rFonts w:asciiTheme="majorHAnsi" w:hAnsiTheme="majorHAnsi" w:cstheme="majorHAnsi"/>
                <w:bCs/>
                <w:sz w:val="20"/>
                <w:szCs w:val="20"/>
                <w:lang w:val="en-GB"/>
              </w:rPr>
            </w:pPr>
            <w:hyperlink r:id="rId14" w:history="1">
              <w:r w:rsidR="00236015" w:rsidRPr="004B0E9D">
                <w:rPr>
                  <w:rStyle w:val="Hyperlink"/>
                  <w:rFonts w:asciiTheme="majorHAnsi" w:hAnsiTheme="majorHAnsi" w:cstheme="majorHAnsi"/>
                  <w:bCs/>
                  <w:sz w:val="20"/>
                  <w:szCs w:val="20"/>
                  <w:lang w:val="en-GB"/>
                </w:rPr>
                <w:t>d.pugh@saltwater-stone.com</w:t>
              </w:r>
            </w:hyperlink>
          </w:p>
        </w:tc>
        <w:tc>
          <w:tcPr>
            <w:tcW w:w="4762" w:type="dxa"/>
          </w:tcPr>
          <w:p w14:paraId="4CDA938A" w14:textId="00D6215E" w:rsidR="004F7E0D" w:rsidRDefault="004F7E0D" w:rsidP="00883C07">
            <w:pPr>
              <w:pStyle w:val="Header"/>
              <w:rPr>
                <w:rFonts w:asciiTheme="majorHAnsi" w:hAnsiTheme="majorHAnsi" w:cstheme="majorHAnsi"/>
                <w:b/>
                <w:sz w:val="20"/>
                <w:szCs w:val="20"/>
              </w:rPr>
            </w:pPr>
          </w:p>
        </w:tc>
      </w:tr>
    </w:tbl>
    <w:p w14:paraId="239D4677" w14:textId="5DF23C03" w:rsidR="004B2F8E" w:rsidRDefault="004B2F8E" w:rsidP="002752E7">
      <w:pPr>
        <w:tabs>
          <w:tab w:val="center" w:pos="4680"/>
          <w:tab w:val="right" w:pos="9360"/>
        </w:tabs>
        <w:spacing w:after="0" w:line="240" w:lineRule="auto"/>
        <w:jc w:val="both"/>
        <w:rPr>
          <w:b/>
        </w:rPr>
      </w:pPr>
    </w:p>
    <w:sectPr w:rsidR="004B2F8E">
      <w:headerReference w:type="even" r:id="rId15"/>
      <w:headerReference w:type="default" r:id="rId16"/>
      <w:footerReference w:type="even" r:id="rId17"/>
      <w:footerReference w:type="default" r:id="rId18"/>
      <w:headerReference w:type="first" r:id="rId19"/>
      <w:footerReference w:type="first" r:id="rId20"/>
      <w:pgSz w:w="12240" w:h="15840"/>
      <w:pgMar w:top="1985" w:right="1440" w:bottom="1440" w:left="144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57A9" w14:textId="77777777" w:rsidR="00787419" w:rsidRDefault="00787419">
      <w:pPr>
        <w:spacing w:after="0" w:line="240" w:lineRule="auto"/>
      </w:pPr>
      <w:r>
        <w:separator/>
      </w:r>
    </w:p>
  </w:endnote>
  <w:endnote w:type="continuationSeparator" w:id="0">
    <w:p w14:paraId="31D5F6D7" w14:textId="77777777" w:rsidR="00787419" w:rsidRDefault="0078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461"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64D" w14:textId="77777777" w:rsidR="004B2F8E" w:rsidRDefault="004B2F8E">
    <w:pPr>
      <w:widowControl w:val="0"/>
      <w:pBdr>
        <w:top w:val="nil"/>
        <w:left w:val="nil"/>
        <w:bottom w:val="nil"/>
        <w:right w:val="nil"/>
        <w:between w:val="nil"/>
      </w:pBdr>
      <w:spacing w:after="0" w:line="276" w:lineRule="auto"/>
      <w:rPr>
        <w:color w:val="000000"/>
      </w:rPr>
    </w:pPr>
  </w:p>
  <w:tbl>
    <w:tblPr>
      <w:tblStyle w:val="a1"/>
      <w:tblW w:w="9350" w:type="dxa"/>
      <w:tblBorders>
        <w:top w:val="single" w:sz="4" w:space="0" w:color="595959"/>
        <w:left w:val="nil"/>
        <w:bottom w:val="nil"/>
        <w:right w:val="nil"/>
        <w:insideH w:val="nil"/>
        <w:insideV w:val="nil"/>
      </w:tblBorders>
      <w:tblLayout w:type="fixed"/>
      <w:tblLook w:val="0400" w:firstRow="0" w:lastRow="0" w:firstColumn="0" w:lastColumn="0" w:noHBand="0" w:noVBand="1"/>
    </w:tblPr>
    <w:tblGrid>
      <w:gridCol w:w="6374"/>
      <w:gridCol w:w="2976"/>
    </w:tblGrid>
    <w:tr w:rsidR="004B2F8E" w14:paraId="5C900267" w14:textId="77777777">
      <w:trPr>
        <w:trHeight w:val="567"/>
      </w:trPr>
      <w:tc>
        <w:tcPr>
          <w:tcW w:w="6374" w:type="dxa"/>
          <w:vAlign w:val="bottom"/>
        </w:tcPr>
        <w:p w14:paraId="3799CDC3" w14:textId="77777777" w:rsidR="004B2F8E" w:rsidRDefault="00BF0541">
          <w:pPr>
            <w:pBdr>
              <w:top w:val="nil"/>
              <w:left w:val="nil"/>
              <w:bottom w:val="nil"/>
              <w:right w:val="nil"/>
              <w:between w:val="nil"/>
            </w:pBdr>
            <w:tabs>
              <w:tab w:val="center" w:pos="4680"/>
              <w:tab w:val="right" w:pos="9360"/>
            </w:tabs>
            <w:rPr>
              <w:rFonts w:ascii="Verdana" w:eastAsia="Verdana" w:hAnsi="Verdana" w:cs="Verdana"/>
              <w:i/>
              <w:color w:val="595959"/>
              <w:sz w:val="18"/>
              <w:szCs w:val="18"/>
            </w:rPr>
          </w:pPr>
          <w:r>
            <w:rPr>
              <w:rFonts w:ascii="Verdana" w:eastAsia="Verdana" w:hAnsi="Verdana" w:cs="Verdana"/>
              <w:i/>
              <w:color w:val="595959"/>
              <w:sz w:val="18"/>
              <w:szCs w:val="18"/>
            </w:rPr>
            <w:t>WORLD CLASS - through people, technology and dedication</w:t>
          </w:r>
        </w:p>
      </w:tc>
      <w:tc>
        <w:tcPr>
          <w:tcW w:w="2976" w:type="dxa"/>
          <w:vAlign w:val="bottom"/>
        </w:tcPr>
        <w:p w14:paraId="227779FF" w14:textId="77777777" w:rsidR="004B2F8E" w:rsidRDefault="00BF0541">
          <w:pPr>
            <w:pBdr>
              <w:top w:val="nil"/>
              <w:left w:val="nil"/>
              <w:bottom w:val="nil"/>
              <w:right w:val="nil"/>
              <w:between w:val="nil"/>
            </w:pBdr>
            <w:tabs>
              <w:tab w:val="center" w:pos="4680"/>
              <w:tab w:val="right" w:pos="9360"/>
            </w:tabs>
            <w:jc w:val="right"/>
            <w:rPr>
              <w:i/>
              <w:color w:val="595959"/>
              <w:sz w:val="18"/>
              <w:szCs w:val="18"/>
            </w:rPr>
          </w:pPr>
          <w:r>
            <w:rPr>
              <w:i/>
              <w:color w:val="595959"/>
              <w:sz w:val="18"/>
              <w:szCs w:val="18"/>
            </w:rPr>
            <w:t xml:space="preserve">Page </w:t>
          </w:r>
          <w:r>
            <w:rPr>
              <w:b/>
              <w:i/>
              <w:color w:val="595959"/>
              <w:sz w:val="18"/>
              <w:szCs w:val="18"/>
            </w:rPr>
            <w:fldChar w:fldCharType="begin"/>
          </w:r>
          <w:r>
            <w:rPr>
              <w:b/>
              <w:i/>
              <w:color w:val="595959"/>
              <w:sz w:val="18"/>
              <w:szCs w:val="18"/>
            </w:rPr>
            <w:instrText>PAGE</w:instrText>
          </w:r>
          <w:r>
            <w:rPr>
              <w:b/>
              <w:i/>
              <w:color w:val="595959"/>
              <w:sz w:val="18"/>
              <w:szCs w:val="18"/>
            </w:rPr>
            <w:fldChar w:fldCharType="separate"/>
          </w:r>
          <w:r w:rsidR="00F7415A">
            <w:rPr>
              <w:b/>
              <w:i/>
              <w:noProof/>
              <w:color w:val="595959"/>
              <w:sz w:val="18"/>
              <w:szCs w:val="18"/>
            </w:rPr>
            <w:t>1</w:t>
          </w:r>
          <w:r>
            <w:rPr>
              <w:b/>
              <w:i/>
              <w:color w:val="595959"/>
              <w:sz w:val="18"/>
              <w:szCs w:val="18"/>
            </w:rPr>
            <w:fldChar w:fldCharType="end"/>
          </w:r>
          <w:r>
            <w:rPr>
              <w:i/>
              <w:color w:val="595959"/>
              <w:sz w:val="18"/>
              <w:szCs w:val="18"/>
            </w:rPr>
            <w:t xml:space="preserve"> of </w:t>
          </w:r>
          <w:r>
            <w:rPr>
              <w:b/>
              <w:i/>
              <w:color w:val="595959"/>
              <w:sz w:val="18"/>
              <w:szCs w:val="18"/>
            </w:rPr>
            <w:fldChar w:fldCharType="begin"/>
          </w:r>
          <w:r>
            <w:rPr>
              <w:b/>
              <w:i/>
              <w:color w:val="595959"/>
              <w:sz w:val="18"/>
              <w:szCs w:val="18"/>
            </w:rPr>
            <w:instrText>NUMPAGES</w:instrText>
          </w:r>
          <w:r>
            <w:rPr>
              <w:b/>
              <w:i/>
              <w:color w:val="595959"/>
              <w:sz w:val="18"/>
              <w:szCs w:val="18"/>
            </w:rPr>
            <w:fldChar w:fldCharType="separate"/>
          </w:r>
          <w:r w:rsidR="00F7415A">
            <w:rPr>
              <w:b/>
              <w:i/>
              <w:noProof/>
              <w:color w:val="595959"/>
              <w:sz w:val="18"/>
              <w:szCs w:val="18"/>
            </w:rPr>
            <w:t>2</w:t>
          </w:r>
          <w:r>
            <w:rPr>
              <w:b/>
              <w:i/>
              <w:color w:val="595959"/>
              <w:sz w:val="18"/>
              <w:szCs w:val="18"/>
            </w:rPr>
            <w:fldChar w:fldCharType="end"/>
          </w:r>
        </w:p>
      </w:tc>
    </w:tr>
  </w:tbl>
  <w:p w14:paraId="1BB9104C" w14:textId="77777777" w:rsidR="004B2F8E" w:rsidRDefault="004B2F8E">
    <w:pPr>
      <w:pBdr>
        <w:top w:val="nil"/>
        <w:left w:val="nil"/>
        <w:bottom w:val="nil"/>
        <w:right w:val="nil"/>
        <w:between w:val="nil"/>
      </w:pBdr>
      <w:tabs>
        <w:tab w:val="center" w:pos="4680"/>
        <w:tab w:val="right" w:pos="9360"/>
      </w:tabs>
      <w:spacing w:after="0" w:line="240" w:lineRule="auto"/>
      <w:rPr>
        <w:b/>
        <w:i/>
        <w:color w:val="59595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C9"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1338" w14:textId="77777777" w:rsidR="00787419" w:rsidRDefault="00787419">
      <w:pPr>
        <w:spacing w:after="0" w:line="240" w:lineRule="auto"/>
      </w:pPr>
      <w:r>
        <w:separator/>
      </w:r>
    </w:p>
  </w:footnote>
  <w:footnote w:type="continuationSeparator" w:id="0">
    <w:p w14:paraId="04ED0749" w14:textId="77777777" w:rsidR="00787419" w:rsidRDefault="00787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3A4D"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08B" w14:textId="77777777" w:rsidR="004B2F8E" w:rsidRDefault="004B2F8E">
    <w:pPr>
      <w:widowControl w:val="0"/>
      <w:pBdr>
        <w:top w:val="nil"/>
        <w:left w:val="nil"/>
        <w:bottom w:val="nil"/>
        <w:right w:val="nil"/>
        <w:between w:val="nil"/>
      </w:pBdr>
      <w:spacing w:after="0" w:line="276" w:lineRule="auto"/>
      <w:rPr>
        <w:b/>
        <w:color w:val="000000"/>
      </w:rPr>
    </w:pPr>
  </w:p>
  <w:tbl>
    <w:tblPr>
      <w:tblStyle w:val="a0"/>
      <w:tblW w:w="9350" w:type="dxa"/>
      <w:tblBorders>
        <w:top w:val="nil"/>
        <w:left w:val="nil"/>
        <w:bottom w:val="single" w:sz="4" w:space="0" w:color="595959"/>
        <w:right w:val="nil"/>
        <w:insideH w:val="nil"/>
        <w:insideV w:val="nil"/>
      </w:tblBorders>
      <w:tblLayout w:type="fixed"/>
      <w:tblLook w:val="0400" w:firstRow="0" w:lastRow="0" w:firstColumn="0" w:lastColumn="0" w:noHBand="0" w:noVBand="1"/>
    </w:tblPr>
    <w:tblGrid>
      <w:gridCol w:w="4675"/>
      <w:gridCol w:w="4675"/>
    </w:tblGrid>
    <w:tr w:rsidR="004B2F8E" w14:paraId="2AEBEAF9" w14:textId="77777777">
      <w:tc>
        <w:tcPr>
          <w:tcW w:w="4675" w:type="dxa"/>
          <w:vAlign w:val="bottom"/>
        </w:tcPr>
        <w:p w14:paraId="3FD4B5B8" w14:textId="761D5E1A" w:rsidR="004B2F8E" w:rsidRDefault="002351B5">
          <w:pPr>
            <w:pBdr>
              <w:top w:val="nil"/>
              <w:left w:val="nil"/>
              <w:bottom w:val="nil"/>
              <w:right w:val="nil"/>
              <w:between w:val="nil"/>
            </w:pBdr>
            <w:tabs>
              <w:tab w:val="center" w:pos="4680"/>
              <w:tab w:val="right" w:pos="9360"/>
            </w:tabs>
            <w:rPr>
              <w:i/>
              <w:color w:val="595959"/>
            </w:rPr>
          </w:pPr>
          <w:r>
            <w:rPr>
              <w:i/>
              <w:color w:val="595959"/>
            </w:rPr>
            <w:t>8 June</w:t>
          </w:r>
          <w:r w:rsidR="00BF0541">
            <w:rPr>
              <w:i/>
              <w:color w:val="595959"/>
            </w:rPr>
            <w:t xml:space="preserve"> 2021</w:t>
          </w:r>
        </w:p>
      </w:tc>
      <w:tc>
        <w:tcPr>
          <w:tcW w:w="4675" w:type="dxa"/>
          <w:vAlign w:val="bottom"/>
        </w:tcPr>
        <w:p w14:paraId="5E4C29C9" w14:textId="77777777" w:rsidR="004B2F8E" w:rsidRDefault="00BF0541">
          <w:pPr>
            <w:pBdr>
              <w:top w:val="nil"/>
              <w:left w:val="nil"/>
              <w:bottom w:val="nil"/>
              <w:right w:val="nil"/>
              <w:between w:val="nil"/>
            </w:pBdr>
            <w:tabs>
              <w:tab w:val="center" w:pos="4680"/>
              <w:tab w:val="right" w:pos="9360"/>
            </w:tabs>
            <w:jc w:val="right"/>
            <w:rPr>
              <w:b/>
              <w:color w:val="000000"/>
            </w:rPr>
          </w:pPr>
          <w:r>
            <w:rPr>
              <w:b/>
              <w:noProof/>
              <w:color w:val="000000"/>
            </w:rPr>
            <w:drawing>
              <wp:inline distT="0" distB="0" distL="0" distR="0" wp14:anchorId="5E0FA233" wp14:editId="18CE6BDA">
                <wp:extent cx="666750" cy="666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666750"/>
                        </a:xfrm>
                        <a:prstGeom prst="rect">
                          <a:avLst/>
                        </a:prstGeom>
                        <a:ln/>
                      </pic:spPr>
                    </pic:pic>
                  </a:graphicData>
                </a:graphic>
              </wp:inline>
            </w:drawing>
          </w:r>
        </w:p>
      </w:tc>
    </w:tr>
  </w:tbl>
  <w:p w14:paraId="37A21BF6" w14:textId="77777777" w:rsidR="004B2F8E" w:rsidRDefault="004B2F8E">
    <w:pPr>
      <w:pBdr>
        <w:top w:val="nil"/>
        <w:left w:val="nil"/>
        <w:bottom w:val="nil"/>
        <w:right w:val="nil"/>
        <w:between w:val="nil"/>
      </w:pBdr>
      <w:tabs>
        <w:tab w:val="center" w:pos="4680"/>
        <w:tab w:val="right" w:pos="9360"/>
      </w:tabs>
      <w:spacing w:after="0" w:line="240" w:lineRule="auto"/>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EAB"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8E"/>
    <w:rsid w:val="00001861"/>
    <w:rsid w:val="00047FCB"/>
    <w:rsid w:val="000526A9"/>
    <w:rsid w:val="000727F0"/>
    <w:rsid w:val="000A3EE5"/>
    <w:rsid w:val="000B607C"/>
    <w:rsid w:val="000C25D0"/>
    <w:rsid w:val="001274DB"/>
    <w:rsid w:val="00132C26"/>
    <w:rsid w:val="001348CF"/>
    <w:rsid w:val="001373B0"/>
    <w:rsid w:val="00141873"/>
    <w:rsid w:val="0014433D"/>
    <w:rsid w:val="001A5A1A"/>
    <w:rsid w:val="001D7435"/>
    <w:rsid w:val="001F3A49"/>
    <w:rsid w:val="00211DFD"/>
    <w:rsid w:val="00215CB8"/>
    <w:rsid w:val="002309A6"/>
    <w:rsid w:val="002351B5"/>
    <w:rsid w:val="00236015"/>
    <w:rsid w:val="002752E7"/>
    <w:rsid w:val="002B1C01"/>
    <w:rsid w:val="002D183E"/>
    <w:rsid w:val="002F2C49"/>
    <w:rsid w:val="0034359A"/>
    <w:rsid w:val="00376BFA"/>
    <w:rsid w:val="0038722A"/>
    <w:rsid w:val="003B7BD1"/>
    <w:rsid w:val="004068E1"/>
    <w:rsid w:val="0041262C"/>
    <w:rsid w:val="00482473"/>
    <w:rsid w:val="004B2F8E"/>
    <w:rsid w:val="004C4BB5"/>
    <w:rsid w:val="004D0AA7"/>
    <w:rsid w:val="004D346D"/>
    <w:rsid w:val="004E1A9E"/>
    <w:rsid w:val="004F7E0D"/>
    <w:rsid w:val="0054019D"/>
    <w:rsid w:val="00555B09"/>
    <w:rsid w:val="005659EA"/>
    <w:rsid w:val="00580F92"/>
    <w:rsid w:val="00590EC5"/>
    <w:rsid w:val="005C6F18"/>
    <w:rsid w:val="00612D10"/>
    <w:rsid w:val="0063562F"/>
    <w:rsid w:val="00646D4D"/>
    <w:rsid w:val="00684B7A"/>
    <w:rsid w:val="00694AF4"/>
    <w:rsid w:val="00695581"/>
    <w:rsid w:val="006B14C1"/>
    <w:rsid w:val="00727D15"/>
    <w:rsid w:val="00741F2B"/>
    <w:rsid w:val="00772B11"/>
    <w:rsid w:val="007750E6"/>
    <w:rsid w:val="007822B4"/>
    <w:rsid w:val="00787419"/>
    <w:rsid w:val="00787A5E"/>
    <w:rsid w:val="007C0E3F"/>
    <w:rsid w:val="00850B3A"/>
    <w:rsid w:val="0088587A"/>
    <w:rsid w:val="008C2957"/>
    <w:rsid w:val="008D6147"/>
    <w:rsid w:val="009229C5"/>
    <w:rsid w:val="0097546E"/>
    <w:rsid w:val="00A02D9E"/>
    <w:rsid w:val="00A06D09"/>
    <w:rsid w:val="00A17765"/>
    <w:rsid w:val="00A572A5"/>
    <w:rsid w:val="00AA0933"/>
    <w:rsid w:val="00AB45B7"/>
    <w:rsid w:val="00AC0852"/>
    <w:rsid w:val="00AC41E7"/>
    <w:rsid w:val="00AE2B0B"/>
    <w:rsid w:val="00AE3B62"/>
    <w:rsid w:val="00AF1629"/>
    <w:rsid w:val="00AF3952"/>
    <w:rsid w:val="00B0534C"/>
    <w:rsid w:val="00B5034A"/>
    <w:rsid w:val="00B55890"/>
    <w:rsid w:val="00B6555C"/>
    <w:rsid w:val="00B806B4"/>
    <w:rsid w:val="00BA12CD"/>
    <w:rsid w:val="00BE3DC5"/>
    <w:rsid w:val="00BF0541"/>
    <w:rsid w:val="00C03DB0"/>
    <w:rsid w:val="00C07864"/>
    <w:rsid w:val="00C64940"/>
    <w:rsid w:val="00CB4BCF"/>
    <w:rsid w:val="00CC0360"/>
    <w:rsid w:val="00D10ACB"/>
    <w:rsid w:val="00D219A1"/>
    <w:rsid w:val="00D377C5"/>
    <w:rsid w:val="00D96734"/>
    <w:rsid w:val="00DE2261"/>
    <w:rsid w:val="00DE7659"/>
    <w:rsid w:val="00DF569F"/>
    <w:rsid w:val="00E06700"/>
    <w:rsid w:val="00E2607E"/>
    <w:rsid w:val="00E4269E"/>
    <w:rsid w:val="00E46B2B"/>
    <w:rsid w:val="00E603D3"/>
    <w:rsid w:val="00E632A8"/>
    <w:rsid w:val="00EC2F20"/>
    <w:rsid w:val="00EC4946"/>
    <w:rsid w:val="00EE34E6"/>
    <w:rsid w:val="00F41915"/>
    <w:rsid w:val="00F607CA"/>
    <w:rsid w:val="00F7415A"/>
    <w:rsid w:val="00F826EA"/>
    <w:rsid w:val="00F91975"/>
    <w:rsid w:val="00FC4168"/>
    <w:rsid w:val="00FE613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FB4"/>
  <w15:docId w15:val="{35F81A99-5BE6-447B-A30D-C5605E1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bottom w:w="284" w:type="dxa"/>
      </w:tblCellMar>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EA"/>
    <w:rPr>
      <w:rFonts w:ascii="Segoe UI" w:hAnsi="Segoe UI" w:cs="Segoe UI"/>
      <w:sz w:val="18"/>
      <w:szCs w:val="18"/>
    </w:rPr>
  </w:style>
  <w:style w:type="character" w:styleId="CommentReference">
    <w:name w:val="annotation reference"/>
    <w:basedOn w:val="DefaultParagraphFont"/>
    <w:uiPriority w:val="99"/>
    <w:semiHidden/>
    <w:unhideWhenUsed/>
    <w:rsid w:val="005659EA"/>
    <w:rPr>
      <w:sz w:val="16"/>
      <w:szCs w:val="16"/>
    </w:rPr>
  </w:style>
  <w:style w:type="paragraph" w:styleId="CommentText">
    <w:name w:val="annotation text"/>
    <w:basedOn w:val="Normal"/>
    <w:link w:val="CommentTextChar"/>
    <w:uiPriority w:val="99"/>
    <w:semiHidden/>
    <w:unhideWhenUsed/>
    <w:rsid w:val="005659EA"/>
    <w:pPr>
      <w:spacing w:line="240" w:lineRule="auto"/>
    </w:pPr>
    <w:rPr>
      <w:sz w:val="20"/>
      <w:szCs w:val="20"/>
    </w:rPr>
  </w:style>
  <w:style w:type="character" w:customStyle="1" w:styleId="CommentTextChar">
    <w:name w:val="Comment Text Char"/>
    <w:basedOn w:val="DefaultParagraphFont"/>
    <w:link w:val="CommentText"/>
    <w:uiPriority w:val="99"/>
    <w:semiHidden/>
    <w:rsid w:val="005659EA"/>
    <w:rPr>
      <w:sz w:val="20"/>
      <w:szCs w:val="20"/>
    </w:rPr>
  </w:style>
  <w:style w:type="paragraph" w:styleId="CommentSubject">
    <w:name w:val="annotation subject"/>
    <w:basedOn w:val="CommentText"/>
    <w:next w:val="CommentText"/>
    <w:link w:val="CommentSubjectChar"/>
    <w:uiPriority w:val="99"/>
    <w:semiHidden/>
    <w:unhideWhenUsed/>
    <w:rsid w:val="005659EA"/>
    <w:rPr>
      <w:b/>
      <w:bCs/>
    </w:rPr>
  </w:style>
  <w:style w:type="character" w:customStyle="1" w:styleId="CommentSubjectChar">
    <w:name w:val="Comment Subject Char"/>
    <w:basedOn w:val="CommentTextChar"/>
    <w:link w:val="CommentSubject"/>
    <w:uiPriority w:val="99"/>
    <w:semiHidden/>
    <w:rsid w:val="005659EA"/>
    <w:rPr>
      <w:b/>
      <w:bCs/>
      <w:sz w:val="20"/>
      <w:szCs w:val="20"/>
    </w:rPr>
  </w:style>
  <w:style w:type="table" w:styleId="TableGrid">
    <w:name w:val="Table Grid"/>
    <w:basedOn w:val="TableNormal"/>
    <w:uiPriority w:val="39"/>
    <w:rsid w:val="004F7E0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7E0D"/>
    <w:pPr>
      <w:tabs>
        <w:tab w:val="center" w:pos="4680"/>
        <w:tab w:val="right" w:pos="9360"/>
      </w:tabs>
      <w:spacing w:after="0" w:line="240" w:lineRule="auto"/>
    </w:pPr>
    <w:rPr>
      <w:rFonts w:ascii="Calibri Light" w:eastAsiaTheme="minorHAnsi" w:hAnsi="Calibri Light" w:cstheme="minorBidi"/>
      <w:lang w:eastAsia="en-US"/>
    </w:rPr>
  </w:style>
  <w:style w:type="character" w:customStyle="1" w:styleId="HeaderChar">
    <w:name w:val="Header Char"/>
    <w:basedOn w:val="DefaultParagraphFont"/>
    <w:link w:val="Header"/>
    <w:rsid w:val="004F7E0D"/>
    <w:rPr>
      <w:rFonts w:ascii="Calibri Light" w:eastAsiaTheme="minorHAnsi" w:hAnsi="Calibri Light" w:cstheme="minorBidi"/>
      <w:lang w:eastAsia="en-US"/>
    </w:rPr>
  </w:style>
  <w:style w:type="character" w:styleId="Hyperlink">
    <w:name w:val="Hyperlink"/>
    <w:basedOn w:val="DefaultParagraphFont"/>
    <w:uiPriority w:val="99"/>
    <w:unhideWhenUsed/>
    <w:rsid w:val="00236015"/>
    <w:rPr>
      <w:color w:val="0000FF" w:themeColor="hyperlink"/>
      <w:u w:val="single"/>
    </w:rPr>
  </w:style>
  <w:style w:type="character" w:styleId="UnresolvedMention">
    <w:name w:val="Unresolved Mention"/>
    <w:basedOn w:val="DefaultParagraphFont"/>
    <w:uiPriority w:val="99"/>
    <w:semiHidden/>
    <w:unhideWhenUsed/>
    <w:rsid w:val="00236015"/>
    <w:rPr>
      <w:color w:val="605E5C"/>
      <w:shd w:val="clear" w:color="auto" w:fill="E1DFDD"/>
    </w:rPr>
  </w:style>
  <w:style w:type="paragraph" w:styleId="NoSpacing">
    <w:name w:val="No Spacing"/>
    <w:uiPriority w:val="1"/>
    <w:qFormat/>
    <w:rsid w:val="0041262C"/>
    <w:pPr>
      <w:spacing w:after="0" w:line="240" w:lineRule="auto"/>
    </w:pPr>
    <w:rPr>
      <w:rFonts w:ascii="Calibri Light" w:eastAsiaTheme="minorHAnsi" w:hAnsi="Calibri Light"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els.juncker@bunkermetric.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thilde.magnussen@kdi.kongs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gsberg.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ongsbergdigita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pugh@saltwater-stone.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DFD28-7988-49B7-A5AE-F60ABB3B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20275-8339-439F-8CFE-AAE751AB6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48AF4-27D7-4415-978F-A93D43AF3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namath k</dc:creator>
  <cp:lastModifiedBy>David Pugh</cp:lastModifiedBy>
  <cp:revision>78</cp:revision>
  <cp:lastPrinted>2021-06-04T10:38:00Z</cp:lastPrinted>
  <dcterms:created xsi:type="dcterms:W3CDTF">2021-06-03T13:35:00Z</dcterms:created>
  <dcterms:modified xsi:type="dcterms:W3CDTF">2021-06-04T10:38:00Z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