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3C7" w:rsidRPr="007433C7" w:rsidRDefault="007433C7" w:rsidP="007433C7">
      <w:pPr>
        <w:pStyle w:val="Default"/>
        <w:spacing w:line="240" w:lineRule="atLeast"/>
        <w:rPr>
          <w:b/>
          <w:bCs/>
          <w:color w:val="000000" w:themeColor="text1"/>
          <w:sz w:val="22"/>
          <w:szCs w:val="22"/>
          <w:u w:val="single"/>
        </w:rPr>
      </w:pPr>
      <w:r>
        <w:rPr>
          <w:b/>
          <w:bCs/>
          <w:color w:val="000000" w:themeColor="text1"/>
          <w:sz w:val="22"/>
          <w:szCs w:val="22"/>
          <w:u w:val="single"/>
        </w:rPr>
        <w:t xml:space="preserve">DEURAG: zufriedenstellendes </w:t>
      </w:r>
      <w:r w:rsidRPr="007433C7">
        <w:rPr>
          <w:b/>
          <w:bCs/>
          <w:color w:val="000000" w:themeColor="text1"/>
          <w:sz w:val="22"/>
          <w:szCs w:val="22"/>
          <w:u w:val="single"/>
        </w:rPr>
        <w:t xml:space="preserve">Geschäftsjahr 2017 </w:t>
      </w:r>
    </w:p>
    <w:p w:rsidR="007433C7" w:rsidRPr="007433C7" w:rsidRDefault="007433C7" w:rsidP="007433C7">
      <w:pPr>
        <w:pStyle w:val="Default"/>
        <w:spacing w:line="240" w:lineRule="atLeast"/>
        <w:rPr>
          <w:b/>
          <w:bCs/>
          <w:color w:val="000000" w:themeColor="text1"/>
          <w:sz w:val="28"/>
          <w:szCs w:val="28"/>
        </w:rPr>
      </w:pPr>
      <w:r w:rsidRPr="007433C7">
        <w:rPr>
          <w:b/>
          <w:bCs/>
          <w:color w:val="000000" w:themeColor="text1"/>
          <w:sz w:val="28"/>
          <w:szCs w:val="28"/>
        </w:rPr>
        <w:t>Maßnahmen zur nachhaltigen Senkung der Combined Ratio greifen</w:t>
      </w:r>
    </w:p>
    <w:p w:rsidR="007433C7" w:rsidRPr="007433C7" w:rsidRDefault="007433C7" w:rsidP="007433C7">
      <w:pPr>
        <w:pStyle w:val="Default"/>
        <w:spacing w:line="240" w:lineRule="atLeast"/>
        <w:rPr>
          <w:color w:val="808080" w:themeColor="background1" w:themeShade="80"/>
          <w:sz w:val="22"/>
          <w:szCs w:val="22"/>
        </w:rPr>
      </w:pPr>
    </w:p>
    <w:p w:rsidR="007433C7" w:rsidRPr="007433C7" w:rsidRDefault="007433C7" w:rsidP="007433C7">
      <w:pPr>
        <w:spacing w:after="0" w:line="240" w:lineRule="atLeast"/>
        <w:jc w:val="left"/>
        <w:rPr>
          <w:rFonts w:cs="Arial"/>
          <w:b/>
          <w:bCs/>
          <w:color w:val="000000"/>
          <w:sz w:val="22"/>
          <w:szCs w:val="22"/>
          <w:lang w:eastAsia="de-DE"/>
        </w:rPr>
      </w:pPr>
      <w:r w:rsidRPr="007433C7">
        <w:rPr>
          <w:rFonts w:cs="Arial"/>
          <w:b/>
          <w:bCs/>
          <w:color w:val="000000"/>
          <w:sz w:val="22"/>
          <w:szCs w:val="22"/>
          <w:lang w:eastAsia="de-DE"/>
        </w:rPr>
        <w:t>(Juli</w:t>
      </w:r>
      <w:r w:rsidR="00EA659D">
        <w:rPr>
          <w:rFonts w:cs="Arial"/>
          <w:b/>
          <w:bCs/>
          <w:color w:val="000000"/>
          <w:sz w:val="22"/>
          <w:szCs w:val="22"/>
          <w:lang w:eastAsia="de-DE"/>
        </w:rPr>
        <w:t>/August</w:t>
      </w:r>
      <w:bookmarkStart w:id="0" w:name="_GoBack"/>
      <w:bookmarkEnd w:id="0"/>
      <w:r w:rsidRPr="007433C7">
        <w:rPr>
          <w:rFonts w:cs="Arial"/>
          <w:b/>
          <w:bCs/>
          <w:color w:val="000000"/>
          <w:sz w:val="22"/>
          <w:szCs w:val="22"/>
          <w:lang w:eastAsia="de-DE"/>
        </w:rPr>
        <w:t xml:space="preserve"> 2018) Die DEURAG Deutsche Rechtsschutz-Versicherung AG, Wiesbaden, eine Konzerntochter der SIGNAL IDUNA Gruppe, blickt nach dem erfolgreichen Abschluss ihres Restrukturierungsprogramms auf ein zufriedenstellendes Geschäftsjahr mit einem Jahresüberschuss in Höhe von 1,8 Millionen Euro zurück.</w:t>
      </w:r>
    </w:p>
    <w:p w:rsidR="007433C7" w:rsidRPr="007433C7" w:rsidRDefault="007433C7" w:rsidP="007433C7">
      <w:pPr>
        <w:spacing w:after="0" w:line="240" w:lineRule="atLeast"/>
        <w:jc w:val="left"/>
        <w:rPr>
          <w:rFonts w:cs="Arial"/>
          <w:b/>
          <w:bCs/>
          <w:color w:val="000000"/>
          <w:sz w:val="22"/>
          <w:szCs w:val="22"/>
          <w:lang w:eastAsia="de-DE"/>
        </w:rPr>
      </w:pPr>
    </w:p>
    <w:p w:rsidR="007433C7" w:rsidRPr="007433C7" w:rsidRDefault="007433C7" w:rsidP="007433C7">
      <w:pPr>
        <w:spacing w:after="0" w:line="240" w:lineRule="atLeast"/>
        <w:jc w:val="left"/>
        <w:rPr>
          <w:sz w:val="22"/>
          <w:szCs w:val="22"/>
        </w:rPr>
      </w:pPr>
      <w:r w:rsidRPr="007433C7">
        <w:rPr>
          <w:sz w:val="22"/>
          <w:szCs w:val="22"/>
        </w:rPr>
        <w:t xml:space="preserve">Eine Vielzahl der in 2016 eingeleiteten Maßnahmen zur Senkung der Combined Ratio (Schaden-Kosten-Quote) zeigen bereits im Geschäftsjahr 2017 Erfolge. So konnte 2017 eine Combined Ratio von 104,5 Prozent erreicht </w:t>
      </w:r>
      <w:r>
        <w:rPr>
          <w:sz w:val="22"/>
          <w:szCs w:val="22"/>
        </w:rPr>
        <w:t>und</w:t>
      </w:r>
      <w:r w:rsidRPr="007433C7">
        <w:rPr>
          <w:sz w:val="22"/>
          <w:szCs w:val="22"/>
        </w:rPr>
        <w:t xml:space="preserve"> damit der angestrebte Wert von 104,8 Prozent leicht übertroffen</w:t>
      </w:r>
      <w:r>
        <w:rPr>
          <w:sz w:val="22"/>
          <w:szCs w:val="22"/>
        </w:rPr>
        <w:t xml:space="preserve"> werden</w:t>
      </w:r>
      <w:r w:rsidRPr="007433C7">
        <w:rPr>
          <w:sz w:val="22"/>
          <w:szCs w:val="22"/>
        </w:rPr>
        <w:t xml:space="preserve">. </w:t>
      </w:r>
    </w:p>
    <w:p w:rsidR="007433C7" w:rsidRPr="007433C7" w:rsidRDefault="007433C7" w:rsidP="007433C7">
      <w:pPr>
        <w:spacing w:after="0" w:line="240" w:lineRule="atLeast"/>
        <w:jc w:val="left"/>
        <w:rPr>
          <w:sz w:val="22"/>
          <w:szCs w:val="22"/>
        </w:rPr>
      </w:pPr>
    </w:p>
    <w:p w:rsidR="007433C7" w:rsidRPr="007433C7" w:rsidRDefault="007433C7" w:rsidP="007433C7">
      <w:pPr>
        <w:spacing w:after="0" w:line="240" w:lineRule="atLeast"/>
        <w:jc w:val="left"/>
        <w:rPr>
          <w:sz w:val="22"/>
          <w:szCs w:val="22"/>
        </w:rPr>
      </w:pPr>
      <w:r w:rsidRPr="007433C7">
        <w:rPr>
          <w:sz w:val="22"/>
          <w:szCs w:val="22"/>
        </w:rPr>
        <w:t xml:space="preserve">Flankiert wurden diese Maßnahmen von einem stringenteren Bestandsmanagement. Die Anzahl der Versicherungsverträge ging insofern von 1.218.523 Stück im Vorjahr um 1,5 </w:t>
      </w:r>
      <w:r>
        <w:rPr>
          <w:sz w:val="22"/>
          <w:szCs w:val="22"/>
        </w:rPr>
        <w:t>Prozent</w:t>
      </w:r>
      <w:r w:rsidRPr="007433C7">
        <w:rPr>
          <w:sz w:val="22"/>
          <w:szCs w:val="22"/>
        </w:rPr>
        <w:t xml:space="preserve"> auf 1.200.354 Stück leicht zurück. Ihre Bruttobeitragseinnahmen konnte die DEURAG im Geschäftsjahr 2017 dennoch um 0,7 </w:t>
      </w:r>
      <w:r>
        <w:rPr>
          <w:sz w:val="22"/>
          <w:szCs w:val="22"/>
        </w:rPr>
        <w:t>Prozent</w:t>
      </w:r>
      <w:r w:rsidRPr="007433C7">
        <w:rPr>
          <w:sz w:val="22"/>
          <w:szCs w:val="22"/>
        </w:rPr>
        <w:t xml:space="preserve"> (Vorjahr 5,1 </w:t>
      </w:r>
      <w:r>
        <w:rPr>
          <w:sz w:val="22"/>
          <w:szCs w:val="22"/>
        </w:rPr>
        <w:t>Prozent</w:t>
      </w:r>
      <w:r w:rsidRPr="007433C7">
        <w:rPr>
          <w:sz w:val="22"/>
          <w:szCs w:val="22"/>
        </w:rPr>
        <w:t>) auf 175,8 Millionen Euro steigern.</w:t>
      </w:r>
    </w:p>
    <w:p w:rsidR="007433C7" w:rsidRPr="007433C7" w:rsidRDefault="007433C7" w:rsidP="007433C7">
      <w:pPr>
        <w:pStyle w:val="Pa2"/>
        <w:spacing w:line="240" w:lineRule="atLeast"/>
        <w:rPr>
          <w:rFonts w:ascii="Arial" w:hAnsi="Arial"/>
          <w:b/>
          <w:sz w:val="22"/>
          <w:szCs w:val="22"/>
          <w:lang w:eastAsia="en-US"/>
        </w:rPr>
      </w:pPr>
    </w:p>
    <w:p w:rsidR="007433C7" w:rsidRPr="007433C7" w:rsidRDefault="007433C7" w:rsidP="007433C7">
      <w:pPr>
        <w:pStyle w:val="Pa2"/>
        <w:spacing w:line="240" w:lineRule="atLeast"/>
        <w:rPr>
          <w:rFonts w:ascii="Arial" w:hAnsi="Arial"/>
          <w:b/>
          <w:sz w:val="22"/>
          <w:szCs w:val="22"/>
          <w:lang w:eastAsia="en-US"/>
        </w:rPr>
      </w:pPr>
      <w:r w:rsidRPr="007433C7">
        <w:rPr>
          <w:rFonts w:ascii="Arial" w:hAnsi="Arial"/>
          <w:b/>
          <w:sz w:val="22"/>
          <w:szCs w:val="22"/>
          <w:lang w:eastAsia="en-US"/>
        </w:rPr>
        <w:t>Rückgang der Aufwendungen für Versicherungsfälle</w:t>
      </w:r>
    </w:p>
    <w:p w:rsidR="007433C7" w:rsidRPr="007433C7" w:rsidRDefault="007433C7" w:rsidP="007433C7">
      <w:pPr>
        <w:pStyle w:val="Pa2"/>
        <w:spacing w:line="240" w:lineRule="atLeast"/>
        <w:rPr>
          <w:sz w:val="22"/>
          <w:szCs w:val="22"/>
          <w:lang w:eastAsia="en-US"/>
        </w:rPr>
      </w:pPr>
      <w:r w:rsidRPr="007433C7">
        <w:rPr>
          <w:rFonts w:ascii="Arial" w:hAnsi="Arial"/>
          <w:sz w:val="22"/>
          <w:szCs w:val="22"/>
          <w:lang w:eastAsia="en-US"/>
        </w:rPr>
        <w:t xml:space="preserve">Im Geschäftsjahr 2017 hat sich die Anzahl der Schadenmeldungen mit 201.622 Schäden gegenüber dem Vorjahr um 4,8 </w:t>
      </w:r>
      <w:r>
        <w:rPr>
          <w:rFonts w:ascii="Arial" w:hAnsi="Arial"/>
          <w:sz w:val="22"/>
          <w:szCs w:val="22"/>
          <w:lang w:eastAsia="en-US"/>
        </w:rPr>
        <w:t>Prozent</w:t>
      </w:r>
      <w:r w:rsidRPr="007433C7">
        <w:rPr>
          <w:rFonts w:ascii="Arial" w:hAnsi="Arial"/>
          <w:sz w:val="22"/>
          <w:szCs w:val="22"/>
          <w:lang w:eastAsia="en-US"/>
        </w:rPr>
        <w:t xml:space="preserve"> deutlich verringert. </w:t>
      </w:r>
      <w:r>
        <w:rPr>
          <w:sz w:val="22"/>
          <w:szCs w:val="22"/>
          <w:lang w:eastAsia="en-US"/>
        </w:rPr>
        <w:t>Daher sinken die</w:t>
      </w:r>
      <w:r w:rsidRPr="007433C7">
        <w:rPr>
          <w:sz w:val="22"/>
          <w:szCs w:val="22"/>
          <w:lang w:eastAsia="en-US"/>
        </w:rPr>
        <w:t xml:space="preserve"> Brutto-Schadenzahlungen einschließlich der </w:t>
      </w:r>
      <w:r>
        <w:rPr>
          <w:sz w:val="22"/>
          <w:szCs w:val="22"/>
          <w:lang w:eastAsia="en-US"/>
        </w:rPr>
        <w:t>Scha</w:t>
      </w:r>
      <w:r w:rsidRPr="007433C7">
        <w:rPr>
          <w:sz w:val="22"/>
          <w:szCs w:val="22"/>
          <w:lang w:eastAsia="en-US"/>
        </w:rPr>
        <w:t xml:space="preserve">denregulierungskosten </w:t>
      </w:r>
      <w:r>
        <w:rPr>
          <w:sz w:val="22"/>
          <w:szCs w:val="22"/>
          <w:lang w:eastAsia="en-US"/>
        </w:rPr>
        <w:t>auf</w:t>
      </w:r>
      <w:r w:rsidRPr="007433C7">
        <w:rPr>
          <w:sz w:val="22"/>
          <w:szCs w:val="22"/>
          <w:lang w:eastAsia="en-US"/>
        </w:rPr>
        <w:t xml:space="preserve"> 127,1 </w:t>
      </w:r>
      <w:r w:rsidRPr="007433C7">
        <w:rPr>
          <w:sz w:val="22"/>
          <w:szCs w:val="22"/>
        </w:rPr>
        <w:t>Millionen Euro</w:t>
      </w:r>
      <w:r w:rsidRPr="007433C7">
        <w:rPr>
          <w:sz w:val="22"/>
          <w:szCs w:val="22"/>
          <w:lang w:eastAsia="en-US"/>
        </w:rPr>
        <w:t xml:space="preserve"> und liegen damit gegenüber dem Vorjahr um 5,4 Millionen Euro niedriger. </w:t>
      </w:r>
    </w:p>
    <w:p w:rsidR="007433C7" w:rsidRPr="007433C7" w:rsidRDefault="007433C7" w:rsidP="007433C7">
      <w:pPr>
        <w:pStyle w:val="Default"/>
        <w:spacing w:line="240" w:lineRule="atLeast"/>
        <w:rPr>
          <w:rFonts w:cs="Meta Offc"/>
          <w:color w:val="auto"/>
          <w:sz w:val="22"/>
          <w:szCs w:val="22"/>
        </w:rPr>
      </w:pPr>
    </w:p>
    <w:p w:rsidR="007433C7" w:rsidRPr="007433C7" w:rsidRDefault="007433C7" w:rsidP="007433C7">
      <w:pPr>
        <w:pStyle w:val="Default"/>
        <w:spacing w:line="240" w:lineRule="atLeast"/>
        <w:rPr>
          <w:rFonts w:cs="Times New Roman"/>
          <w:color w:val="auto"/>
          <w:sz w:val="22"/>
          <w:szCs w:val="22"/>
          <w:lang w:eastAsia="en-US"/>
        </w:rPr>
      </w:pPr>
      <w:r w:rsidRPr="007433C7">
        <w:rPr>
          <w:rFonts w:cs="Times New Roman"/>
          <w:color w:val="auto"/>
          <w:sz w:val="22"/>
          <w:szCs w:val="22"/>
          <w:lang w:eastAsia="en-US"/>
        </w:rPr>
        <w:t>Insgesamt betragen die Aufwendungen für Versicherungsfälle 133,1 Millionen Euro (Vorjahr 134,2 Millionen</w:t>
      </w:r>
      <w:r>
        <w:rPr>
          <w:rFonts w:cs="Times New Roman"/>
          <w:color w:val="auto"/>
          <w:sz w:val="22"/>
          <w:szCs w:val="22"/>
          <w:lang w:eastAsia="en-US"/>
        </w:rPr>
        <w:t xml:space="preserve"> </w:t>
      </w:r>
      <w:r w:rsidRPr="007433C7">
        <w:rPr>
          <w:rFonts w:cs="Times New Roman"/>
          <w:color w:val="auto"/>
          <w:sz w:val="22"/>
          <w:szCs w:val="22"/>
          <w:lang w:eastAsia="en-US"/>
        </w:rPr>
        <w:t xml:space="preserve">Euro). Die bilanzielle Schadenquote verringerte sich um 1,7 </w:t>
      </w:r>
      <w:r>
        <w:rPr>
          <w:rFonts w:cs="Times New Roman"/>
          <w:color w:val="auto"/>
          <w:sz w:val="22"/>
          <w:szCs w:val="22"/>
          <w:lang w:eastAsia="en-US"/>
        </w:rPr>
        <w:t>Prozent</w:t>
      </w:r>
      <w:r w:rsidRPr="007433C7">
        <w:rPr>
          <w:rFonts w:cs="Times New Roman"/>
          <w:color w:val="auto"/>
          <w:sz w:val="22"/>
          <w:szCs w:val="22"/>
          <w:lang w:eastAsia="en-US"/>
        </w:rPr>
        <w:t xml:space="preserve">-Punkte auf 75,7 </w:t>
      </w:r>
      <w:r>
        <w:rPr>
          <w:rFonts w:cs="Times New Roman"/>
          <w:color w:val="auto"/>
          <w:sz w:val="22"/>
          <w:szCs w:val="22"/>
          <w:lang w:eastAsia="en-US"/>
        </w:rPr>
        <w:t>Prozent</w:t>
      </w:r>
      <w:r w:rsidRPr="007433C7">
        <w:rPr>
          <w:rFonts w:cs="Times New Roman"/>
          <w:color w:val="auto"/>
          <w:sz w:val="22"/>
          <w:szCs w:val="22"/>
          <w:lang w:eastAsia="en-US"/>
        </w:rPr>
        <w:t xml:space="preserve"> (Vorjahr 77,4 </w:t>
      </w:r>
      <w:r>
        <w:rPr>
          <w:rFonts w:cs="Times New Roman"/>
          <w:color w:val="auto"/>
          <w:sz w:val="22"/>
          <w:szCs w:val="22"/>
          <w:lang w:eastAsia="en-US"/>
        </w:rPr>
        <w:t>Prozent</w:t>
      </w:r>
      <w:r w:rsidRPr="007433C7">
        <w:rPr>
          <w:rFonts w:cs="Times New Roman"/>
          <w:color w:val="auto"/>
          <w:sz w:val="22"/>
          <w:szCs w:val="22"/>
          <w:lang w:eastAsia="en-US"/>
        </w:rPr>
        <w:t>).</w:t>
      </w:r>
    </w:p>
    <w:p w:rsidR="007433C7" w:rsidRPr="007433C7" w:rsidRDefault="007433C7" w:rsidP="007433C7">
      <w:pPr>
        <w:spacing w:after="0" w:line="240" w:lineRule="atLeast"/>
        <w:jc w:val="left"/>
        <w:rPr>
          <w:b/>
          <w:sz w:val="22"/>
          <w:szCs w:val="22"/>
        </w:rPr>
      </w:pPr>
    </w:p>
    <w:p w:rsidR="007433C7" w:rsidRPr="007433C7" w:rsidRDefault="007433C7" w:rsidP="007433C7">
      <w:pPr>
        <w:spacing w:after="0" w:line="240" w:lineRule="atLeast"/>
        <w:jc w:val="left"/>
        <w:rPr>
          <w:b/>
          <w:sz w:val="22"/>
          <w:szCs w:val="22"/>
        </w:rPr>
      </w:pPr>
      <w:r w:rsidRPr="007433C7">
        <w:rPr>
          <w:b/>
          <w:sz w:val="22"/>
          <w:szCs w:val="22"/>
        </w:rPr>
        <w:t>Senkung der Kostenquote</w:t>
      </w:r>
    </w:p>
    <w:p w:rsidR="007433C7" w:rsidRPr="000B040A" w:rsidRDefault="000B040A" w:rsidP="000B040A">
      <w:pPr>
        <w:spacing w:after="0" w:line="240" w:lineRule="atLeast"/>
        <w:jc w:val="left"/>
        <w:rPr>
          <w:sz w:val="22"/>
          <w:szCs w:val="22"/>
        </w:rPr>
      </w:pPr>
      <w:r w:rsidRPr="000B040A">
        <w:rPr>
          <w:sz w:val="22"/>
          <w:szCs w:val="22"/>
        </w:rPr>
        <w:t>Zur Entlastung der Aufwendungen für den Versicherungsbetrieb wurden in den vergangenen Jahren Synergien realisiert. Das Kostensenkungsprogramm wurde zum 31.12.2017 erfolgreich abgeschlossen.</w:t>
      </w:r>
    </w:p>
    <w:p w:rsidR="007433C7" w:rsidRPr="007433C7" w:rsidRDefault="007433C7" w:rsidP="007433C7">
      <w:pPr>
        <w:spacing w:after="0" w:line="240" w:lineRule="atLeast"/>
        <w:jc w:val="left"/>
        <w:rPr>
          <w:b/>
          <w:sz w:val="22"/>
          <w:szCs w:val="22"/>
        </w:rPr>
      </w:pPr>
      <w:r w:rsidRPr="007433C7">
        <w:rPr>
          <w:sz w:val="22"/>
          <w:szCs w:val="22"/>
        </w:rPr>
        <w:t xml:space="preserve">Die auf die verdienten Brutto-Beiträge bezogene Kostenquote ist in der Folge gegenüber dem Vorjahr um 2,8 </w:t>
      </w:r>
      <w:r>
        <w:rPr>
          <w:sz w:val="22"/>
          <w:szCs w:val="22"/>
        </w:rPr>
        <w:t>Prozent</w:t>
      </w:r>
      <w:r w:rsidRPr="007433C7">
        <w:rPr>
          <w:sz w:val="22"/>
          <w:szCs w:val="22"/>
        </w:rPr>
        <w:t xml:space="preserve">-Punkte auf 28,8 </w:t>
      </w:r>
      <w:r>
        <w:rPr>
          <w:sz w:val="22"/>
          <w:szCs w:val="22"/>
        </w:rPr>
        <w:t>Prozent</w:t>
      </w:r>
      <w:r w:rsidRPr="007433C7">
        <w:rPr>
          <w:sz w:val="22"/>
          <w:szCs w:val="22"/>
        </w:rPr>
        <w:t xml:space="preserve"> (Vorjahr 31,6 </w:t>
      </w:r>
      <w:r>
        <w:rPr>
          <w:sz w:val="22"/>
          <w:szCs w:val="22"/>
        </w:rPr>
        <w:t>Prozent</w:t>
      </w:r>
      <w:r w:rsidRPr="007433C7">
        <w:rPr>
          <w:sz w:val="22"/>
          <w:szCs w:val="22"/>
        </w:rPr>
        <w:t>) gesunken. Die absoluten Aufwendungen liegen um 4,1 Millionen Euro unter dem Vorjahresbetrag. Dies ist allerdings auch auf einen Rückgang der Provisionsaufwendungen zurückzuführen.</w:t>
      </w:r>
    </w:p>
    <w:p w:rsidR="007433C7" w:rsidRPr="007433C7" w:rsidRDefault="007433C7" w:rsidP="007433C7">
      <w:pPr>
        <w:pStyle w:val="Pa2"/>
        <w:spacing w:line="240" w:lineRule="atLeast"/>
        <w:rPr>
          <w:rFonts w:ascii="Arial" w:hAnsi="Arial"/>
          <w:b/>
          <w:sz w:val="22"/>
          <w:szCs w:val="22"/>
          <w:lang w:eastAsia="en-US"/>
        </w:rPr>
      </w:pPr>
    </w:p>
    <w:p w:rsidR="007433C7" w:rsidRPr="007433C7" w:rsidRDefault="007433C7" w:rsidP="007433C7">
      <w:pPr>
        <w:pStyle w:val="Pa2"/>
        <w:spacing w:line="240" w:lineRule="atLeast"/>
        <w:rPr>
          <w:rFonts w:ascii="Arial" w:hAnsi="Arial"/>
          <w:b/>
          <w:sz w:val="22"/>
          <w:szCs w:val="22"/>
          <w:lang w:eastAsia="en-US"/>
        </w:rPr>
      </w:pPr>
      <w:r w:rsidRPr="007433C7">
        <w:rPr>
          <w:rFonts w:ascii="Arial" w:hAnsi="Arial"/>
          <w:b/>
          <w:sz w:val="22"/>
          <w:szCs w:val="22"/>
          <w:lang w:eastAsia="en-US"/>
        </w:rPr>
        <w:t>Kapitalanlagen</w:t>
      </w:r>
    </w:p>
    <w:p w:rsidR="007433C7" w:rsidRPr="007433C7" w:rsidRDefault="007433C7" w:rsidP="007433C7">
      <w:pPr>
        <w:pStyle w:val="Pa2"/>
        <w:spacing w:line="240" w:lineRule="atLeast"/>
        <w:rPr>
          <w:rFonts w:ascii="Arial" w:hAnsi="Arial"/>
          <w:sz w:val="22"/>
          <w:szCs w:val="22"/>
          <w:lang w:eastAsia="en-US"/>
        </w:rPr>
      </w:pPr>
      <w:r w:rsidRPr="007433C7">
        <w:rPr>
          <w:rFonts w:ascii="Arial" w:hAnsi="Arial"/>
          <w:sz w:val="22"/>
          <w:szCs w:val="22"/>
          <w:lang w:eastAsia="en-US"/>
        </w:rPr>
        <w:t>Im Geschäftsjahr 2017 ist der Kapitalanlagebestand mit 384,3 Millionen Euro gegenüber dem Vorjahr nahezu unverändert geblieben. Das Kapitalanlageergebnis beträgt 11,1 Millionen Euro (Vorjahr 16,3 Millionen Euro). Das geringere Ergebnis ist im Wesentlichen darauf zurückzuführen, dass es im abgelaufenen Geschäftsjahr keine Erträge aus dem Abgang von Kapitalanlagen gab.</w:t>
      </w:r>
    </w:p>
    <w:p w:rsidR="007433C7" w:rsidRPr="007433C7" w:rsidRDefault="007433C7" w:rsidP="007433C7">
      <w:pPr>
        <w:pStyle w:val="Default"/>
        <w:spacing w:line="240" w:lineRule="atLeast"/>
        <w:rPr>
          <w:rFonts w:cs="Times New Roman"/>
          <w:color w:val="auto"/>
          <w:sz w:val="22"/>
          <w:szCs w:val="22"/>
          <w:lang w:eastAsia="en-US"/>
        </w:rPr>
      </w:pPr>
    </w:p>
    <w:p w:rsidR="007433C7" w:rsidRPr="007433C7" w:rsidRDefault="007433C7" w:rsidP="007433C7">
      <w:pPr>
        <w:pStyle w:val="Pa2"/>
        <w:spacing w:line="240" w:lineRule="atLeast"/>
        <w:rPr>
          <w:rFonts w:ascii="Arial" w:hAnsi="Arial"/>
          <w:b/>
          <w:sz w:val="22"/>
          <w:szCs w:val="22"/>
          <w:lang w:eastAsia="en-US"/>
        </w:rPr>
      </w:pPr>
      <w:r w:rsidRPr="007433C7">
        <w:rPr>
          <w:rFonts w:ascii="Arial" w:hAnsi="Arial"/>
          <w:b/>
          <w:sz w:val="22"/>
          <w:szCs w:val="22"/>
          <w:lang w:eastAsia="en-US"/>
        </w:rPr>
        <w:t>Gesamtergebnis</w:t>
      </w:r>
    </w:p>
    <w:p w:rsidR="007433C7" w:rsidRPr="007433C7" w:rsidRDefault="007433C7" w:rsidP="007433C7">
      <w:pPr>
        <w:spacing w:after="0" w:line="240" w:lineRule="atLeast"/>
        <w:jc w:val="left"/>
        <w:rPr>
          <w:sz w:val="22"/>
          <w:szCs w:val="22"/>
        </w:rPr>
      </w:pPr>
      <w:r w:rsidRPr="007433C7">
        <w:rPr>
          <w:sz w:val="22"/>
          <w:szCs w:val="22"/>
        </w:rPr>
        <w:t xml:space="preserve">Nach Abzug der Steuern verzeichnete das Unternehmen einen Jahresüberschuss von </w:t>
      </w:r>
      <w:r w:rsidRPr="007433C7">
        <w:rPr>
          <w:rFonts w:cs="Meta Offc"/>
          <w:sz w:val="22"/>
          <w:szCs w:val="22"/>
        </w:rPr>
        <w:t xml:space="preserve">1,8 </w:t>
      </w:r>
      <w:r w:rsidRPr="007433C7">
        <w:rPr>
          <w:sz w:val="22"/>
          <w:szCs w:val="22"/>
        </w:rPr>
        <w:t>Millionen Euro</w:t>
      </w:r>
      <w:r w:rsidRPr="007433C7">
        <w:rPr>
          <w:rFonts w:cs="Meta Offc"/>
          <w:sz w:val="22"/>
          <w:szCs w:val="22"/>
        </w:rPr>
        <w:t xml:space="preserve"> (Vorjahr 0,1 Millionen Euro).</w:t>
      </w:r>
      <w:r w:rsidRPr="007433C7">
        <w:rPr>
          <w:sz w:val="22"/>
          <w:szCs w:val="22"/>
        </w:rPr>
        <w:t xml:space="preserve"> Der Jahresüberschuss wurde zur weiteren Stärkung des Eigenkapitals in voller Höhe thesauriert.</w:t>
      </w:r>
    </w:p>
    <w:p w:rsidR="00B40726" w:rsidRPr="007433C7" w:rsidRDefault="00B40726" w:rsidP="007433C7">
      <w:pPr>
        <w:spacing w:after="0" w:line="240" w:lineRule="atLeast"/>
        <w:jc w:val="left"/>
        <w:rPr>
          <w:sz w:val="22"/>
          <w:szCs w:val="22"/>
        </w:rPr>
      </w:pPr>
    </w:p>
    <w:sectPr w:rsidR="00B40726" w:rsidRPr="007433C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eta Offc">
    <w:altName w:val="Meta Off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3C7"/>
    <w:rsid w:val="000B040A"/>
    <w:rsid w:val="002964BC"/>
    <w:rsid w:val="007433C7"/>
    <w:rsid w:val="00972BFB"/>
    <w:rsid w:val="00B40726"/>
    <w:rsid w:val="00EA65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3D618B-A2F0-4642-89DC-3383A64C9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433C7"/>
    <w:pPr>
      <w:spacing w:after="240" w:line="276" w:lineRule="auto"/>
      <w:jc w:val="both"/>
    </w:pPr>
    <w:rPr>
      <w:rFonts w:eastAsia="Times New Roman" w:cs="Times New Roman"/>
      <w:szCs w:val="24"/>
    </w:rPr>
  </w:style>
  <w:style w:type="paragraph" w:styleId="berschrift1">
    <w:name w:val="heading 1"/>
    <w:basedOn w:val="Standard"/>
    <w:next w:val="Standard"/>
    <w:link w:val="berschrift1Zchn"/>
    <w:uiPriority w:val="9"/>
    <w:qFormat/>
    <w:rsid w:val="002964BC"/>
    <w:pPr>
      <w:keepNext/>
      <w:keepLines/>
      <w:spacing w:before="240" w:after="0" w:line="240" w:lineRule="auto"/>
      <w:jc w:val="left"/>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after="0" w:line="240" w:lineRule="auto"/>
      <w:jc w:val="left"/>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after="0" w:line="240" w:lineRule="auto"/>
      <w:jc w:val="left"/>
      <w:outlineLvl w:val="2"/>
    </w:pPr>
    <w:rPr>
      <w:rFonts w:eastAsiaTheme="majorEastAsia" w:cstheme="majorBidi"/>
      <w:sz w:val="24"/>
    </w:rPr>
  </w:style>
  <w:style w:type="paragraph" w:styleId="berschrift4">
    <w:name w:val="heading 4"/>
    <w:basedOn w:val="Standard"/>
    <w:next w:val="Standard"/>
    <w:link w:val="berschrift4Zchn"/>
    <w:uiPriority w:val="9"/>
    <w:semiHidden/>
    <w:unhideWhenUsed/>
    <w:qFormat/>
    <w:rsid w:val="002964BC"/>
    <w:pPr>
      <w:keepNext/>
      <w:keepLines/>
      <w:spacing w:before="40" w:after="0" w:line="240" w:lineRule="auto"/>
      <w:jc w:val="left"/>
      <w:outlineLvl w:val="3"/>
    </w:pPr>
    <w:rPr>
      <w:rFonts w:eastAsiaTheme="majorEastAsia" w:cstheme="majorBidi"/>
      <w:i/>
      <w:iCs/>
      <w:szCs w:val="20"/>
    </w:rPr>
  </w:style>
  <w:style w:type="paragraph" w:styleId="berschrift5">
    <w:name w:val="heading 5"/>
    <w:basedOn w:val="Standard"/>
    <w:next w:val="Standard"/>
    <w:link w:val="berschrift5Zchn"/>
    <w:uiPriority w:val="9"/>
    <w:semiHidden/>
    <w:unhideWhenUsed/>
    <w:qFormat/>
    <w:rsid w:val="002964BC"/>
    <w:pPr>
      <w:keepNext/>
      <w:keepLines/>
      <w:spacing w:before="40" w:after="0" w:line="240" w:lineRule="auto"/>
      <w:jc w:val="left"/>
      <w:outlineLvl w:val="4"/>
    </w:pPr>
    <w:rPr>
      <w:rFonts w:eastAsiaTheme="majorEastAsia" w:cstheme="majorBidi"/>
      <w:szCs w:val="20"/>
    </w:rPr>
  </w:style>
  <w:style w:type="paragraph" w:styleId="berschrift6">
    <w:name w:val="heading 6"/>
    <w:basedOn w:val="Standard"/>
    <w:next w:val="Standard"/>
    <w:link w:val="berschrift6Zchn"/>
    <w:uiPriority w:val="9"/>
    <w:semiHidden/>
    <w:unhideWhenUsed/>
    <w:qFormat/>
    <w:rsid w:val="002964BC"/>
    <w:pPr>
      <w:keepNext/>
      <w:keepLines/>
      <w:spacing w:before="40" w:after="0" w:line="240" w:lineRule="auto"/>
      <w:jc w:val="left"/>
      <w:outlineLvl w:val="5"/>
    </w:pPr>
    <w:rPr>
      <w:rFonts w:eastAsiaTheme="majorEastAsia" w:cstheme="majorBidi"/>
      <w:szCs w:val="20"/>
    </w:rPr>
  </w:style>
  <w:style w:type="paragraph" w:styleId="berschrift7">
    <w:name w:val="heading 7"/>
    <w:basedOn w:val="Standard"/>
    <w:next w:val="Standard"/>
    <w:link w:val="berschrift7Zchn"/>
    <w:uiPriority w:val="9"/>
    <w:semiHidden/>
    <w:unhideWhenUsed/>
    <w:qFormat/>
    <w:rsid w:val="002964BC"/>
    <w:pPr>
      <w:keepNext/>
      <w:keepLines/>
      <w:spacing w:before="40" w:after="0" w:line="240" w:lineRule="auto"/>
      <w:jc w:val="left"/>
      <w:outlineLvl w:val="6"/>
    </w:pPr>
    <w:rPr>
      <w:rFonts w:eastAsiaTheme="majorEastAsia" w:cstheme="majorBidi"/>
      <w:i/>
      <w:iCs/>
      <w:szCs w:val="20"/>
    </w:rPr>
  </w:style>
  <w:style w:type="paragraph" w:styleId="berschrift8">
    <w:name w:val="heading 8"/>
    <w:basedOn w:val="Standard"/>
    <w:next w:val="Standard"/>
    <w:link w:val="berschrift8Zchn"/>
    <w:uiPriority w:val="9"/>
    <w:semiHidden/>
    <w:unhideWhenUsed/>
    <w:qFormat/>
    <w:rsid w:val="002964BC"/>
    <w:pPr>
      <w:keepNext/>
      <w:keepLines/>
      <w:spacing w:before="40" w:after="0" w:line="240" w:lineRule="auto"/>
      <w:jc w:val="left"/>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after="0" w:line="240" w:lineRule="auto"/>
      <w:jc w:val="left"/>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pPr>
      <w:spacing w:after="0" w:line="240" w:lineRule="auto"/>
      <w:jc w:val="left"/>
    </w:pPr>
    <w:rPr>
      <w:rFonts w:eastAsiaTheme="minorHAnsi" w:cs="Consolas"/>
      <w:szCs w:val="20"/>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spacing w:after="0" w:line="240" w:lineRule="auto"/>
      <w:ind w:left="200" w:hanging="200"/>
      <w:jc w:val="left"/>
    </w:pPr>
    <w:rPr>
      <w:rFonts w:eastAsiaTheme="minorHAnsi" w:cstheme="minorBidi"/>
      <w:szCs w:val="20"/>
    </w:rPr>
  </w:style>
  <w:style w:type="paragraph" w:styleId="Indexberschrift">
    <w:name w:val="index heading"/>
    <w:basedOn w:val="Standard"/>
    <w:next w:val="Index1"/>
    <w:uiPriority w:val="99"/>
    <w:semiHidden/>
    <w:unhideWhenUsed/>
    <w:rsid w:val="00972BFB"/>
    <w:pPr>
      <w:spacing w:after="0" w:line="240" w:lineRule="auto"/>
      <w:jc w:val="left"/>
    </w:pPr>
    <w:rPr>
      <w:rFonts w:eastAsiaTheme="majorEastAsia" w:cstheme="majorBidi"/>
      <w:b/>
      <w:bCs/>
      <w:szCs w:val="20"/>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left"/>
    </w:pPr>
    <w:rPr>
      <w:rFonts w:eastAsiaTheme="majorEastAsia" w:cstheme="majorBidi"/>
      <w:sz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pPr>
      <w:spacing w:after="0" w:line="240" w:lineRule="auto"/>
      <w:jc w:val="left"/>
    </w:pPr>
    <w:rPr>
      <w:rFonts w:eastAsiaTheme="minorHAnsi"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after="0" w:line="240" w:lineRule="auto"/>
      <w:jc w:val="left"/>
    </w:pPr>
    <w:rPr>
      <w:rFonts w:eastAsiaTheme="majorEastAsia" w:cstheme="majorBidi"/>
      <w:b/>
      <w:bCs/>
      <w:sz w:val="24"/>
    </w:rPr>
  </w:style>
  <w:style w:type="paragraph" w:styleId="Sprechblasentext">
    <w:name w:val="Balloon Text"/>
    <w:basedOn w:val="Standard"/>
    <w:link w:val="SprechblasentextZchn"/>
    <w:uiPriority w:val="99"/>
    <w:semiHidden/>
    <w:unhideWhenUsed/>
    <w:rsid w:val="002964BC"/>
    <w:pPr>
      <w:spacing w:after="0" w:line="240" w:lineRule="auto"/>
      <w:jc w:val="left"/>
    </w:pPr>
    <w:rPr>
      <w:rFonts w:eastAsiaTheme="minorHAnsi"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pPr>
      <w:spacing w:after="0" w:line="240" w:lineRule="auto"/>
      <w:jc w:val="left"/>
    </w:pPr>
    <w:rPr>
      <w:rFonts w:eastAsiaTheme="minorHAnsi"/>
      <w:sz w:val="24"/>
    </w:rPr>
  </w:style>
  <w:style w:type="paragraph" w:styleId="Titel">
    <w:name w:val="Title"/>
    <w:basedOn w:val="Standard"/>
    <w:next w:val="Standard"/>
    <w:link w:val="TitelZchn"/>
    <w:uiPriority w:val="10"/>
    <w:qFormat/>
    <w:rsid w:val="002964BC"/>
    <w:pPr>
      <w:spacing w:after="0" w:line="240" w:lineRule="auto"/>
      <w:contextualSpacing/>
      <w:jc w:val="left"/>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pPr>
      <w:spacing w:after="0" w:line="240" w:lineRule="auto"/>
      <w:jc w:val="left"/>
    </w:pPr>
    <w:rPr>
      <w:rFonts w:eastAsiaTheme="majorEastAsia" w:cstheme="majorBidi"/>
      <w:szCs w:val="20"/>
    </w:rPr>
  </w:style>
  <w:style w:type="paragraph" w:styleId="Umschlagadresse">
    <w:name w:val="envelope address"/>
    <w:basedOn w:val="Standard"/>
    <w:uiPriority w:val="99"/>
    <w:semiHidden/>
    <w:unhideWhenUsed/>
    <w:rsid w:val="002964BC"/>
    <w:pPr>
      <w:framePr w:w="4320" w:h="2160" w:hRule="exact" w:hSpace="141" w:wrap="auto" w:hAnchor="page" w:xAlign="center" w:yAlign="bottom"/>
      <w:spacing w:after="0" w:line="240" w:lineRule="auto"/>
      <w:ind w:left="1"/>
      <w:jc w:val="left"/>
    </w:pPr>
    <w:rPr>
      <w:rFonts w:eastAsiaTheme="majorEastAsia" w:cstheme="majorBidi"/>
      <w:sz w:val="24"/>
    </w:rPr>
  </w:style>
  <w:style w:type="paragraph" w:styleId="Untertitel">
    <w:name w:val="Subtitle"/>
    <w:basedOn w:val="Standard"/>
    <w:next w:val="Standard"/>
    <w:link w:val="UntertitelZchn"/>
    <w:uiPriority w:val="11"/>
    <w:qFormat/>
    <w:rsid w:val="002964BC"/>
    <w:pPr>
      <w:numPr>
        <w:ilvl w:val="1"/>
      </w:numPr>
      <w:spacing w:after="160" w:line="240" w:lineRule="auto"/>
      <w:jc w:val="left"/>
    </w:pPr>
    <w:rPr>
      <w:rFonts w:eastAsiaTheme="minorEastAsia" w:cstheme="minorBidi"/>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 w:type="paragraph" w:customStyle="1" w:styleId="Default">
    <w:name w:val="Default"/>
    <w:rsid w:val="007433C7"/>
    <w:pPr>
      <w:autoSpaceDE w:val="0"/>
      <w:autoSpaceDN w:val="0"/>
      <w:adjustRightInd w:val="0"/>
    </w:pPr>
    <w:rPr>
      <w:rFonts w:eastAsia="Times New Roman" w:cs="Arial"/>
      <w:color w:val="000000"/>
      <w:sz w:val="24"/>
      <w:szCs w:val="24"/>
      <w:lang w:eastAsia="de-DE"/>
    </w:rPr>
  </w:style>
  <w:style w:type="paragraph" w:customStyle="1" w:styleId="Pa2">
    <w:name w:val="Pa2"/>
    <w:basedOn w:val="Default"/>
    <w:next w:val="Default"/>
    <w:uiPriority w:val="99"/>
    <w:rsid w:val="007433C7"/>
    <w:pPr>
      <w:spacing w:line="181" w:lineRule="atLeast"/>
    </w:pPr>
    <w:rPr>
      <w:rFonts w:ascii="Meta Offc" w:hAnsi="Meta Offc"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389</Words>
  <Characters>2457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2841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Rehse</dc:creator>
  <cp:keywords/>
  <dc:description/>
  <cp:lastModifiedBy>Claus Rehse</cp:lastModifiedBy>
  <cp:revision>3</cp:revision>
  <dcterms:created xsi:type="dcterms:W3CDTF">2018-06-22T12:45:00Z</dcterms:created>
  <dcterms:modified xsi:type="dcterms:W3CDTF">2018-07-09T12:49:00Z</dcterms:modified>
</cp:coreProperties>
</file>