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8B" w:rsidRPr="0007498B" w:rsidRDefault="0007498B" w:rsidP="0007498B">
      <w:pPr>
        <w:spacing w:after="0" w:line="240" w:lineRule="atLeast"/>
        <w:jc w:val="left"/>
        <w:rPr>
          <w:b/>
          <w:bCs/>
          <w:sz w:val="22"/>
          <w:szCs w:val="22"/>
          <w:u w:val="single"/>
        </w:rPr>
      </w:pPr>
      <w:r w:rsidRPr="0007498B">
        <w:rPr>
          <w:b/>
          <w:bCs/>
          <w:sz w:val="22"/>
          <w:szCs w:val="22"/>
          <w:u w:val="single"/>
        </w:rPr>
        <w:t>DEURAG 2018</w:t>
      </w:r>
    </w:p>
    <w:p w:rsidR="0007498B" w:rsidRDefault="0007498B" w:rsidP="0007498B">
      <w:pPr>
        <w:spacing w:after="0" w:line="240" w:lineRule="atLeast"/>
        <w:jc w:val="lef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Beitragseinnahmen stabil</w:t>
      </w:r>
    </w:p>
    <w:p w:rsidR="0007498B" w:rsidRDefault="0007498B" w:rsidP="0007498B">
      <w:pPr>
        <w:spacing w:after="0" w:line="240" w:lineRule="atLeast"/>
        <w:jc w:val="left"/>
        <w:rPr>
          <w:color w:val="000000" w:themeColor="text1"/>
          <w:sz w:val="22"/>
          <w:szCs w:val="22"/>
        </w:rPr>
      </w:pPr>
    </w:p>
    <w:p w:rsidR="0007498B" w:rsidRPr="0007498B" w:rsidRDefault="0007498B" w:rsidP="0007498B">
      <w:pPr>
        <w:spacing w:after="0" w:line="240" w:lineRule="atLeast"/>
        <w:jc w:val="left"/>
        <w:rPr>
          <w:b/>
          <w:color w:val="000000" w:themeColor="text1"/>
          <w:sz w:val="22"/>
          <w:szCs w:val="22"/>
        </w:rPr>
      </w:pPr>
      <w:r w:rsidRPr="0007498B">
        <w:rPr>
          <w:b/>
          <w:color w:val="000000" w:themeColor="text1"/>
          <w:sz w:val="22"/>
          <w:szCs w:val="22"/>
        </w:rPr>
        <w:t>(August 2019) Die SIGNAL IDUNA-Tochter DEURAG Deutsche Rechtsschutz-Versicherung AG</w:t>
      </w:r>
      <w:r w:rsidRPr="0007498B">
        <w:rPr>
          <w:b/>
          <w:color w:val="000000" w:themeColor="text1"/>
          <w:sz w:val="22"/>
          <w:szCs w:val="22"/>
        </w:rPr>
        <w:t xml:space="preserve"> </w:t>
      </w:r>
      <w:r w:rsidRPr="0007498B">
        <w:rPr>
          <w:b/>
          <w:color w:val="000000" w:themeColor="text1"/>
          <w:sz w:val="22"/>
          <w:szCs w:val="22"/>
        </w:rPr>
        <w:t xml:space="preserve">blickt auf ein sehr zufriedenstellendes Geschäftsjahr 2018 zurück. </w:t>
      </w:r>
    </w:p>
    <w:p w:rsidR="0007498B" w:rsidRDefault="0007498B" w:rsidP="0007498B">
      <w:pPr>
        <w:spacing w:after="0" w:line="240" w:lineRule="atLeast"/>
        <w:jc w:val="left"/>
        <w:rPr>
          <w:color w:val="000000" w:themeColor="text1"/>
          <w:sz w:val="22"/>
          <w:szCs w:val="22"/>
        </w:rPr>
      </w:pPr>
    </w:p>
    <w:p w:rsidR="00D6768C" w:rsidRPr="00C949FB" w:rsidRDefault="0007498B" w:rsidP="00D6768C">
      <w:pPr>
        <w:spacing w:after="0" w:line="240" w:lineRule="atLeast"/>
        <w:jc w:val="left"/>
        <w:rPr>
          <w:color w:val="000000" w:themeColor="text1"/>
          <w:sz w:val="22"/>
          <w:szCs w:val="22"/>
        </w:rPr>
      </w:pPr>
      <w:r w:rsidRPr="00C949FB">
        <w:rPr>
          <w:color w:val="000000" w:themeColor="text1"/>
          <w:sz w:val="22"/>
          <w:szCs w:val="22"/>
        </w:rPr>
        <w:t xml:space="preserve">Die Brutto-Beitragseinnahmen blieben </w:t>
      </w:r>
      <w:r>
        <w:rPr>
          <w:color w:val="000000" w:themeColor="text1"/>
          <w:sz w:val="22"/>
          <w:szCs w:val="22"/>
        </w:rPr>
        <w:t xml:space="preserve">mit </w:t>
      </w:r>
      <w:r w:rsidRPr="00C949FB">
        <w:rPr>
          <w:color w:val="000000" w:themeColor="text1"/>
          <w:sz w:val="22"/>
          <w:szCs w:val="22"/>
        </w:rPr>
        <w:t xml:space="preserve">174,7 </w:t>
      </w:r>
      <w:r w:rsidRPr="00C949FB">
        <w:rPr>
          <w:sz w:val="22"/>
          <w:szCs w:val="22"/>
        </w:rPr>
        <w:t>Millionen</w:t>
      </w:r>
      <w:r w:rsidRPr="00C949FB">
        <w:rPr>
          <w:color w:val="000000" w:themeColor="text1"/>
          <w:sz w:val="22"/>
          <w:szCs w:val="22"/>
        </w:rPr>
        <w:t xml:space="preserve"> Euro </w:t>
      </w:r>
      <w:r>
        <w:rPr>
          <w:color w:val="000000" w:themeColor="text1"/>
          <w:sz w:val="22"/>
          <w:szCs w:val="22"/>
        </w:rPr>
        <w:t>auf dem Niveau des Vorjahres</w:t>
      </w:r>
      <w:r w:rsidRPr="00C949FB">
        <w:rPr>
          <w:color w:val="000000" w:themeColor="text1"/>
          <w:sz w:val="22"/>
          <w:szCs w:val="22"/>
        </w:rPr>
        <w:t xml:space="preserve"> (Vorjahr 175,8 Millionen Euro). Die Anzahl der Versicherungsverträge verzeichnete gegenüber dem Vorjahr einen Rückgang von 3,5</w:t>
      </w:r>
      <w:r>
        <w:rPr>
          <w:color w:val="000000" w:themeColor="text1"/>
          <w:sz w:val="22"/>
          <w:szCs w:val="22"/>
        </w:rPr>
        <w:t xml:space="preserve"> Prozent </w:t>
      </w:r>
      <w:r w:rsidRPr="00C949FB">
        <w:rPr>
          <w:color w:val="000000" w:themeColor="text1"/>
          <w:sz w:val="22"/>
          <w:szCs w:val="22"/>
        </w:rPr>
        <w:t>auf 1.158.062</w:t>
      </w:r>
      <w:r>
        <w:rPr>
          <w:color w:val="000000" w:themeColor="text1"/>
          <w:sz w:val="22"/>
          <w:szCs w:val="22"/>
        </w:rPr>
        <w:t>. Damit sank die Anzahl deutlich geringer als erwartet.</w:t>
      </w:r>
      <w:r w:rsidRPr="00C949FB">
        <w:rPr>
          <w:color w:val="000000" w:themeColor="text1"/>
          <w:sz w:val="22"/>
          <w:szCs w:val="22"/>
        </w:rPr>
        <w:t xml:space="preserve"> </w:t>
      </w:r>
      <w:r w:rsidRPr="00C949FB">
        <w:rPr>
          <w:sz w:val="22"/>
          <w:szCs w:val="22"/>
        </w:rPr>
        <w:t>Nach Abzug der Steuern verzeichnete das Unternehmen einen Jahresüberschuss von 0,5 Millionen Euro (Vorjahr 1,8 Millionen Euro).</w:t>
      </w:r>
      <w:r w:rsidR="00D6768C">
        <w:rPr>
          <w:sz w:val="22"/>
          <w:szCs w:val="22"/>
        </w:rPr>
        <w:t xml:space="preserve"> D</w:t>
      </w:r>
      <w:r w:rsidR="00D6768C" w:rsidRPr="00C949FB">
        <w:rPr>
          <w:color w:val="000000" w:themeColor="text1"/>
          <w:sz w:val="22"/>
          <w:szCs w:val="22"/>
        </w:rPr>
        <w:t xml:space="preserve">er Kapitalanlagenbestand </w:t>
      </w:r>
      <w:r w:rsidR="00D6768C">
        <w:rPr>
          <w:color w:val="000000" w:themeColor="text1"/>
          <w:sz w:val="22"/>
          <w:szCs w:val="22"/>
        </w:rPr>
        <w:t>belief sich auf 403,7 Millionen Euro (+</w:t>
      </w:r>
      <w:r w:rsidR="00D6768C" w:rsidRPr="00C949FB">
        <w:rPr>
          <w:color w:val="000000" w:themeColor="text1"/>
          <w:sz w:val="22"/>
          <w:szCs w:val="22"/>
        </w:rPr>
        <w:t xml:space="preserve"> 19,8 </w:t>
      </w:r>
      <w:r w:rsidR="00D6768C" w:rsidRPr="00C949FB">
        <w:rPr>
          <w:sz w:val="22"/>
          <w:szCs w:val="22"/>
        </w:rPr>
        <w:t>Millionen</w:t>
      </w:r>
      <w:r w:rsidR="00D6768C" w:rsidRPr="00C949FB">
        <w:rPr>
          <w:color w:val="000000" w:themeColor="text1"/>
          <w:sz w:val="22"/>
          <w:szCs w:val="22"/>
        </w:rPr>
        <w:t xml:space="preserve"> Euro </w:t>
      </w:r>
      <w:r w:rsidR="00D6768C">
        <w:rPr>
          <w:color w:val="000000" w:themeColor="text1"/>
          <w:sz w:val="22"/>
          <w:szCs w:val="22"/>
        </w:rPr>
        <w:t>).</w:t>
      </w:r>
      <w:r w:rsidR="00D6768C" w:rsidRPr="00C949FB">
        <w:rPr>
          <w:color w:val="000000" w:themeColor="text1"/>
          <w:sz w:val="22"/>
          <w:szCs w:val="22"/>
        </w:rPr>
        <w:t xml:space="preserve"> Das Kapitalanlageergebnis betrug 11,6 </w:t>
      </w:r>
      <w:r w:rsidR="00D6768C" w:rsidRPr="00C949FB">
        <w:rPr>
          <w:sz w:val="22"/>
          <w:szCs w:val="22"/>
        </w:rPr>
        <w:t>Millionen</w:t>
      </w:r>
      <w:r w:rsidR="00D6768C" w:rsidRPr="00C949FB">
        <w:rPr>
          <w:color w:val="000000" w:themeColor="text1"/>
          <w:sz w:val="22"/>
          <w:szCs w:val="22"/>
        </w:rPr>
        <w:t xml:space="preserve"> Euro (Vorjahr 11,1 </w:t>
      </w:r>
      <w:r w:rsidR="00D6768C" w:rsidRPr="00C949FB">
        <w:rPr>
          <w:sz w:val="22"/>
          <w:szCs w:val="22"/>
        </w:rPr>
        <w:t>Millionen</w:t>
      </w:r>
      <w:r w:rsidR="00D6768C" w:rsidRPr="00C949FB">
        <w:rPr>
          <w:color w:val="000000" w:themeColor="text1"/>
          <w:sz w:val="22"/>
          <w:szCs w:val="22"/>
        </w:rPr>
        <w:t xml:space="preserve"> Euro). </w:t>
      </w:r>
    </w:p>
    <w:p w:rsidR="0007498B" w:rsidRDefault="0007498B" w:rsidP="0007498B">
      <w:pPr>
        <w:spacing w:after="0" w:line="240" w:lineRule="atLeast"/>
        <w:jc w:val="left"/>
        <w:rPr>
          <w:sz w:val="22"/>
          <w:szCs w:val="22"/>
        </w:rPr>
      </w:pPr>
    </w:p>
    <w:p w:rsidR="00B438C2" w:rsidRDefault="00D6768C" w:rsidP="0007498B">
      <w:pPr>
        <w:pStyle w:val="Pa2"/>
        <w:spacing w:line="240" w:lineRule="atLeast"/>
        <w:rPr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  <w:lang w:eastAsia="en-US"/>
        </w:rPr>
        <w:t>D</w:t>
      </w:r>
      <w:r w:rsidR="0007498B" w:rsidRPr="00C949FB">
        <w:rPr>
          <w:rFonts w:ascii="Arial" w:hAnsi="Arial"/>
          <w:sz w:val="22"/>
          <w:szCs w:val="22"/>
          <w:lang w:eastAsia="en-US"/>
        </w:rPr>
        <w:t xml:space="preserve">ie Anzahl der Schadenmeldungen </w:t>
      </w:r>
      <w:r>
        <w:rPr>
          <w:rFonts w:ascii="Arial" w:hAnsi="Arial"/>
          <w:sz w:val="22"/>
          <w:szCs w:val="22"/>
          <w:lang w:eastAsia="en-US"/>
        </w:rPr>
        <w:t xml:space="preserve">verringerte sich </w:t>
      </w:r>
      <w:r w:rsidR="0007498B" w:rsidRPr="00C949FB">
        <w:rPr>
          <w:rFonts w:ascii="Arial" w:hAnsi="Arial"/>
          <w:sz w:val="22"/>
          <w:szCs w:val="22"/>
          <w:lang w:eastAsia="en-US"/>
        </w:rPr>
        <w:t>mit 195.662 Schäden gegenüber dem Vorjahr deutlich um 3,0</w:t>
      </w:r>
      <w:r w:rsidR="0007498B">
        <w:rPr>
          <w:rFonts w:ascii="Arial" w:hAnsi="Arial"/>
          <w:sz w:val="22"/>
          <w:szCs w:val="22"/>
          <w:lang w:eastAsia="en-US"/>
        </w:rPr>
        <w:t xml:space="preserve"> Prozent</w:t>
      </w:r>
      <w:r w:rsidR="0007498B" w:rsidRPr="00C949FB">
        <w:rPr>
          <w:rFonts w:ascii="Arial" w:hAnsi="Arial"/>
          <w:sz w:val="22"/>
          <w:szCs w:val="22"/>
          <w:lang w:eastAsia="en-US"/>
        </w:rPr>
        <w:t xml:space="preserve">. </w:t>
      </w:r>
      <w:r w:rsidR="0007498B" w:rsidRPr="00C949FB">
        <w:rPr>
          <w:sz w:val="22"/>
          <w:szCs w:val="22"/>
          <w:lang w:eastAsia="en-US"/>
        </w:rPr>
        <w:t>Die Brutto-Schadenza</w:t>
      </w:r>
      <w:r w:rsidR="0007498B">
        <w:rPr>
          <w:sz w:val="22"/>
          <w:szCs w:val="22"/>
          <w:lang w:eastAsia="en-US"/>
        </w:rPr>
        <w:t>hlungen einschließlich der Scha</w:t>
      </w:r>
      <w:r w:rsidR="0007498B" w:rsidRPr="00C949FB">
        <w:rPr>
          <w:sz w:val="22"/>
          <w:szCs w:val="22"/>
          <w:lang w:eastAsia="en-US"/>
        </w:rPr>
        <w:t xml:space="preserve">denregulierungskosten betrugen 124,2 </w:t>
      </w:r>
      <w:r w:rsidR="0007498B" w:rsidRPr="00C949FB">
        <w:rPr>
          <w:sz w:val="22"/>
          <w:szCs w:val="22"/>
        </w:rPr>
        <w:t>Millionen Euro</w:t>
      </w:r>
      <w:r w:rsidR="0007498B" w:rsidRPr="00C949FB">
        <w:rPr>
          <w:sz w:val="22"/>
          <w:szCs w:val="22"/>
          <w:lang w:eastAsia="en-US"/>
        </w:rPr>
        <w:t xml:space="preserve"> und lagen damit um 2,9 Millionen Euro niedriger</w:t>
      </w:r>
      <w:r w:rsidR="0007498B">
        <w:rPr>
          <w:sz w:val="22"/>
          <w:szCs w:val="22"/>
          <w:lang w:eastAsia="en-US"/>
        </w:rPr>
        <w:t xml:space="preserve"> als im Vorjahr</w:t>
      </w:r>
      <w:r w:rsidR="0007498B" w:rsidRPr="00C949FB">
        <w:rPr>
          <w:sz w:val="22"/>
          <w:szCs w:val="22"/>
          <w:lang w:eastAsia="en-US"/>
        </w:rPr>
        <w:t xml:space="preserve">. </w:t>
      </w:r>
    </w:p>
    <w:p w:rsidR="0007498B" w:rsidRPr="00C949FB" w:rsidRDefault="0007498B" w:rsidP="0007498B">
      <w:pPr>
        <w:pStyle w:val="Pa2"/>
        <w:spacing w:line="240" w:lineRule="atLeast"/>
        <w:rPr>
          <w:sz w:val="22"/>
          <w:szCs w:val="22"/>
          <w:lang w:eastAsia="en-US"/>
        </w:rPr>
      </w:pPr>
      <w:r w:rsidRPr="00C949FB">
        <w:rPr>
          <w:sz w:val="22"/>
          <w:szCs w:val="22"/>
          <w:lang w:eastAsia="en-US"/>
        </w:rPr>
        <w:t xml:space="preserve">Die Veränderung der Rückstellungen für noch nicht abgewickelte Versicherungsfälle lag mit 6,6 Millionen Euro etwa auf dem Vorjahresniveau (6,0 Millionen Euro), was auch auf die Veränderung des Schadenreservierungssystems zurückzuführen ist.  </w:t>
      </w:r>
    </w:p>
    <w:p w:rsidR="0007498B" w:rsidRPr="00C949FB" w:rsidRDefault="0007498B" w:rsidP="0007498B">
      <w:pPr>
        <w:pStyle w:val="Default"/>
        <w:spacing w:line="240" w:lineRule="atLeast"/>
        <w:rPr>
          <w:rFonts w:cs="Times New Roman"/>
          <w:color w:val="auto"/>
          <w:sz w:val="22"/>
          <w:szCs w:val="22"/>
          <w:lang w:eastAsia="en-US"/>
        </w:rPr>
      </w:pPr>
      <w:r w:rsidRPr="00C949FB">
        <w:rPr>
          <w:rFonts w:cs="Times New Roman"/>
          <w:color w:val="auto"/>
          <w:sz w:val="22"/>
          <w:szCs w:val="22"/>
          <w:lang w:eastAsia="en-US"/>
        </w:rPr>
        <w:t>Insgesamt betrugen die Aufwendungen für Versicherungsfälle 130,8 Millionen Euro (Vorjahr 133,1 Millionen</w:t>
      </w:r>
      <w:r>
        <w:rPr>
          <w:rFonts w:cs="Times New Roman"/>
          <w:color w:val="auto"/>
          <w:sz w:val="22"/>
          <w:szCs w:val="22"/>
          <w:lang w:eastAsia="en-US"/>
        </w:rPr>
        <w:t xml:space="preserve"> </w:t>
      </w:r>
      <w:r w:rsidRPr="00C949FB">
        <w:rPr>
          <w:rFonts w:cs="Times New Roman"/>
          <w:color w:val="auto"/>
          <w:sz w:val="22"/>
          <w:szCs w:val="22"/>
          <w:lang w:eastAsia="en-US"/>
        </w:rPr>
        <w:t xml:space="preserve">Euro). Die bilanzielle Schadenquote verringerte sich auf 74,5 </w:t>
      </w:r>
      <w:r>
        <w:rPr>
          <w:rFonts w:cs="Times New Roman"/>
          <w:color w:val="auto"/>
          <w:sz w:val="22"/>
          <w:szCs w:val="22"/>
          <w:lang w:eastAsia="en-US"/>
        </w:rPr>
        <w:t>Prozent</w:t>
      </w:r>
      <w:r w:rsidRPr="00C949FB">
        <w:rPr>
          <w:rFonts w:cs="Times New Roman"/>
          <w:color w:val="auto"/>
          <w:sz w:val="22"/>
          <w:szCs w:val="22"/>
          <w:lang w:eastAsia="en-US"/>
        </w:rPr>
        <w:t xml:space="preserve"> (Vorjahr 75,7</w:t>
      </w:r>
      <w:r w:rsidR="00D6768C">
        <w:rPr>
          <w:rFonts w:cs="Times New Roman"/>
          <w:color w:val="auto"/>
          <w:sz w:val="22"/>
          <w:szCs w:val="22"/>
          <w:lang w:eastAsia="en-US"/>
        </w:rPr>
        <w:t xml:space="preserve"> </w:t>
      </w:r>
      <w:r>
        <w:rPr>
          <w:rFonts w:cs="Times New Roman"/>
          <w:color w:val="auto"/>
          <w:sz w:val="22"/>
          <w:szCs w:val="22"/>
          <w:lang w:eastAsia="en-US"/>
        </w:rPr>
        <w:t>Prozent</w:t>
      </w:r>
      <w:r w:rsidRPr="00C949FB">
        <w:rPr>
          <w:rFonts w:cs="Times New Roman"/>
          <w:color w:val="auto"/>
          <w:sz w:val="22"/>
          <w:szCs w:val="22"/>
          <w:lang w:eastAsia="en-US"/>
        </w:rPr>
        <w:t>).</w:t>
      </w:r>
    </w:p>
    <w:p w:rsidR="0007498B" w:rsidRPr="00C949FB" w:rsidRDefault="0007498B" w:rsidP="0007498B">
      <w:pPr>
        <w:pStyle w:val="Default"/>
        <w:spacing w:line="240" w:lineRule="atLeast"/>
        <w:rPr>
          <w:rFonts w:cs="Times New Roman"/>
          <w:color w:val="auto"/>
          <w:sz w:val="22"/>
          <w:szCs w:val="22"/>
          <w:lang w:eastAsia="en-US"/>
        </w:rPr>
      </w:pPr>
    </w:p>
    <w:p w:rsidR="0007498B" w:rsidRPr="00C949FB" w:rsidRDefault="0007498B" w:rsidP="0007498B">
      <w:pPr>
        <w:spacing w:after="0" w:line="240" w:lineRule="atLeast"/>
        <w:jc w:val="left"/>
        <w:rPr>
          <w:color w:val="000000" w:themeColor="text1"/>
          <w:sz w:val="22"/>
          <w:szCs w:val="22"/>
        </w:rPr>
      </w:pPr>
      <w:r w:rsidRPr="00C949FB">
        <w:rPr>
          <w:color w:val="000000" w:themeColor="text1"/>
          <w:sz w:val="22"/>
          <w:szCs w:val="22"/>
        </w:rPr>
        <w:t xml:space="preserve">Auch 2018 arbeitete das Unternehmen </w:t>
      </w:r>
      <w:r w:rsidR="00B438C2">
        <w:rPr>
          <w:color w:val="000000" w:themeColor="text1"/>
          <w:sz w:val="22"/>
          <w:szCs w:val="22"/>
        </w:rPr>
        <w:t>dara</w:t>
      </w:r>
      <w:r w:rsidRPr="00C949FB">
        <w:rPr>
          <w:color w:val="000000" w:themeColor="text1"/>
          <w:sz w:val="22"/>
          <w:szCs w:val="22"/>
        </w:rPr>
        <w:t>n</w:t>
      </w:r>
      <w:r w:rsidR="00B438C2">
        <w:rPr>
          <w:color w:val="000000" w:themeColor="text1"/>
          <w:sz w:val="22"/>
          <w:szCs w:val="22"/>
        </w:rPr>
        <w:t>,</w:t>
      </w:r>
      <w:r w:rsidRPr="00C949FB">
        <w:rPr>
          <w:color w:val="000000" w:themeColor="text1"/>
          <w:sz w:val="22"/>
          <w:szCs w:val="22"/>
        </w:rPr>
        <w:t xml:space="preserve"> </w:t>
      </w:r>
      <w:r w:rsidR="00B438C2">
        <w:rPr>
          <w:color w:val="000000" w:themeColor="text1"/>
          <w:sz w:val="22"/>
          <w:szCs w:val="22"/>
        </w:rPr>
        <w:t>das</w:t>
      </w:r>
      <w:r w:rsidRPr="00C949FB">
        <w:rPr>
          <w:color w:val="000000" w:themeColor="text1"/>
          <w:sz w:val="22"/>
          <w:szCs w:val="22"/>
        </w:rPr>
        <w:t xml:space="preserve"> Verfahren zur Ermittlung der Rückstellungen für noch nicht abgewickelte Versicherungsfälle</w:t>
      </w:r>
      <w:r w:rsidR="00B438C2">
        <w:rPr>
          <w:color w:val="000000" w:themeColor="text1"/>
          <w:sz w:val="22"/>
          <w:szCs w:val="22"/>
        </w:rPr>
        <w:t xml:space="preserve"> effizienter zu gestalten und die Combined Ratio zu senken</w:t>
      </w:r>
      <w:r w:rsidRPr="00C949FB">
        <w:rPr>
          <w:color w:val="000000" w:themeColor="text1"/>
          <w:sz w:val="22"/>
          <w:szCs w:val="22"/>
        </w:rPr>
        <w:t>.</w:t>
      </w:r>
      <w:r w:rsidR="00B438C2">
        <w:rPr>
          <w:color w:val="000000" w:themeColor="text1"/>
          <w:sz w:val="22"/>
          <w:szCs w:val="22"/>
        </w:rPr>
        <w:t xml:space="preserve"> Darüber hinaus will die DEURAG so mehr Sicherheit und Unabhängigkeit gewinnen, um auf volatile Schadenentwicklungen zu reagieren. </w:t>
      </w:r>
      <w:r w:rsidRPr="00C949FB">
        <w:rPr>
          <w:color w:val="000000" w:themeColor="text1"/>
          <w:sz w:val="22"/>
          <w:szCs w:val="22"/>
        </w:rPr>
        <w:t>Trotz der Umstellung des Reservierungsverfahrens und der</w:t>
      </w:r>
      <w:r>
        <w:rPr>
          <w:color w:val="000000" w:themeColor="text1"/>
          <w:sz w:val="22"/>
          <w:szCs w:val="22"/>
        </w:rPr>
        <w:t>en</w:t>
      </w:r>
      <w:r w:rsidRPr="00C949FB">
        <w:rPr>
          <w:color w:val="000000" w:themeColor="text1"/>
          <w:sz w:val="22"/>
          <w:szCs w:val="22"/>
        </w:rPr>
        <w:t xml:space="preserve"> einkalkulierte</w:t>
      </w:r>
      <w:r>
        <w:rPr>
          <w:color w:val="000000" w:themeColor="text1"/>
          <w:sz w:val="22"/>
          <w:szCs w:val="22"/>
        </w:rPr>
        <w:t>r</w:t>
      </w:r>
      <w:r w:rsidRPr="00C949FB">
        <w:rPr>
          <w:color w:val="000000" w:themeColor="text1"/>
          <w:sz w:val="22"/>
          <w:szCs w:val="22"/>
        </w:rPr>
        <w:t xml:space="preserve"> Auswirkungen konnte 2018 eine weitere Senkung der Combined Ratio auf 104,2</w:t>
      </w:r>
      <w:r w:rsidR="00D6768C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Prozent</w:t>
      </w:r>
      <w:r w:rsidRPr="00C949FB">
        <w:rPr>
          <w:color w:val="000000" w:themeColor="text1"/>
          <w:sz w:val="22"/>
          <w:szCs w:val="22"/>
        </w:rPr>
        <w:t xml:space="preserve"> erreicht werden (Vorjahr 104,5</w:t>
      </w:r>
      <w:r w:rsidR="00D6768C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Prozent</w:t>
      </w:r>
      <w:r w:rsidRPr="00C949FB">
        <w:rPr>
          <w:color w:val="000000" w:themeColor="text1"/>
          <w:sz w:val="22"/>
          <w:szCs w:val="22"/>
        </w:rPr>
        <w:t xml:space="preserve">).  </w:t>
      </w:r>
    </w:p>
    <w:p w:rsidR="00B438C2" w:rsidRDefault="00B438C2" w:rsidP="0007498B">
      <w:pPr>
        <w:spacing w:after="0" w:line="240" w:lineRule="atLeast"/>
        <w:jc w:val="left"/>
        <w:rPr>
          <w:rFonts w:cs="Arial"/>
          <w:b/>
          <w:bCs/>
          <w:sz w:val="22"/>
          <w:szCs w:val="22"/>
          <w:lang w:eastAsia="de-DE"/>
        </w:rPr>
      </w:pPr>
    </w:p>
    <w:p w:rsidR="0007498B" w:rsidRPr="00C949FB" w:rsidRDefault="00D6768C" w:rsidP="0007498B">
      <w:pPr>
        <w:spacing w:after="0" w:line="24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Das</w:t>
      </w:r>
      <w:r w:rsidR="0007498B" w:rsidRPr="00C949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2018 entwickelte, </w:t>
      </w:r>
      <w:r w:rsidR="0007498B" w:rsidRPr="00C949FB">
        <w:rPr>
          <w:sz w:val="22"/>
          <w:szCs w:val="22"/>
        </w:rPr>
        <w:t xml:space="preserve">verbesserte Tarifwerk </w:t>
      </w:r>
      <w:r>
        <w:rPr>
          <w:sz w:val="22"/>
          <w:szCs w:val="22"/>
        </w:rPr>
        <w:t>der DEURAG erfuhr</w:t>
      </w:r>
      <w:r w:rsidR="0007498B" w:rsidRPr="00C949FB">
        <w:rPr>
          <w:sz w:val="22"/>
          <w:szCs w:val="22"/>
        </w:rPr>
        <w:t xml:space="preserve"> bereits </w:t>
      </w:r>
      <w:r>
        <w:rPr>
          <w:sz w:val="22"/>
          <w:szCs w:val="22"/>
        </w:rPr>
        <w:t>im gleichen Jahr</w:t>
      </w:r>
      <w:r w:rsidR="00751CBE">
        <w:rPr>
          <w:sz w:val="22"/>
          <w:szCs w:val="22"/>
        </w:rPr>
        <w:t xml:space="preserve"> </w:t>
      </w:r>
      <w:bookmarkStart w:id="0" w:name="_GoBack"/>
      <w:bookmarkEnd w:id="0"/>
      <w:r w:rsidR="0007498B" w:rsidRPr="00C949FB">
        <w:rPr>
          <w:sz w:val="22"/>
          <w:szCs w:val="22"/>
        </w:rPr>
        <w:t xml:space="preserve">die erste Anerkennung. So wurde der Tarif SB-150 für Familien und Singles von Ratingagentur Franke &amp; Bornberg mit der Höchstnote „Hervorragend“ ausgezeichnet. </w:t>
      </w:r>
    </w:p>
    <w:p w:rsidR="0007498B" w:rsidRPr="00C949FB" w:rsidRDefault="0007498B" w:rsidP="0007498B">
      <w:pPr>
        <w:pStyle w:val="AbschnittVertrag"/>
        <w:spacing w:after="0" w:line="240" w:lineRule="atLeast"/>
        <w:ind w:left="0"/>
        <w:jc w:val="left"/>
      </w:pPr>
      <w:r w:rsidRPr="00C949FB">
        <w:t>Diese Entwicklung setzt sich im ersten Quartal 2019 fort</w:t>
      </w:r>
      <w:r w:rsidR="00D6768C">
        <w:t>:</w:t>
      </w:r>
      <w:r w:rsidRPr="00C949FB">
        <w:t xml:space="preserve"> </w:t>
      </w:r>
      <w:r w:rsidR="00D6768C">
        <w:t>D</w:t>
      </w:r>
      <w:r w:rsidRPr="00C949FB">
        <w:t>as Handelsblatt bewertet das Produkt mit „SEHR GUT“. Die Ratingagentur Franke &amp; Bornberg, der Nachrichtensender n-tv und das Deutsche Institut für Service-Qualität analysierten neben dem Preis-Leistungs-Verhältnis der Produkte auch andere Unternehmensbereiche wie etwa Beratung am Telefon, E-Mail-Anfragen und die Online-Auftritte. In der Kategorie Rechtsschutz wurde die DEURAG als „Deutschlands beste Versicherung 2019“ ausgezeichnet.</w:t>
      </w:r>
    </w:p>
    <w:p w:rsidR="00B40726" w:rsidRDefault="00B40726" w:rsidP="0007498B">
      <w:pPr>
        <w:spacing w:after="0" w:line="240" w:lineRule="atLeast"/>
        <w:jc w:val="left"/>
      </w:pPr>
    </w:p>
    <w:sectPr w:rsidR="00B407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ta Offc">
    <w:altName w:val="Meta Off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1D7632"/>
    <w:multiLevelType w:val="hybridMultilevel"/>
    <w:tmpl w:val="67DCC1E0"/>
    <w:lvl w:ilvl="0" w:tplc="0407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8B"/>
    <w:rsid w:val="0007498B"/>
    <w:rsid w:val="002964BC"/>
    <w:rsid w:val="00751CBE"/>
    <w:rsid w:val="00972BFB"/>
    <w:rsid w:val="00B40726"/>
    <w:rsid w:val="00B438C2"/>
    <w:rsid w:val="00D6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85B44-0410-4938-96AF-6A3311BA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498B"/>
    <w:pPr>
      <w:spacing w:after="240" w:line="276" w:lineRule="auto"/>
      <w:jc w:val="both"/>
    </w:pPr>
    <w:rPr>
      <w:rFonts w:eastAsia="Times New Roman" w:cs="Times New Roman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Default">
    <w:name w:val="Default"/>
    <w:rsid w:val="0007498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de-DE"/>
    </w:rPr>
  </w:style>
  <w:style w:type="paragraph" w:customStyle="1" w:styleId="Pa2">
    <w:name w:val="Pa2"/>
    <w:basedOn w:val="Default"/>
    <w:next w:val="Default"/>
    <w:uiPriority w:val="99"/>
    <w:rsid w:val="0007498B"/>
    <w:pPr>
      <w:spacing w:line="181" w:lineRule="atLeast"/>
    </w:pPr>
    <w:rPr>
      <w:rFonts w:ascii="Meta Offc" w:hAnsi="Meta Offc" w:cs="Times New Roman"/>
      <w:color w:val="auto"/>
    </w:rPr>
  </w:style>
  <w:style w:type="paragraph" w:styleId="Listenabsatz">
    <w:name w:val="List Paragraph"/>
    <w:basedOn w:val="Standard"/>
    <w:uiPriority w:val="34"/>
    <w:qFormat/>
    <w:rsid w:val="0007498B"/>
    <w:pPr>
      <w:ind w:left="720"/>
      <w:contextualSpacing/>
    </w:pPr>
  </w:style>
  <w:style w:type="paragraph" w:customStyle="1" w:styleId="AbschnittVertrag">
    <w:name w:val="Abschnitt_Vertrag"/>
    <w:basedOn w:val="Standard"/>
    <w:rsid w:val="0007498B"/>
    <w:pPr>
      <w:widowControl w:val="0"/>
      <w:spacing w:after="120" w:line="240" w:lineRule="auto"/>
      <w:ind w:left="709"/>
    </w:pPr>
    <w:rPr>
      <w:rFonts w:cs="Arial"/>
      <w:sz w:val="22"/>
      <w:szCs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49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498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498B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2</cp:revision>
  <dcterms:created xsi:type="dcterms:W3CDTF">2019-06-27T08:41:00Z</dcterms:created>
  <dcterms:modified xsi:type="dcterms:W3CDTF">2019-06-27T10:09:00Z</dcterms:modified>
</cp:coreProperties>
</file>