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2" w:tblpY="1606"/>
        <w:tblW w:w="0" w:type="auto"/>
        <w:tblLook w:val="00BF"/>
      </w:tblPr>
      <w:tblGrid>
        <w:gridCol w:w="3561"/>
      </w:tblGrid>
      <w:tr w:rsidR="009E3F7C" w:rsidRPr="009E3F7C" w:rsidTr="0024327B">
        <w:tc>
          <w:tcPr>
            <w:tcW w:w="3561" w:type="dxa"/>
          </w:tcPr>
          <w:p w:rsidR="009E3F7C" w:rsidRPr="009E3F7C" w:rsidRDefault="00BE000B" w:rsidP="00F84FED">
            <w:pPr>
              <w:spacing w:after="80"/>
              <w:ind w:left="-142" w:right="141"/>
              <w:rPr>
                <w:rFonts w:ascii="Arial" w:hAnsi="Arial" w:cs="Arial"/>
                <w:b/>
                <w:color w:val="A6A6A6" w:themeColor="background1" w:themeShade="A6"/>
                <w:sz w:val="36"/>
                <w:szCs w:val="36"/>
              </w:rPr>
            </w:pPr>
            <w:bookmarkStart w:id="0" w:name="bmNamn" w:colFirst="0" w:colLast="0"/>
            <w:r w:rsidRPr="0072798A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>PRESSRELEASE</w:t>
            </w:r>
          </w:p>
        </w:tc>
      </w:tr>
      <w:tr w:rsidR="009E3F7C" w:rsidRPr="009E3F7C" w:rsidTr="0024327B">
        <w:tc>
          <w:tcPr>
            <w:tcW w:w="356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1" w:name="bmAdress" w:colFirst="0" w:colLast="0"/>
            <w:bookmarkEnd w:id="0"/>
          </w:p>
        </w:tc>
      </w:tr>
      <w:bookmarkEnd w:id="1"/>
      <w:tr w:rsidR="00B22B6E" w:rsidRPr="009E3F7C" w:rsidTr="0024327B">
        <w:tc>
          <w:tcPr>
            <w:tcW w:w="3561" w:type="dxa"/>
          </w:tcPr>
          <w:p w:rsidR="00B22B6E" w:rsidRPr="0072798A" w:rsidRDefault="00B22B6E" w:rsidP="00F84FED">
            <w:pPr>
              <w:spacing w:after="80"/>
              <w:ind w:right="141"/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</w:tbl>
    <w:tbl>
      <w:tblPr>
        <w:tblW w:w="9039" w:type="dxa"/>
        <w:tblLook w:val="00BF"/>
      </w:tblPr>
      <w:tblGrid>
        <w:gridCol w:w="9039"/>
      </w:tblGrid>
      <w:tr w:rsidR="00B22B6E" w:rsidRPr="00B22B6E" w:rsidTr="006057E9">
        <w:trPr>
          <w:trHeight w:val="851"/>
        </w:trPr>
        <w:tc>
          <w:tcPr>
            <w:tcW w:w="9039" w:type="dxa"/>
          </w:tcPr>
          <w:p w:rsidR="00B22B6E" w:rsidRPr="005616BC" w:rsidRDefault="00B22B6E" w:rsidP="006E526B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5616BC">
              <w:rPr>
                <w:rFonts w:ascii="Arial" w:hAnsi="Arial" w:cs="Arial"/>
                <w:sz w:val="24"/>
                <w:szCs w:val="24"/>
              </w:rPr>
              <w:t>Göteborg den</w:t>
            </w:r>
            <w:r w:rsidR="00B616E1">
              <w:rPr>
                <w:rFonts w:ascii="Arial" w:hAnsi="Arial" w:cs="Arial"/>
                <w:sz w:val="24"/>
                <w:szCs w:val="24"/>
              </w:rPr>
              <w:t xml:space="preserve"> 18</w:t>
            </w:r>
            <w:r w:rsidRPr="005616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397">
              <w:rPr>
                <w:rFonts w:ascii="Arial" w:hAnsi="Arial" w:cs="Arial"/>
                <w:sz w:val="24"/>
                <w:szCs w:val="24"/>
              </w:rPr>
              <w:t>september</w:t>
            </w:r>
            <w:r w:rsidR="003B1F2A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833D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22B6E" w:rsidRPr="009E1140" w:rsidRDefault="009E1140" w:rsidP="00833D37">
      <w:pPr>
        <w:ind w:right="282"/>
        <w:rPr>
          <w:rFonts w:ascii="Arial" w:hAnsi="Arial" w:cs="Arial"/>
          <w:b/>
          <w:sz w:val="32"/>
          <w:szCs w:val="32"/>
        </w:rPr>
      </w:pPr>
      <w:r w:rsidRPr="009E1140">
        <w:rPr>
          <w:rFonts w:ascii="Arial" w:hAnsi="Arial" w:cs="Arial"/>
          <w:b/>
          <w:sz w:val="32"/>
          <w:szCs w:val="32"/>
        </w:rPr>
        <w:t>SveaReal</w:t>
      </w:r>
      <w:r w:rsidR="00B620CF">
        <w:rPr>
          <w:rFonts w:ascii="Arial" w:hAnsi="Arial" w:cs="Arial"/>
          <w:b/>
          <w:sz w:val="32"/>
          <w:szCs w:val="32"/>
        </w:rPr>
        <w:t>-</w:t>
      </w:r>
      <w:r w:rsidR="00F361A9">
        <w:rPr>
          <w:rFonts w:ascii="Arial" w:hAnsi="Arial" w:cs="Arial"/>
          <w:b/>
          <w:sz w:val="32"/>
          <w:szCs w:val="32"/>
        </w:rPr>
        <w:t>fastighet i Malmö blir nordiskt distributionsnav</w:t>
      </w:r>
      <w:r w:rsidR="003D6F1B">
        <w:rPr>
          <w:rFonts w:ascii="Arial" w:hAnsi="Arial" w:cs="Arial"/>
          <w:b/>
          <w:sz w:val="32"/>
          <w:szCs w:val="32"/>
        </w:rPr>
        <w:t>.</w:t>
      </w:r>
    </w:p>
    <w:p w:rsidR="00B22B6E" w:rsidRPr="009E1140" w:rsidRDefault="00B22B6E" w:rsidP="00833D37">
      <w:pPr>
        <w:ind w:right="282"/>
        <w:rPr>
          <w:rFonts w:ascii="Arial" w:hAnsi="Arial" w:cs="Arial"/>
          <w:b/>
          <w:sz w:val="24"/>
          <w:szCs w:val="24"/>
        </w:rPr>
      </w:pPr>
    </w:p>
    <w:p w:rsidR="009E1140" w:rsidRPr="009E1140" w:rsidRDefault="00B620CF" w:rsidP="009E1140">
      <w:pPr>
        <w:tabs>
          <w:tab w:val="clear" w:pos="284"/>
        </w:tabs>
        <w:spacing w:before="100" w:beforeAutospacing="1" w:after="2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225425</wp:posOffset>
            </wp:positionV>
            <wp:extent cx="1533525" cy="2390775"/>
            <wp:effectExtent l="19050" t="0" r="9525" b="0"/>
            <wp:wrapTight wrapText="bothSides">
              <wp:wrapPolygon edited="0">
                <wp:start x="-268" y="0"/>
                <wp:lineTo x="-268" y="21514"/>
                <wp:lineTo x="21734" y="21514"/>
                <wp:lineTo x="21734" y="0"/>
                <wp:lineTo x="-268" y="0"/>
              </wp:wrapPolygon>
            </wp:wrapTight>
            <wp:docPr id="1" name="Bildobjekt 0" descr="120319-Claes far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19-Claes far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3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661">
        <w:rPr>
          <w:rFonts w:ascii="Arial" w:hAnsi="Arial" w:cs="Arial"/>
          <w:noProof/>
          <w:sz w:val="28"/>
          <w:szCs w:val="28"/>
        </w:rPr>
        <w:t>I</w:t>
      </w:r>
      <w:r w:rsidR="00F361A9" w:rsidRPr="00F361A9">
        <w:rPr>
          <w:rFonts w:ascii="Arial" w:hAnsi="Arial" w:cs="Arial"/>
          <w:noProof/>
          <w:sz w:val="28"/>
          <w:szCs w:val="28"/>
        </w:rPr>
        <w:t xml:space="preserve"> </w:t>
      </w:r>
      <w:hyperlink r:id="rId8" w:history="1">
        <w:r w:rsidR="00ED44C1" w:rsidRPr="00586E3F">
          <w:rPr>
            <w:rStyle w:val="Hyperlnk"/>
            <w:rFonts w:ascii="Arial" w:hAnsi="Arial" w:cs="Arial"/>
            <w:noProof/>
            <w:sz w:val="28"/>
            <w:szCs w:val="28"/>
          </w:rPr>
          <w:t>SveaReals</w:t>
        </w:r>
      </w:hyperlink>
      <w:r w:rsidR="00ED44C1">
        <w:rPr>
          <w:rFonts w:ascii="Arial" w:hAnsi="Arial" w:cs="Arial"/>
          <w:noProof/>
          <w:sz w:val="28"/>
          <w:szCs w:val="28"/>
        </w:rPr>
        <w:t xml:space="preserve"> fastighet i Östra H</w:t>
      </w:r>
      <w:r w:rsidR="00F361A9">
        <w:rPr>
          <w:rFonts w:ascii="Arial" w:hAnsi="Arial" w:cs="Arial"/>
          <w:noProof/>
          <w:sz w:val="28"/>
          <w:szCs w:val="28"/>
        </w:rPr>
        <w:t xml:space="preserve">amnen i </w:t>
      </w:r>
      <w:r w:rsidR="00F361A9" w:rsidRPr="00F361A9">
        <w:rPr>
          <w:rFonts w:ascii="Arial" w:hAnsi="Arial" w:cs="Arial"/>
          <w:noProof/>
          <w:sz w:val="28"/>
          <w:szCs w:val="28"/>
        </w:rPr>
        <w:t>Malmö</w:t>
      </w:r>
      <w:r w:rsidR="00AC1661" w:rsidRPr="00AC1661">
        <w:rPr>
          <w:rFonts w:ascii="Arial" w:hAnsi="Arial" w:cs="Arial"/>
          <w:noProof/>
          <w:sz w:val="28"/>
          <w:szCs w:val="28"/>
        </w:rPr>
        <w:t xml:space="preserve"> </w:t>
      </w:r>
      <w:r w:rsidR="00AC1661" w:rsidRPr="00F361A9">
        <w:rPr>
          <w:rFonts w:ascii="Arial" w:hAnsi="Arial" w:cs="Arial"/>
          <w:noProof/>
          <w:sz w:val="28"/>
          <w:szCs w:val="28"/>
        </w:rPr>
        <w:t>c</w:t>
      </w:r>
      <w:r w:rsidR="00AC1661">
        <w:rPr>
          <w:rFonts w:ascii="Arial" w:hAnsi="Arial" w:cs="Arial"/>
          <w:noProof/>
          <w:sz w:val="28"/>
          <w:szCs w:val="28"/>
        </w:rPr>
        <w:t>e</w:t>
      </w:r>
      <w:r w:rsidR="00AC1661" w:rsidRPr="00F361A9">
        <w:rPr>
          <w:rFonts w:ascii="Arial" w:hAnsi="Arial" w:cs="Arial"/>
          <w:noProof/>
          <w:sz w:val="28"/>
          <w:szCs w:val="28"/>
        </w:rPr>
        <w:t>ntraliserar Habo Gruppen</w:t>
      </w:r>
      <w:r w:rsidR="00AC1661">
        <w:rPr>
          <w:rFonts w:ascii="Arial" w:hAnsi="Arial" w:cs="Arial"/>
          <w:noProof/>
          <w:sz w:val="28"/>
          <w:szCs w:val="28"/>
        </w:rPr>
        <w:t xml:space="preserve"> AB</w:t>
      </w:r>
      <w:r w:rsidR="00AC1661" w:rsidRPr="00F361A9">
        <w:rPr>
          <w:rFonts w:ascii="Arial" w:hAnsi="Arial" w:cs="Arial"/>
          <w:noProof/>
          <w:sz w:val="28"/>
          <w:szCs w:val="28"/>
        </w:rPr>
        <w:t xml:space="preserve"> </w:t>
      </w:r>
      <w:r w:rsidR="00AC1661">
        <w:rPr>
          <w:rFonts w:ascii="Arial" w:hAnsi="Arial" w:cs="Arial"/>
          <w:noProof/>
          <w:sz w:val="28"/>
          <w:szCs w:val="28"/>
        </w:rPr>
        <w:t xml:space="preserve">nu </w:t>
      </w:r>
      <w:r w:rsidR="00AC1661" w:rsidRPr="00F361A9">
        <w:rPr>
          <w:rFonts w:ascii="Arial" w:hAnsi="Arial" w:cs="Arial"/>
          <w:noProof/>
          <w:sz w:val="28"/>
          <w:szCs w:val="28"/>
        </w:rPr>
        <w:t>s</w:t>
      </w:r>
      <w:r w:rsidR="00AC1661">
        <w:rPr>
          <w:rFonts w:ascii="Arial" w:hAnsi="Arial" w:cs="Arial"/>
          <w:noProof/>
          <w:sz w:val="28"/>
          <w:szCs w:val="28"/>
        </w:rPr>
        <w:t>itt nordiska distributionslager.</w:t>
      </w:r>
    </w:p>
    <w:p w:rsidR="00ED44C1" w:rsidRDefault="006F0E3D" w:rsidP="003D6F1B">
      <w:pPr>
        <w:tabs>
          <w:tab w:val="clear" w:pos="284"/>
        </w:tabs>
        <w:spacing w:before="100" w:beforeAutospacing="1" w:after="2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Habo Gruppen </w:t>
      </w:r>
      <w:r w:rsidR="00E357B6">
        <w:rPr>
          <w:rFonts w:ascii="Arial" w:hAnsi="Arial" w:cs="Arial"/>
          <w:szCs w:val="22"/>
        </w:rPr>
        <w:t>väljer att flytta lager och distribution till en koncerngemensam lokalisering i M</w:t>
      </w:r>
      <w:r w:rsidR="003B1780">
        <w:rPr>
          <w:rFonts w:ascii="Arial" w:hAnsi="Arial" w:cs="Arial"/>
          <w:szCs w:val="22"/>
        </w:rPr>
        <w:t xml:space="preserve">almö. </w:t>
      </w:r>
      <w:r>
        <w:rPr>
          <w:rFonts w:ascii="Arial" w:hAnsi="Arial" w:cs="Arial"/>
          <w:szCs w:val="22"/>
        </w:rPr>
        <w:t xml:space="preserve">Systerbolaget </w:t>
      </w:r>
      <w:r w:rsidR="00F361A9">
        <w:rPr>
          <w:rFonts w:ascii="Arial" w:hAnsi="Arial" w:cs="Arial"/>
          <w:szCs w:val="22"/>
        </w:rPr>
        <w:t xml:space="preserve">Thomée Gruppen </w:t>
      </w:r>
      <w:r w:rsidR="00ED44C1">
        <w:rPr>
          <w:rFonts w:ascii="Arial" w:hAnsi="Arial" w:cs="Arial"/>
          <w:szCs w:val="22"/>
        </w:rPr>
        <w:t xml:space="preserve">AB </w:t>
      </w:r>
      <w:r>
        <w:rPr>
          <w:rFonts w:ascii="Arial" w:hAnsi="Arial" w:cs="Arial"/>
          <w:szCs w:val="22"/>
        </w:rPr>
        <w:t>är hyresgäster i SveaReals fast</w:t>
      </w:r>
      <w:r w:rsidR="003B1780">
        <w:rPr>
          <w:rFonts w:ascii="Arial" w:hAnsi="Arial" w:cs="Arial"/>
          <w:szCs w:val="22"/>
        </w:rPr>
        <w:t>ighet</w:t>
      </w:r>
      <w:r w:rsidR="00ED44C1">
        <w:rPr>
          <w:rFonts w:ascii="Arial" w:hAnsi="Arial" w:cs="Arial"/>
          <w:szCs w:val="22"/>
        </w:rPr>
        <w:t xml:space="preserve"> sedan 1985 och hyr idag </w:t>
      </w:r>
      <w:r w:rsidR="00F361A9">
        <w:rPr>
          <w:rFonts w:ascii="Arial" w:hAnsi="Arial" w:cs="Arial"/>
          <w:szCs w:val="22"/>
        </w:rPr>
        <w:t xml:space="preserve">16.000 kvm </w:t>
      </w:r>
      <w:r w:rsidR="00ED44C1">
        <w:rPr>
          <w:rFonts w:ascii="Arial" w:hAnsi="Arial" w:cs="Arial"/>
          <w:szCs w:val="22"/>
        </w:rPr>
        <w:t xml:space="preserve">lager och kontor. </w:t>
      </w:r>
      <w:r w:rsidR="00C909A5">
        <w:rPr>
          <w:rFonts w:ascii="Arial" w:hAnsi="Arial" w:cs="Arial"/>
          <w:szCs w:val="22"/>
        </w:rPr>
        <w:t>Det nya a</w:t>
      </w:r>
      <w:r w:rsidR="00ED44C1">
        <w:rPr>
          <w:rFonts w:ascii="Arial" w:hAnsi="Arial" w:cs="Arial"/>
          <w:szCs w:val="22"/>
        </w:rPr>
        <w:t>vtalet är på</w:t>
      </w:r>
      <w:r w:rsidR="00BF2876">
        <w:rPr>
          <w:rFonts w:ascii="Arial" w:hAnsi="Arial" w:cs="Arial"/>
          <w:szCs w:val="22"/>
        </w:rPr>
        <w:t xml:space="preserve"> </w:t>
      </w:r>
      <w:r w:rsidR="00BF2876" w:rsidRPr="00B616E1">
        <w:rPr>
          <w:rFonts w:ascii="Arial" w:hAnsi="Arial" w:cs="Arial"/>
          <w:szCs w:val="22"/>
        </w:rPr>
        <w:t>ytterligare</w:t>
      </w:r>
      <w:r w:rsidR="00ED44C1">
        <w:rPr>
          <w:rFonts w:ascii="Arial" w:hAnsi="Arial" w:cs="Arial"/>
          <w:szCs w:val="22"/>
        </w:rPr>
        <w:t xml:space="preserve"> 1</w:t>
      </w:r>
      <w:r w:rsidR="00AC1661">
        <w:rPr>
          <w:rFonts w:ascii="Arial" w:hAnsi="Arial" w:cs="Arial"/>
          <w:szCs w:val="22"/>
        </w:rPr>
        <w:t>0.000 kvm</w:t>
      </w:r>
      <w:r w:rsidR="00ED44C1">
        <w:rPr>
          <w:rFonts w:ascii="Arial" w:hAnsi="Arial" w:cs="Arial"/>
          <w:szCs w:val="22"/>
        </w:rPr>
        <w:t>.</w:t>
      </w:r>
    </w:p>
    <w:p w:rsidR="003D6F1B" w:rsidRPr="003D6F1B" w:rsidRDefault="009E1140" w:rsidP="003D6F1B">
      <w:pPr>
        <w:tabs>
          <w:tab w:val="clear" w:pos="284"/>
        </w:tabs>
        <w:spacing w:before="100" w:beforeAutospacing="1" w:after="225"/>
        <w:rPr>
          <w:rFonts w:ascii="Arial" w:hAnsi="Arial" w:cs="Arial"/>
          <w:szCs w:val="22"/>
        </w:rPr>
      </w:pPr>
      <w:r w:rsidRPr="009E1140">
        <w:rPr>
          <w:rFonts w:ascii="Arial" w:hAnsi="Arial" w:cs="Arial"/>
          <w:szCs w:val="22"/>
        </w:rPr>
        <w:t>-</w:t>
      </w:r>
      <w:r w:rsidRPr="009E1140">
        <w:rPr>
          <w:rFonts w:ascii="Arial" w:hAnsi="Arial" w:cs="Arial"/>
          <w:i/>
          <w:iCs/>
          <w:szCs w:val="22"/>
        </w:rPr>
        <w:t xml:space="preserve"> </w:t>
      </w:r>
      <w:r w:rsidR="003B1780">
        <w:rPr>
          <w:rFonts w:ascii="Arial" w:hAnsi="Arial" w:cs="Arial"/>
          <w:i/>
          <w:iCs/>
          <w:szCs w:val="22"/>
        </w:rPr>
        <w:t>Det är naturligtvis ett gott betyg på vår förvaltning när en stor kund väljer att bli ännu större</w:t>
      </w:r>
      <w:r w:rsidRPr="009E1140">
        <w:rPr>
          <w:rFonts w:ascii="Arial" w:hAnsi="Arial" w:cs="Arial"/>
          <w:szCs w:val="22"/>
        </w:rPr>
        <w:t xml:space="preserve">, säger SveaReals </w:t>
      </w:r>
      <w:r w:rsidRPr="003B1780">
        <w:rPr>
          <w:rFonts w:ascii="Arial" w:hAnsi="Arial" w:cs="Arial"/>
          <w:szCs w:val="22"/>
        </w:rPr>
        <w:t>VD Claes Malmkvist.</w:t>
      </w:r>
      <w:r w:rsidR="00C909A5">
        <w:rPr>
          <w:rFonts w:ascii="Arial" w:hAnsi="Arial" w:cs="Arial"/>
          <w:szCs w:val="22"/>
        </w:rPr>
        <w:br/>
      </w:r>
      <w:r w:rsidR="003B1780" w:rsidRPr="003B1780">
        <w:rPr>
          <w:rFonts w:ascii="Arial" w:hAnsi="Arial" w:cs="Arial"/>
          <w:i/>
          <w:szCs w:val="22"/>
        </w:rPr>
        <w:t xml:space="preserve">Vi fokuserar mycket på våra kunder och deras behov </w:t>
      </w:r>
      <w:r w:rsidR="003B1780" w:rsidRPr="003D6F1B">
        <w:rPr>
          <w:rFonts w:ascii="Arial" w:hAnsi="Arial" w:cs="Arial"/>
          <w:i/>
          <w:szCs w:val="22"/>
        </w:rPr>
        <w:t xml:space="preserve">och det känns extra bra när man lyckas med affärer som denna, </w:t>
      </w:r>
      <w:r w:rsidR="003B1780" w:rsidRPr="003D6F1B">
        <w:rPr>
          <w:rFonts w:ascii="Arial" w:hAnsi="Arial" w:cs="Arial"/>
          <w:szCs w:val="22"/>
        </w:rPr>
        <w:t>avslutar Claes Malmkvist.</w:t>
      </w:r>
    </w:p>
    <w:p w:rsidR="003D6F1B" w:rsidRPr="00B616E1" w:rsidRDefault="007A7A72" w:rsidP="003D6F1B">
      <w:pPr>
        <w:pStyle w:val="Default"/>
        <w:rPr>
          <w:rFonts w:ascii="Arial" w:hAnsi="Arial" w:cs="Arial"/>
          <w:color w:val="auto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Som nordisk marknadsledare</w:t>
      </w:r>
      <w:r w:rsidR="003D6F1B" w:rsidRPr="003D6F1B">
        <w:rPr>
          <w:rFonts w:ascii="Arial" w:hAnsi="Arial" w:cs="Arial"/>
          <w:sz w:val="22"/>
          <w:szCs w:val="22"/>
          <w:lang w:val="sv-SE"/>
        </w:rPr>
        <w:t xml:space="preserve"> inom </w:t>
      </w:r>
      <w:r w:rsidR="00BF2876" w:rsidRPr="00B616E1">
        <w:rPr>
          <w:rFonts w:ascii="Arial" w:hAnsi="Arial" w:cs="Arial"/>
          <w:sz w:val="22"/>
          <w:szCs w:val="22"/>
          <w:lang w:val="sv-SE"/>
        </w:rPr>
        <w:t>dörrhandtag och</w:t>
      </w:r>
      <w:r w:rsidR="00BF2876">
        <w:rPr>
          <w:rFonts w:ascii="Arial" w:hAnsi="Arial" w:cs="Arial"/>
          <w:sz w:val="22"/>
          <w:szCs w:val="22"/>
          <w:lang w:val="sv-SE"/>
        </w:rPr>
        <w:t xml:space="preserve"> </w:t>
      </w:r>
      <w:r w:rsidR="003D6F1B" w:rsidRPr="003D6F1B">
        <w:rPr>
          <w:rFonts w:ascii="Arial" w:hAnsi="Arial" w:cs="Arial"/>
          <w:sz w:val="22"/>
          <w:szCs w:val="22"/>
          <w:lang w:val="sv-SE"/>
        </w:rPr>
        <w:t>be</w:t>
      </w:r>
      <w:r w:rsidR="006F0E3D">
        <w:rPr>
          <w:rFonts w:ascii="Arial" w:hAnsi="Arial" w:cs="Arial"/>
          <w:sz w:val="22"/>
          <w:szCs w:val="22"/>
          <w:lang w:val="sv-SE"/>
        </w:rPr>
        <w:t xml:space="preserve">slag </w:t>
      </w:r>
      <w:r w:rsidR="003D6F1B">
        <w:rPr>
          <w:rFonts w:ascii="Arial" w:hAnsi="Arial" w:cs="Arial"/>
          <w:sz w:val="22"/>
          <w:szCs w:val="22"/>
          <w:lang w:val="sv-SE"/>
        </w:rPr>
        <w:t>ställer</w:t>
      </w:r>
      <w:r>
        <w:rPr>
          <w:rFonts w:ascii="Arial" w:hAnsi="Arial" w:cs="Arial"/>
          <w:sz w:val="22"/>
          <w:szCs w:val="22"/>
          <w:lang w:val="sv-SE"/>
        </w:rPr>
        <w:t xml:space="preserve"> Habo Gruppen</w:t>
      </w:r>
      <w:r w:rsidR="003D6F1B">
        <w:rPr>
          <w:rFonts w:ascii="Arial" w:hAnsi="Arial" w:cs="Arial"/>
          <w:sz w:val="22"/>
          <w:szCs w:val="22"/>
          <w:lang w:val="sv-SE"/>
        </w:rPr>
        <w:t xml:space="preserve"> höga krav </w:t>
      </w:r>
      <w:r w:rsidR="003D6F1B" w:rsidRPr="003D6F1B">
        <w:rPr>
          <w:rFonts w:ascii="Arial" w:hAnsi="Arial" w:cs="Arial"/>
          <w:sz w:val="22"/>
          <w:szCs w:val="22"/>
          <w:lang w:val="sv-SE"/>
        </w:rPr>
        <w:t>på ett modernt och effektivt nordiskt lager</w:t>
      </w:r>
      <w:r w:rsidR="003D6F1B">
        <w:rPr>
          <w:rFonts w:ascii="Arial" w:hAnsi="Arial" w:cs="Arial"/>
          <w:sz w:val="22"/>
          <w:szCs w:val="22"/>
          <w:lang w:val="sv-SE"/>
        </w:rPr>
        <w:t xml:space="preserve"> med långsiktigt hållbara lösningar för sin framtida distribution.</w:t>
      </w:r>
      <w:r w:rsidR="003D6F1B" w:rsidRPr="003D6F1B">
        <w:rPr>
          <w:rFonts w:ascii="Arial" w:hAnsi="Arial" w:cs="Arial"/>
          <w:sz w:val="22"/>
          <w:szCs w:val="22"/>
          <w:lang w:val="sv-SE"/>
        </w:rPr>
        <w:br/>
      </w:r>
    </w:p>
    <w:p w:rsidR="003B1780" w:rsidRPr="00B616E1" w:rsidRDefault="003B1780" w:rsidP="003D6F1B">
      <w:pPr>
        <w:pStyle w:val="Default"/>
        <w:rPr>
          <w:rFonts w:ascii="Arial" w:hAnsi="Arial" w:cs="Arial"/>
          <w:color w:val="auto"/>
          <w:sz w:val="22"/>
          <w:szCs w:val="22"/>
          <w:lang w:val="sv-SE"/>
        </w:rPr>
      </w:pPr>
      <w:r w:rsidRPr="00B616E1">
        <w:rPr>
          <w:rFonts w:ascii="Arial" w:hAnsi="Arial" w:cs="Arial"/>
          <w:i/>
          <w:iCs/>
          <w:color w:val="auto"/>
          <w:sz w:val="22"/>
          <w:szCs w:val="22"/>
          <w:lang w:val="sv-SE"/>
        </w:rPr>
        <w:t>- Vi måste så effektivt som möjligt distribuera våra v</w:t>
      </w:r>
      <w:r w:rsidR="006F0E3D" w:rsidRPr="00B616E1">
        <w:rPr>
          <w:rFonts w:ascii="Arial" w:hAnsi="Arial" w:cs="Arial"/>
          <w:i/>
          <w:iCs/>
          <w:color w:val="auto"/>
          <w:sz w:val="22"/>
          <w:szCs w:val="22"/>
          <w:lang w:val="sv-SE"/>
        </w:rPr>
        <w:t>aror till våra nordiska kunder.</w:t>
      </w:r>
      <w:r w:rsidR="00C909A5" w:rsidRPr="00B616E1">
        <w:rPr>
          <w:rFonts w:ascii="Arial" w:hAnsi="Arial" w:cs="Arial"/>
          <w:i/>
          <w:iCs/>
          <w:color w:val="auto"/>
          <w:sz w:val="22"/>
          <w:szCs w:val="22"/>
          <w:lang w:val="sv-SE"/>
        </w:rPr>
        <w:t xml:space="preserve"> F</w:t>
      </w:r>
      <w:r w:rsidRPr="00B616E1">
        <w:rPr>
          <w:rFonts w:ascii="Arial" w:hAnsi="Arial" w:cs="Arial"/>
          <w:i/>
          <w:iCs/>
          <w:color w:val="auto"/>
          <w:sz w:val="22"/>
          <w:szCs w:val="22"/>
          <w:lang w:val="sv-SE"/>
        </w:rPr>
        <w:t xml:space="preserve">lytten av distribunalen är nödvändig för att behålla konkurrenskraften på marknaden och kunna fortsätta att växa. </w:t>
      </w:r>
      <w:r w:rsidR="00356E29" w:rsidRPr="00B616E1">
        <w:rPr>
          <w:rFonts w:ascii="Arial" w:hAnsi="Arial" w:cs="Arial"/>
          <w:i/>
          <w:iCs/>
          <w:color w:val="auto"/>
          <w:sz w:val="22"/>
          <w:szCs w:val="22"/>
          <w:lang w:val="sv-SE"/>
        </w:rPr>
        <w:t>S</w:t>
      </w:r>
      <w:r w:rsidR="00D34494" w:rsidRPr="00B616E1">
        <w:rPr>
          <w:rFonts w:ascii="Arial" w:hAnsi="Arial" w:cs="Arial"/>
          <w:i/>
          <w:iCs/>
          <w:color w:val="auto"/>
          <w:sz w:val="22"/>
          <w:szCs w:val="22"/>
          <w:lang w:val="sv-SE"/>
        </w:rPr>
        <w:t>amordning</w:t>
      </w:r>
      <w:r w:rsidRPr="00B616E1">
        <w:rPr>
          <w:rFonts w:ascii="Arial" w:hAnsi="Arial" w:cs="Arial"/>
          <w:i/>
          <w:iCs/>
          <w:color w:val="auto"/>
          <w:sz w:val="22"/>
          <w:szCs w:val="22"/>
          <w:lang w:val="sv-SE"/>
        </w:rPr>
        <w:t xml:space="preserve"> </w:t>
      </w:r>
      <w:r w:rsidR="00356E29" w:rsidRPr="00B616E1">
        <w:rPr>
          <w:rFonts w:ascii="Arial" w:hAnsi="Arial" w:cs="Arial"/>
          <w:i/>
          <w:iCs/>
          <w:color w:val="auto"/>
          <w:sz w:val="22"/>
          <w:szCs w:val="22"/>
          <w:lang w:val="sv-SE"/>
        </w:rPr>
        <w:t xml:space="preserve">av en rad funktioner </w:t>
      </w:r>
      <w:r w:rsidRPr="00B616E1">
        <w:rPr>
          <w:rFonts w:ascii="Arial" w:hAnsi="Arial" w:cs="Arial"/>
          <w:i/>
          <w:iCs/>
          <w:color w:val="auto"/>
          <w:sz w:val="22"/>
          <w:szCs w:val="22"/>
          <w:lang w:val="sv-SE"/>
        </w:rPr>
        <w:t>mellan de olika affärsområdena i koncernen är nödvändigt för att utvecklas på en konkurrensutsatt marknad</w:t>
      </w:r>
      <w:r w:rsidRPr="00B616E1">
        <w:rPr>
          <w:rFonts w:ascii="Arial" w:hAnsi="Arial" w:cs="Arial"/>
          <w:iCs/>
          <w:color w:val="auto"/>
          <w:sz w:val="22"/>
          <w:szCs w:val="22"/>
          <w:lang w:val="sv-SE"/>
        </w:rPr>
        <w:t xml:space="preserve">, </w:t>
      </w:r>
      <w:r w:rsidR="00356E29" w:rsidRPr="00B616E1">
        <w:rPr>
          <w:rFonts w:ascii="Arial" w:hAnsi="Arial" w:cs="Arial"/>
          <w:color w:val="auto"/>
          <w:sz w:val="22"/>
          <w:szCs w:val="22"/>
          <w:lang w:val="sv-SE"/>
        </w:rPr>
        <w:t xml:space="preserve">säger </w:t>
      </w:r>
      <w:r w:rsidRPr="00B616E1">
        <w:rPr>
          <w:rFonts w:ascii="Arial" w:hAnsi="Arial" w:cs="Arial"/>
          <w:color w:val="auto"/>
          <w:sz w:val="22"/>
          <w:szCs w:val="22"/>
          <w:lang w:val="sv-SE"/>
        </w:rPr>
        <w:t xml:space="preserve">Mårten Sundberg, VD </w:t>
      </w:r>
      <w:r w:rsidR="00586E3F" w:rsidRPr="00B616E1">
        <w:rPr>
          <w:rFonts w:ascii="Arial" w:hAnsi="Arial" w:cs="Arial"/>
          <w:color w:val="auto"/>
          <w:sz w:val="22"/>
          <w:szCs w:val="22"/>
          <w:lang w:val="sv-SE"/>
        </w:rPr>
        <w:t>på</w:t>
      </w:r>
      <w:r w:rsidRPr="00B616E1">
        <w:rPr>
          <w:rFonts w:ascii="Arial" w:hAnsi="Arial" w:cs="Arial"/>
          <w:color w:val="auto"/>
          <w:sz w:val="22"/>
          <w:szCs w:val="22"/>
          <w:lang w:val="sv-SE"/>
        </w:rPr>
        <w:t xml:space="preserve"> </w:t>
      </w:r>
      <w:r w:rsidR="00A617E3" w:rsidRPr="00B616E1">
        <w:rPr>
          <w:rFonts w:ascii="Arial" w:hAnsi="Arial" w:cs="Arial"/>
          <w:color w:val="auto"/>
          <w:sz w:val="22"/>
          <w:szCs w:val="22"/>
          <w:lang w:val="sv-SE"/>
        </w:rPr>
        <w:t xml:space="preserve">moderkoncernen </w:t>
      </w:r>
      <w:r w:rsidRPr="00B616E1">
        <w:rPr>
          <w:rFonts w:ascii="Arial" w:hAnsi="Arial" w:cs="Arial"/>
          <w:color w:val="auto"/>
          <w:sz w:val="22"/>
          <w:szCs w:val="22"/>
          <w:lang w:val="sv-SE"/>
        </w:rPr>
        <w:t xml:space="preserve">Lomond Industrier AB. </w:t>
      </w:r>
    </w:p>
    <w:p w:rsidR="00B3730E" w:rsidRPr="009E1140" w:rsidRDefault="00B3051D" w:rsidP="006F0E3D">
      <w:pPr>
        <w:ind w:right="282"/>
        <w:rPr>
          <w:rFonts w:ascii="Arial" w:hAnsi="Arial" w:cs="Arial"/>
          <w:szCs w:val="22"/>
        </w:rPr>
      </w:pPr>
      <w:r w:rsidRPr="00B616E1">
        <w:rPr>
          <w:rFonts w:ascii="Arial" w:hAnsi="Arial" w:cs="Arial"/>
          <w:szCs w:val="22"/>
        </w:rPr>
        <w:br/>
      </w:r>
      <w:r w:rsidR="00B22B6E" w:rsidRPr="00B616E1">
        <w:rPr>
          <w:rFonts w:ascii="Arial" w:hAnsi="Arial" w:cs="Arial"/>
          <w:szCs w:val="22"/>
        </w:rPr>
        <w:t>För</w:t>
      </w:r>
      <w:r w:rsidR="00B22B6E" w:rsidRPr="009E1140">
        <w:rPr>
          <w:rFonts w:ascii="Arial" w:hAnsi="Arial" w:cs="Arial"/>
          <w:szCs w:val="22"/>
        </w:rPr>
        <w:t xml:space="preserve"> vidare frågor kontakta </w:t>
      </w:r>
      <w:r w:rsidR="00833D37" w:rsidRPr="009E1140">
        <w:rPr>
          <w:rFonts w:ascii="Arial" w:hAnsi="Arial" w:cs="Arial"/>
          <w:szCs w:val="22"/>
        </w:rPr>
        <w:t xml:space="preserve">SveaReals </w:t>
      </w:r>
      <w:r w:rsidR="00D04679" w:rsidRPr="009E1140">
        <w:rPr>
          <w:rFonts w:ascii="Arial" w:hAnsi="Arial" w:cs="Arial"/>
          <w:szCs w:val="22"/>
        </w:rPr>
        <w:t>V</w:t>
      </w:r>
      <w:r w:rsidR="00A617E3">
        <w:rPr>
          <w:rFonts w:ascii="Arial" w:hAnsi="Arial" w:cs="Arial"/>
          <w:szCs w:val="22"/>
        </w:rPr>
        <w:t>D Claes Malmkvist, 031-63 65 90.</w:t>
      </w:r>
    </w:p>
    <w:p w:rsidR="006F0E3D" w:rsidRPr="009E1140" w:rsidRDefault="006F0E3D">
      <w:pPr>
        <w:tabs>
          <w:tab w:val="clear" w:pos="284"/>
          <w:tab w:val="left" w:pos="0"/>
        </w:tabs>
        <w:spacing w:after="240"/>
        <w:ind w:right="141"/>
        <w:rPr>
          <w:rFonts w:ascii="Arial" w:hAnsi="Arial" w:cs="Arial"/>
          <w:szCs w:val="22"/>
        </w:rPr>
      </w:pPr>
    </w:p>
    <w:sectPr w:rsidR="006F0E3D" w:rsidRPr="009E1140" w:rsidSect="006E526B"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1275" w:bottom="851" w:left="1418" w:header="284" w:footer="4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7F" w:rsidRDefault="009F2D7F">
      <w:r>
        <w:separator/>
      </w:r>
    </w:p>
  </w:endnote>
  <w:endnote w:type="continuationSeparator" w:id="0">
    <w:p w:rsidR="009F2D7F" w:rsidRDefault="009F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61" w:rsidRPr="009E3F7C" w:rsidRDefault="00AC1661" w:rsidP="006E526B">
    <w:pPr>
      <w:pBdr>
        <w:bottom w:val="single" w:sz="12" w:space="0" w:color="auto"/>
      </w:pBdr>
      <w:autoSpaceDE w:val="0"/>
      <w:autoSpaceDN w:val="0"/>
      <w:adjustRightInd w:val="0"/>
      <w:rPr>
        <w:rFonts w:ascii="Arial" w:hAnsi="Arial" w:cs="Arial"/>
        <w:b/>
        <w:bCs/>
        <w:color w:val="A6A6A6" w:themeColor="background1" w:themeShade="A6"/>
        <w:sz w:val="20"/>
      </w:rPr>
    </w:pPr>
  </w:p>
  <w:p w:rsidR="00AC1661" w:rsidRPr="006E526B" w:rsidRDefault="00AC1661" w:rsidP="006E526B">
    <w:pPr>
      <w:adjustRightInd w:val="0"/>
      <w:rPr>
        <w:rFonts w:ascii="Arial" w:hAnsi="Arial" w:cs="Arial"/>
        <w:b/>
        <w:color w:val="808080" w:themeColor="background1" w:themeShade="80"/>
        <w:sz w:val="18"/>
        <w:szCs w:val="18"/>
      </w:rPr>
    </w:pPr>
    <w:r>
      <w:rPr>
        <w:rFonts w:ascii="Arial" w:hAnsi="Arial" w:cs="Arial"/>
        <w:b/>
        <w:color w:val="A6A6A6" w:themeColor="background1" w:themeShade="A6"/>
        <w:sz w:val="18"/>
        <w:szCs w:val="18"/>
      </w:rPr>
      <w:br/>
    </w:r>
    <w:r w:rsidRPr="006E526B">
      <w:rPr>
        <w:rFonts w:ascii="Arial" w:hAnsi="Arial" w:cs="Arial"/>
        <w:b/>
        <w:color w:val="808080" w:themeColor="background1" w:themeShade="80"/>
        <w:sz w:val="18"/>
        <w:szCs w:val="18"/>
      </w:rPr>
      <w:t>SveaReal äger och utvecklar framgångsrikt fastigheter för lager, logistik och kontor på tillväxtorter i mellersta och södra Sverige . Fastighetsbeståndet omfattar 77 fastigheter med en lokalyta om 706 000 m</w:t>
    </w:r>
    <w:r w:rsidRPr="005A159D">
      <w:rPr>
        <w:rFonts w:ascii="Arial" w:hAnsi="Arial" w:cs="Arial"/>
        <w:b/>
        <w:color w:val="808080" w:themeColor="background1" w:themeShade="80"/>
        <w:sz w:val="18"/>
        <w:szCs w:val="18"/>
        <w:vertAlign w:val="superscript"/>
      </w:rPr>
      <w:t>2</w:t>
    </w:r>
    <w:r w:rsidRPr="006E526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. </w:t>
    </w:r>
  </w:p>
  <w:p w:rsidR="00AC1661" w:rsidRPr="006E526B" w:rsidRDefault="00AC1661" w:rsidP="006E526B">
    <w:pPr>
      <w:adjustRightInd w:val="0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6E526B">
      <w:rPr>
        <w:rFonts w:ascii="Arial" w:hAnsi="Arial" w:cs="Arial"/>
        <w:b/>
        <w:color w:val="808080" w:themeColor="background1" w:themeShade="80"/>
        <w:sz w:val="18"/>
        <w:szCs w:val="18"/>
      </w:rPr>
      <w:t>Organisationen består av 20 medarbetare som utgår från våra kontor i Göteborg, Malmö och Stockholm. Bolaget omsätter ca 470 MSEK och har god lönsamhet.</w:t>
    </w:r>
    <w:bookmarkStart w:id="2" w:name="_GoBack"/>
    <w:bookmarkEnd w:id="2"/>
  </w:p>
  <w:p w:rsidR="00AC1661" w:rsidRPr="006E526B" w:rsidRDefault="00AC1661" w:rsidP="006E526B">
    <w:pPr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6E526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SveaReal har 321 aktieägare bestående av i första hand norska institutionella kapitalplacerare, privata bolag och privatpersoner. Besök vår hemsida för mer information </w:t>
    </w:r>
    <w:hyperlink r:id="rId1" w:history="1">
      <w:r w:rsidRPr="006E526B">
        <w:rPr>
          <w:rStyle w:val="Hyperlnk"/>
          <w:rFonts w:ascii="Arial" w:hAnsi="Arial" w:cs="Arial"/>
          <w:b/>
          <w:color w:val="808080" w:themeColor="background1" w:themeShade="80"/>
          <w:sz w:val="18"/>
          <w:szCs w:val="18"/>
        </w:rPr>
        <w:t>www.sveareal.com</w:t>
      </w:r>
    </w:hyperlink>
    <w:r w:rsidRPr="006E526B">
      <w:rPr>
        <w:rFonts w:ascii="Arial" w:hAnsi="Arial" w:cs="Arial"/>
        <w:b/>
        <w:color w:val="808080" w:themeColor="background1" w:themeShade="80"/>
        <w:sz w:val="18"/>
        <w:szCs w:val="18"/>
      </w:rPr>
      <w:t>.</w:t>
    </w:r>
  </w:p>
  <w:p w:rsidR="00AC1661" w:rsidRPr="006E526B" w:rsidRDefault="00AC1661">
    <w:pPr>
      <w:pStyle w:val="Sidfot"/>
      <w:rPr>
        <w:rFonts w:ascii="Arial" w:hAnsi="Arial" w:cs="Arial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7F" w:rsidRDefault="009F2D7F">
      <w:r>
        <w:separator/>
      </w:r>
    </w:p>
  </w:footnote>
  <w:footnote w:type="continuationSeparator" w:id="0">
    <w:p w:rsidR="009F2D7F" w:rsidRDefault="009F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3306"/>
      <w:gridCol w:w="2684"/>
      <w:gridCol w:w="3049"/>
    </w:tblGrid>
    <w:tr w:rsidR="00AC1661">
      <w:tc>
        <w:tcPr>
          <w:tcW w:w="2881" w:type="dxa"/>
        </w:tcPr>
        <w:p w:rsidR="00AC1661" w:rsidRDefault="00AC1661">
          <w:pPr>
            <w:pStyle w:val="Sidhuvud"/>
          </w:pPr>
          <w:r w:rsidRPr="00B22B6E">
            <w:rPr>
              <w:noProof/>
              <w:lang w:val="en-US"/>
            </w:rPr>
            <w:drawing>
              <wp:inline distT="0" distB="0" distL="0" distR="0">
                <wp:extent cx="1943100" cy="342900"/>
                <wp:effectExtent l="19050" t="0" r="0" b="0"/>
                <wp:docPr id="4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AC1661" w:rsidRDefault="00AC1661">
          <w:pPr>
            <w:pStyle w:val="Sidhuvud"/>
            <w:jc w:val="center"/>
          </w:pPr>
        </w:p>
      </w:tc>
      <w:tc>
        <w:tcPr>
          <w:tcW w:w="3276" w:type="dxa"/>
        </w:tcPr>
        <w:p w:rsidR="00AC1661" w:rsidRDefault="00AC1661">
          <w:pPr>
            <w:pStyle w:val="Sidhuvud"/>
            <w:jc w:val="right"/>
          </w:pPr>
        </w:p>
      </w:tc>
    </w:tr>
  </w:tbl>
  <w:p w:rsidR="00AC1661" w:rsidRDefault="00AC1661">
    <w:pPr>
      <w:pStyle w:val="Sidhuvud"/>
    </w:pPr>
  </w:p>
  <w:p w:rsidR="00AC1661" w:rsidRDefault="00AC16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2866"/>
      <w:gridCol w:w="2867"/>
      <w:gridCol w:w="3306"/>
    </w:tblGrid>
    <w:tr w:rsidR="00AC1661" w:rsidTr="007A30AC">
      <w:trPr>
        <w:trHeight w:val="537"/>
      </w:trPr>
      <w:tc>
        <w:tcPr>
          <w:tcW w:w="2866" w:type="dxa"/>
        </w:tcPr>
        <w:p w:rsidR="00AC1661" w:rsidRDefault="00AC1661">
          <w:pPr>
            <w:pStyle w:val="Sidhuvud"/>
          </w:pPr>
        </w:p>
      </w:tc>
      <w:tc>
        <w:tcPr>
          <w:tcW w:w="2867" w:type="dxa"/>
        </w:tcPr>
        <w:p w:rsidR="00AC1661" w:rsidRDefault="00AC1661">
          <w:pPr>
            <w:pStyle w:val="Sidhuvud"/>
            <w:jc w:val="center"/>
          </w:pPr>
        </w:p>
      </w:tc>
      <w:tc>
        <w:tcPr>
          <w:tcW w:w="3306" w:type="dxa"/>
        </w:tcPr>
        <w:p w:rsidR="00AC1661" w:rsidRDefault="00AC1661">
          <w:pPr>
            <w:pStyle w:val="Sidhuvud"/>
            <w:jc w:val="right"/>
          </w:pPr>
        </w:p>
      </w:tc>
    </w:tr>
  </w:tbl>
  <w:p w:rsidR="00AC1661" w:rsidRDefault="00AC1661">
    <w:pPr>
      <w:pStyle w:val="Sidhuvud"/>
      <w:rPr>
        <w:sz w:val="2"/>
        <w:szCs w:val="2"/>
      </w:rPr>
    </w:pPr>
    <w:r w:rsidRPr="007A30AC">
      <w:rPr>
        <w:noProof/>
        <w:sz w:val="2"/>
        <w:szCs w:val="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2540</wp:posOffset>
          </wp:positionV>
          <wp:extent cx="1943100" cy="342900"/>
          <wp:effectExtent l="19050" t="0" r="0" b="0"/>
          <wp:wrapThrough wrapText="bothSides">
            <wp:wrapPolygon edited="0">
              <wp:start x="-212" y="0"/>
              <wp:lineTo x="-212" y="20400"/>
              <wp:lineTo x="21600" y="20400"/>
              <wp:lineTo x="21600" y="0"/>
              <wp:lineTo x="-212" y="0"/>
            </wp:wrapPolygon>
          </wp:wrapThrough>
          <wp:docPr id="5" name="Bild 1" descr="EDB612EA-74C1-471F-A68E-8FA2918301A3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B612EA-74C1-471F-A68E-8FA2918301A3@lo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0CF"/>
    <w:multiLevelType w:val="multilevel"/>
    <w:tmpl w:val="2E1C5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FE63ED"/>
    <w:multiLevelType w:val="hybridMultilevel"/>
    <w:tmpl w:val="EDD6AC7C"/>
    <w:lvl w:ilvl="0" w:tplc="EE641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6E9"/>
    <w:multiLevelType w:val="hybridMultilevel"/>
    <w:tmpl w:val="9090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65DE1"/>
    <w:multiLevelType w:val="hybridMultilevel"/>
    <w:tmpl w:val="11BE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D756F"/>
    <w:multiLevelType w:val="multilevel"/>
    <w:tmpl w:val="F92E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606FA"/>
    <w:multiLevelType w:val="hybridMultilevel"/>
    <w:tmpl w:val="32AE87DE"/>
    <w:lvl w:ilvl="0" w:tplc="0C5EC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100B"/>
    <w:multiLevelType w:val="multilevel"/>
    <w:tmpl w:val="2E1C5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4C046C0"/>
    <w:multiLevelType w:val="hybridMultilevel"/>
    <w:tmpl w:val="269CB3C0"/>
    <w:lvl w:ilvl="0" w:tplc="7AA8F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D3ABD"/>
    <w:multiLevelType w:val="hybridMultilevel"/>
    <w:tmpl w:val="63FE6714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04188"/>
    <w:multiLevelType w:val="hybridMultilevel"/>
    <w:tmpl w:val="A8EE45E0"/>
    <w:lvl w:ilvl="0" w:tplc="ECF62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561F7"/>
    <w:multiLevelType w:val="hybridMultilevel"/>
    <w:tmpl w:val="E3FA806C"/>
    <w:lvl w:ilvl="0" w:tplc="74AC5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77F67"/>
    <w:multiLevelType w:val="hybridMultilevel"/>
    <w:tmpl w:val="0032D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E3F7C"/>
    <w:rsid w:val="000006BA"/>
    <w:rsid w:val="000037B0"/>
    <w:rsid w:val="00017E03"/>
    <w:rsid w:val="00054174"/>
    <w:rsid w:val="000607E1"/>
    <w:rsid w:val="00064A0F"/>
    <w:rsid w:val="000F42E0"/>
    <w:rsid w:val="000F4848"/>
    <w:rsid w:val="00100DC0"/>
    <w:rsid w:val="00111791"/>
    <w:rsid w:val="00121901"/>
    <w:rsid w:val="00127CCF"/>
    <w:rsid w:val="00131045"/>
    <w:rsid w:val="0015034D"/>
    <w:rsid w:val="00155756"/>
    <w:rsid w:val="0016072C"/>
    <w:rsid w:val="0016623A"/>
    <w:rsid w:val="001727D4"/>
    <w:rsid w:val="00181874"/>
    <w:rsid w:val="001B0256"/>
    <w:rsid w:val="001F311E"/>
    <w:rsid w:val="002017F1"/>
    <w:rsid w:val="0023201C"/>
    <w:rsid w:val="0024327B"/>
    <w:rsid w:val="00277F92"/>
    <w:rsid w:val="002A739F"/>
    <w:rsid w:val="002B0A1C"/>
    <w:rsid w:val="002C68CF"/>
    <w:rsid w:val="002E3EEE"/>
    <w:rsid w:val="00313C01"/>
    <w:rsid w:val="0031481B"/>
    <w:rsid w:val="00331D30"/>
    <w:rsid w:val="003371BC"/>
    <w:rsid w:val="00337B8E"/>
    <w:rsid w:val="003503C3"/>
    <w:rsid w:val="00355D36"/>
    <w:rsid w:val="00356E29"/>
    <w:rsid w:val="003771E2"/>
    <w:rsid w:val="003B1780"/>
    <w:rsid w:val="003B1F2A"/>
    <w:rsid w:val="003D4BB5"/>
    <w:rsid w:val="003D6F1B"/>
    <w:rsid w:val="003F54DB"/>
    <w:rsid w:val="004008E5"/>
    <w:rsid w:val="00411B09"/>
    <w:rsid w:val="00453FC8"/>
    <w:rsid w:val="00455CF9"/>
    <w:rsid w:val="004702A5"/>
    <w:rsid w:val="00480B55"/>
    <w:rsid w:val="00487D80"/>
    <w:rsid w:val="00514DA5"/>
    <w:rsid w:val="005355CC"/>
    <w:rsid w:val="005616BC"/>
    <w:rsid w:val="00572FB5"/>
    <w:rsid w:val="00575484"/>
    <w:rsid w:val="00586E3F"/>
    <w:rsid w:val="005A159D"/>
    <w:rsid w:val="005A34F4"/>
    <w:rsid w:val="005B5C7D"/>
    <w:rsid w:val="005E5F86"/>
    <w:rsid w:val="005F655B"/>
    <w:rsid w:val="00601328"/>
    <w:rsid w:val="006057E9"/>
    <w:rsid w:val="00636F2F"/>
    <w:rsid w:val="00675DAF"/>
    <w:rsid w:val="006B412B"/>
    <w:rsid w:val="006E526B"/>
    <w:rsid w:val="006F0E3D"/>
    <w:rsid w:val="007175CD"/>
    <w:rsid w:val="00726551"/>
    <w:rsid w:val="0072798A"/>
    <w:rsid w:val="00760626"/>
    <w:rsid w:val="007A30AC"/>
    <w:rsid w:val="007A7A72"/>
    <w:rsid w:val="007C4A48"/>
    <w:rsid w:val="008034F5"/>
    <w:rsid w:val="00833D37"/>
    <w:rsid w:val="008C2A9E"/>
    <w:rsid w:val="008C5A01"/>
    <w:rsid w:val="009041AC"/>
    <w:rsid w:val="0090491B"/>
    <w:rsid w:val="00912B7D"/>
    <w:rsid w:val="00916922"/>
    <w:rsid w:val="009200B0"/>
    <w:rsid w:val="00924929"/>
    <w:rsid w:val="00941056"/>
    <w:rsid w:val="00945B64"/>
    <w:rsid w:val="009635CD"/>
    <w:rsid w:val="00984F7E"/>
    <w:rsid w:val="009865E4"/>
    <w:rsid w:val="009A378D"/>
    <w:rsid w:val="009E0C56"/>
    <w:rsid w:val="009E1140"/>
    <w:rsid w:val="009E1EA6"/>
    <w:rsid w:val="009E3F7C"/>
    <w:rsid w:val="009F2D7F"/>
    <w:rsid w:val="00A004E6"/>
    <w:rsid w:val="00A33283"/>
    <w:rsid w:val="00A428A4"/>
    <w:rsid w:val="00A617E3"/>
    <w:rsid w:val="00A70EE9"/>
    <w:rsid w:val="00A740BB"/>
    <w:rsid w:val="00A758D6"/>
    <w:rsid w:val="00A95F5E"/>
    <w:rsid w:val="00AB6648"/>
    <w:rsid w:val="00AC1661"/>
    <w:rsid w:val="00AF1708"/>
    <w:rsid w:val="00B06EB1"/>
    <w:rsid w:val="00B22B6E"/>
    <w:rsid w:val="00B3051D"/>
    <w:rsid w:val="00B3730E"/>
    <w:rsid w:val="00B616E1"/>
    <w:rsid w:val="00B620CF"/>
    <w:rsid w:val="00B819BF"/>
    <w:rsid w:val="00BA5C0F"/>
    <w:rsid w:val="00BC2018"/>
    <w:rsid w:val="00BE000B"/>
    <w:rsid w:val="00BF2876"/>
    <w:rsid w:val="00C30E29"/>
    <w:rsid w:val="00C33C86"/>
    <w:rsid w:val="00C3751A"/>
    <w:rsid w:val="00C515F2"/>
    <w:rsid w:val="00C54980"/>
    <w:rsid w:val="00C909A5"/>
    <w:rsid w:val="00C923DE"/>
    <w:rsid w:val="00C96F1E"/>
    <w:rsid w:val="00CA4702"/>
    <w:rsid w:val="00CB44C5"/>
    <w:rsid w:val="00CC7D19"/>
    <w:rsid w:val="00D04679"/>
    <w:rsid w:val="00D2373C"/>
    <w:rsid w:val="00D277AD"/>
    <w:rsid w:val="00D34494"/>
    <w:rsid w:val="00D3461C"/>
    <w:rsid w:val="00D40BE8"/>
    <w:rsid w:val="00D473D8"/>
    <w:rsid w:val="00D51688"/>
    <w:rsid w:val="00D661BB"/>
    <w:rsid w:val="00D90FC3"/>
    <w:rsid w:val="00DB662C"/>
    <w:rsid w:val="00DF3435"/>
    <w:rsid w:val="00DF674A"/>
    <w:rsid w:val="00E1451C"/>
    <w:rsid w:val="00E230C4"/>
    <w:rsid w:val="00E357B6"/>
    <w:rsid w:val="00E4753E"/>
    <w:rsid w:val="00E8050E"/>
    <w:rsid w:val="00E908EC"/>
    <w:rsid w:val="00E92C41"/>
    <w:rsid w:val="00E96397"/>
    <w:rsid w:val="00EA5A95"/>
    <w:rsid w:val="00EB636B"/>
    <w:rsid w:val="00ED44C1"/>
    <w:rsid w:val="00EE7CCA"/>
    <w:rsid w:val="00EF13A6"/>
    <w:rsid w:val="00F361A9"/>
    <w:rsid w:val="00F45473"/>
    <w:rsid w:val="00F466C1"/>
    <w:rsid w:val="00F8406A"/>
    <w:rsid w:val="00F84FED"/>
    <w:rsid w:val="00FE247B"/>
    <w:rsid w:val="00FE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EB636B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9E1140"/>
    <w:rPr>
      <w:i/>
      <w:iCs/>
    </w:rPr>
  </w:style>
  <w:style w:type="paragraph" w:customStyle="1" w:styleId="Default">
    <w:name w:val="Default"/>
    <w:rsid w:val="003B17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69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503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are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SU.THOMEE\AppData\Local\Microsoft\Windows\Temporary%20Internet%20Files\Content.Outlook\PI8BIQLS\www.svear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TeleComputing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creator>500001mne</dc:creator>
  <cp:lastModifiedBy>500001mne</cp:lastModifiedBy>
  <cp:revision>2</cp:revision>
  <cp:lastPrinted>2012-09-17T07:50:00Z</cp:lastPrinted>
  <dcterms:created xsi:type="dcterms:W3CDTF">2012-09-18T11:04:00Z</dcterms:created>
  <dcterms:modified xsi:type="dcterms:W3CDTF">2012-09-18T11:04:00Z</dcterms:modified>
</cp:coreProperties>
</file>