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6217E" w14:textId="77777777" w:rsidR="00BE5AA9" w:rsidRPr="00BE5AA9" w:rsidRDefault="00BE5AA9" w:rsidP="00BE5AA9">
      <w:pPr>
        <w:spacing w:after="0"/>
        <w:jc w:val="center"/>
        <w:rPr>
          <w:rFonts w:ascii="Century Gothic" w:eastAsia="Arial" w:hAnsi="Century Gothic" w:cs="Arial"/>
          <w:b/>
          <w:sz w:val="32"/>
          <w:szCs w:val="32"/>
          <w:lang w:val="es-ES_tradnl" w:eastAsia="ja-JP"/>
        </w:rPr>
      </w:pPr>
    </w:p>
    <w:p w14:paraId="2F84539E" w14:textId="77777777" w:rsidR="00D263FB" w:rsidRDefault="000C30BE" w:rsidP="00D263FB">
      <w:pPr>
        <w:spacing w:after="0" w:line="240" w:lineRule="auto"/>
        <w:jc w:val="center"/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</w:pPr>
      <w:r w:rsidRPr="00597126"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  <w:t xml:space="preserve">Mondelez </w:t>
      </w:r>
      <w:r w:rsidR="00D263FB"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  <w:t xml:space="preserve">premiada en Francia por su proyecto </w:t>
      </w:r>
    </w:p>
    <w:p w14:paraId="2EAFCDBE" w14:textId="028896CA" w:rsidR="000A1C01" w:rsidRPr="00597126" w:rsidRDefault="00D263FB" w:rsidP="00D263FB">
      <w:pPr>
        <w:spacing w:after="0" w:line="240" w:lineRule="auto"/>
        <w:jc w:val="center"/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</w:pPr>
      <w:proofErr w:type="gramStart"/>
      <w:r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  <w:t>de</w:t>
      </w:r>
      <w:proofErr w:type="gramEnd"/>
      <w:r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  <w:t xml:space="preserve"> agricultura sostenible “Compromiso </w:t>
      </w:r>
      <w:proofErr w:type="spellStart"/>
      <w:r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  <w:t>Harmony</w:t>
      </w:r>
      <w:proofErr w:type="spellEnd"/>
      <w:r>
        <w:rPr>
          <w:rFonts w:ascii="Century Gothic" w:eastAsia="Arial" w:hAnsi="Century Gothic" w:cs="Arial"/>
          <w:b/>
          <w:sz w:val="28"/>
          <w:szCs w:val="28"/>
          <w:lang w:val="es-ES_tradnl" w:eastAsia="ja-JP"/>
        </w:rPr>
        <w:t xml:space="preserve">” </w:t>
      </w:r>
    </w:p>
    <w:p w14:paraId="0BF7358F" w14:textId="77777777" w:rsidR="00F67EEB" w:rsidRPr="00AD6C42" w:rsidRDefault="00F67EEB" w:rsidP="00F67EEB">
      <w:pPr>
        <w:spacing w:after="0" w:line="240" w:lineRule="auto"/>
        <w:jc w:val="center"/>
        <w:rPr>
          <w:rFonts w:ascii="Century Gothic" w:eastAsia="Arial" w:hAnsi="Century Gothic" w:cs="Arial"/>
          <w:b/>
          <w:sz w:val="32"/>
          <w:szCs w:val="32"/>
          <w:lang w:val="es-ES_tradnl" w:eastAsia="ja-JP"/>
        </w:rPr>
      </w:pPr>
      <w:bookmarkStart w:id="0" w:name="_GoBack"/>
      <w:bookmarkEnd w:id="0"/>
    </w:p>
    <w:p w14:paraId="185A4AB3" w14:textId="77777777" w:rsidR="00F67EEB" w:rsidRDefault="00F67EEB" w:rsidP="00F67EEB">
      <w:pPr>
        <w:pStyle w:val="Normal1"/>
        <w:spacing w:line="240" w:lineRule="auto"/>
        <w:jc w:val="both"/>
        <w:rPr>
          <w:rFonts w:ascii="Century Gothic" w:hAnsi="Century Gothic"/>
          <w:b/>
          <w:color w:val="auto"/>
          <w:sz w:val="20"/>
          <w:szCs w:val="20"/>
          <w:lang w:val="es-ES_tradnl"/>
        </w:rPr>
      </w:pPr>
    </w:p>
    <w:p w14:paraId="7C62CEC9" w14:textId="0747CA85" w:rsidR="007D1B0E" w:rsidRDefault="005E45B4" w:rsidP="00F67EEB">
      <w:pPr>
        <w:pStyle w:val="Normal1"/>
        <w:numPr>
          <w:ilvl w:val="0"/>
          <w:numId w:val="2"/>
        </w:numPr>
        <w:spacing w:after="240"/>
        <w:jc w:val="both"/>
        <w:rPr>
          <w:rFonts w:ascii="Century Gothic" w:hAnsi="Century Gothic"/>
          <w:b/>
          <w:color w:val="auto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auto"/>
          <w:sz w:val="20"/>
          <w:szCs w:val="20"/>
          <w:lang w:val="es-ES_tradnl"/>
        </w:rPr>
        <w:t>Esta iniciativa,</w:t>
      </w:r>
      <w:r w:rsidR="00CF2AF0"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iniciad</w:t>
      </w:r>
      <w:r>
        <w:rPr>
          <w:rFonts w:ascii="Century Gothic" w:hAnsi="Century Gothic"/>
          <w:b/>
          <w:color w:val="auto"/>
          <w:sz w:val="20"/>
          <w:szCs w:val="20"/>
          <w:lang w:val="es-ES_tradnl"/>
        </w:rPr>
        <w:t>a</w:t>
      </w:r>
      <w:r w:rsidR="00CF2AF0"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</w:t>
      </w:r>
      <w:r w:rsidR="00D263FB">
        <w:rPr>
          <w:rFonts w:ascii="Century Gothic" w:hAnsi="Century Gothic"/>
          <w:b/>
          <w:color w:val="auto"/>
          <w:sz w:val="20"/>
          <w:szCs w:val="20"/>
          <w:lang w:val="es-ES_tradnl"/>
        </w:rPr>
        <w:t>en el país galo</w:t>
      </w:r>
      <w:r w:rsidR="00CF2AF0"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</w:t>
      </w:r>
      <w:r w:rsidR="007D1B0E">
        <w:rPr>
          <w:rFonts w:ascii="Century Gothic" w:hAnsi="Century Gothic"/>
          <w:b/>
          <w:color w:val="auto"/>
          <w:sz w:val="20"/>
          <w:szCs w:val="20"/>
          <w:lang w:val="es-ES_tradnl"/>
        </w:rPr>
        <w:t>en 2008</w:t>
      </w:r>
      <w:r w:rsidR="00CF2AF0">
        <w:rPr>
          <w:rFonts w:ascii="Century Gothic" w:hAnsi="Century Gothic"/>
          <w:b/>
          <w:color w:val="auto"/>
          <w:sz w:val="20"/>
          <w:szCs w:val="20"/>
          <w:lang w:val="es-ES_tradnl"/>
        </w:rPr>
        <w:t>, se ha extendido a otros países de Europa como Es</w:t>
      </w:r>
      <w:r w:rsidR="00154EC8">
        <w:rPr>
          <w:rFonts w:ascii="Century Gothic" w:hAnsi="Century Gothic"/>
          <w:b/>
          <w:color w:val="auto"/>
          <w:sz w:val="20"/>
          <w:szCs w:val="20"/>
          <w:lang w:val="es-ES_tradnl"/>
        </w:rPr>
        <w:t>paña, Bélgica y República Checa</w:t>
      </w:r>
      <w:r w:rsidR="00D263FB"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en los que la compañía desarrolla su actividad</w:t>
      </w:r>
    </w:p>
    <w:p w14:paraId="08E33094" w14:textId="77777777" w:rsidR="00154EC8" w:rsidRDefault="00CF2AF0" w:rsidP="00111CB5">
      <w:pPr>
        <w:pStyle w:val="Normal1"/>
        <w:numPr>
          <w:ilvl w:val="0"/>
          <w:numId w:val="2"/>
        </w:numPr>
        <w:spacing w:after="240"/>
        <w:jc w:val="both"/>
        <w:rPr>
          <w:rFonts w:ascii="Century Gothic" w:hAnsi="Century Gothic"/>
          <w:b/>
          <w:color w:val="auto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Actualmente, </w:t>
      </w:r>
      <w:proofErr w:type="spellStart"/>
      <w:r>
        <w:rPr>
          <w:rFonts w:ascii="Century Gothic" w:hAnsi="Century Gothic"/>
          <w:b/>
          <w:color w:val="auto"/>
          <w:sz w:val="20"/>
          <w:szCs w:val="20"/>
          <w:lang w:val="es-ES_tradnl"/>
        </w:rPr>
        <w:t>Harmony</w:t>
      </w:r>
      <w:proofErr w:type="spellEnd"/>
      <w:r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cuenta con la colaboración de 2.500 agricultores y cubre</w:t>
      </w:r>
      <w:r w:rsidR="000C30BE"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el 75% de la producción de galletas de Mondelez en Europa occid</w:t>
      </w:r>
      <w:r w:rsidR="00154EC8">
        <w:rPr>
          <w:rFonts w:ascii="Century Gothic" w:hAnsi="Century Gothic"/>
          <w:b/>
          <w:color w:val="auto"/>
          <w:sz w:val="20"/>
          <w:szCs w:val="20"/>
          <w:lang w:val="es-ES_tradnl"/>
        </w:rPr>
        <w:t>ental</w:t>
      </w:r>
    </w:p>
    <w:p w14:paraId="5B19CCDA" w14:textId="77777777" w:rsidR="00111CB5" w:rsidRPr="00111CB5" w:rsidRDefault="00111CB5" w:rsidP="00111CB5">
      <w:pPr>
        <w:pStyle w:val="Normal1"/>
        <w:spacing w:after="240"/>
        <w:ind w:left="720"/>
        <w:jc w:val="both"/>
        <w:rPr>
          <w:rFonts w:ascii="Century Gothic" w:hAnsi="Century Gothic"/>
          <w:b/>
          <w:color w:val="auto"/>
          <w:sz w:val="20"/>
          <w:szCs w:val="20"/>
          <w:lang w:val="es-ES_tradnl"/>
        </w:rPr>
      </w:pPr>
    </w:p>
    <w:p w14:paraId="10250D83" w14:textId="5C4FCA0F" w:rsidR="00A40894" w:rsidRPr="00597126" w:rsidRDefault="00E96F56" w:rsidP="00D263FB">
      <w:pPr>
        <w:jc w:val="both"/>
        <w:rPr>
          <w:rFonts w:ascii="Century Gothic" w:hAnsi="Century Gothic"/>
          <w:iCs/>
          <w:sz w:val="20"/>
          <w:szCs w:val="20"/>
        </w:rPr>
      </w:pPr>
      <w:r w:rsidRPr="00D01E0F">
        <w:rPr>
          <w:rFonts w:ascii="Century Gothic" w:eastAsiaTheme="minorEastAsia" w:hAnsi="Century Gothic"/>
          <w:b/>
          <w:sz w:val="20"/>
          <w:szCs w:val="20"/>
          <w:lang w:val="es-ES_tradnl" w:eastAsia="es-ES"/>
        </w:rPr>
        <w:t>Mad</w:t>
      </w:r>
      <w:r w:rsidR="00736FAF" w:rsidRPr="00D01E0F">
        <w:rPr>
          <w:rFonts w:ascii="Century Gothic" w:eastAsiaTheme="minorEastAsia" w:hAnsi="Century Gothic"/>
          <w:b/>
          <w:sz w:val="20"/>
          <w:szCs w:val="20"/>
          <w:lang w:val="es-ES_tradnl" w:eastAsia="es-ES"/>
        </w:rPr>
        <w:t xml:space="preserve">rid, </w:t>
      </w:r>
      <w:r w:rsidR="00D263FB">
        <w:rPr>
          <w:rFonts w:ascii="Century Gothic" w:eastAsiaTheme="minorEastAsia" w:hAnsi="Century Gothic"/>
          <w:b/>
          <w:sz w:val="20"/>
          <w:szCs w:val="20"/>
          <w:lang w:val="es-ES_tradnl" w:eastAsia="es-ES"/>
        </w:rPr>
        <w:t>30 de noviembre</w:t>
      </w:r>
      <w:r w:rsidR="00543823">
        <w:rPr>
          <w:rFonts w:ascii="Century Gothic" w:eastAsiaTheme="minorEastAsia" w:hAnsi="Century Gothic"/>
          <w:b/>
          <w:sz w:val="20"/>
          <w:szCs w:val="20"/>
          <w:lang w:val="es-ES_tradnl" w:eastAsia="es-ES"/>
        </w:rPr>
        <w:t xml:space="preserve"> </w:t>
      </w:r>
      <w:r w:rsidRPr="00D01E0F">
        <w:rPr>
          <w:rFonts w:ascii="Century Gothic" w:eastAsiaTheme="minorEastAsia" w:hAnsi="Century Gothic"/>
          <w:b/>
          <w:sz w:val="20"/>
          <w:szCs w:val="20"/>
          <w:lang w:val="es-ES_tradnl" w:eastAsia="es-ES"/>
        </w:rPr>
        <w:t>de 2015</w:t>
      </w:r>
      <w:r w:rsidRPr="00D01E0F">
        <w:rPr>
          <w:rFonts w:ascii="Century Gothic" w:eastAsiaTheme="minorEastAsia" w:hAnsi="Century Gothic"/>
          <w:sz w:val="20"/>
          <w:szCs w:val="20"/>
          <w:lang w:val="es-ES_tradnl" w:eastAsia="es-ES"/>
        </w:rPr>
        <w:t xml:space="preserve"> </w:t>
      </w:r>
      <w:r w:rsidR="00B07CD6" w:rsidRPr="00D01E0F">
        <w:rPr>
          <w:rFonts w:ascii="Century Gothic" w:eastAsiaTheme="minorEastAsia" w:hAnsi="Century Gothic"/>
          <w:sz w:val="20"/>
          <w:szCs w:val="20"/>
          <w:lang w:val="es-ES_tradnl" w:eastAsia="es-ES"/>
        </w:rPr>
        <w:t>-</w:t>
      </w:r>
      <w:r w:rsidR="00CF2AF0">
        <w:rPr>
          <w:rFonts w:ascii="Century Gothic" w:eastAsiaTheme="minorEastAsia" w:hAnsi="Century Gothic"/>
          <w:sz w:val="20"/>
          <w:szCs w:val="20"/>
          <w:lang w:val="es-ES_tradnl" w:eastAsia="es-ES"/>
        </w:rPr>
        <w:t xml:space="preserve"> </w:t>
      </w:r>
      <w:hyperlink r:id="rId7" w:history="1">
        <w:r w:rsidR="00CF2AF0" w:rsidRPr="003B4924">
          <w:rPr>
            <w:rStyle w:val="Hipervnculo"/>
            <w:rFonts w:ascii="Century Gothic" w:eastAsiaTheme="minorEastAsia" w:hAnsi="Century Gothic"/>
            <w:sz w:val="20"/>
            <w:szCs w:val="20"/>
            <w:lang w:val="es-ES_tradnl" w:eastAsia="es-ES"/>
          </w:rPr>
          <w:t>Compromiso</w:t>
        </w:r>
        <w:r w:rsidR="00B07CD6" w:rsidRPr="003B4924">
          <w:rPr>
            <w:rStyle w:val="Hipervnculo"/>
            <w:rFonts w:ascii="Century Gothic" w:eastAsiaTheme="minorEastAsia" w:hAnsi="Century Gothic"/>
            <w:sz w:val="20"/>
            <w:szCs w:val="20"/>
            <w:lang w:val="es-ES_tradnl" w:eastAsia="es-ES"/>
          </w:rPr>
          <w:t xml:space="preserve"> </w:t>
        </w:r>
        <w:proofErr w:type="spellStart"/>
        <w:r w:rsidR="00B07CD6" w:rsidRPr="003B4924">
          <w:rPr>
            <w:rStyle w:val="Hipervnculo"/>
            <w:rFonts w:ascii="Century Gothic" w:hAnsi="Century Gothic"/>
            <w:iCs/>
            <w:sz w:val="20"/>
            <w:szCs w:val="20"/>
          </w:rPr>
          <w:t>Harmony</w:t>
        </w:r>
        <w:proofErr w:type="spellEnd"/>
      </w:hyperlink>
      <w:r w:rsidR="00B07CD6" w:rsidRPr="00D01E0F">
        <w:rPr>
          <w:rFonts w:ascii="Century Gothic" w:hAnsi="Century Gothic"/>
          <w:iCs/>
          <w:sz w:val="20"/>
          <w:szCs w:val="20"/>
        </w:rPr>
        <w:t xml:space="preserve">, </w:t>
      </w:r>
      <w:r w:rsidR="00D01E0F" w:rsidRPr="00D01E0F">
        <w:rPr>
          <w:rFonts w:ascii="Century Gothic" w:hAnsi="Century Gothic"/>
          <w:iCs/>
          <w:sz w:val="20"/>
          <w:szCs w:val="20"/>
        </w:rPr>
        <w:t>el</w:t>
      </w:r>
      <w:r w:rsidR="00597126">
        <w:rPr>
          <w:rFonts w:ascii="Century Gothic" w:hAnsi="Century Gothic"/>
          <w:iCs/>
          <w:sz w:val="20"/>
          <w:szCs w:val="20"/>
        </w:rPr>
        <w:t xml:space="preserve"> programa </w:t>
      </w:r>
      <w:r w:rsidR="00CF2AF0">
        <w:rPr>
          <w:rFonts w:ascii="Century Gothic" w:hAnsi="Century Gothic"/>
          <w:iCs/>
          <w:sz w:val="20"/>
          <w:szCs w:val="20"/>
        </w:rPr>
        <w:t>de agricultura</w:t>
      </w:r>
      <w:r w:rsidR="00B07CD6" w:rsidRPr="00D01E0F">
        <w:rPr>
          <w:rFonts w:ascii="Century Gothic" w:hAnsi="Century Gothic"/>
          <w:iCs/>
          <w:sz w:val="20"/>
          <w:szCs w:val="20"/>
        </w:rPr>
        <w:t xml:space="preserve"> sostenible</w:t>
      </w:r>
      <w:r w:rsidR="00D01E0F" w:rsidRPr="00D01E0F">
        <w:rPr>
          <w:rFonts w:ascii="Century Gothic" w:hAnsi="Century Gothic"/>
          <w:iCs/>
          <w:sz w:val="20"/>
          <w:szCs w:val="20"/>
        </w:rPr>
        <w:t xml:space="preserve"> de Mondelez</w:t>
      </w:r>
      <w:r w:rsidR="00CF2AF0">
        <w:rPr>
          <w:rFonts w:ascii="Century Gothic" w:hAnsi="Century Gothic"/>
          <w:iCs/>
          <w:sz w:val="20"/>
          <w:szCs w:val="20"/>
        </w:rPr>
        <w:t xml:space="preserve"> a nivel europeo</w:t>
      </w:r>
      <w:r w:rsidR="00907D10">
        <w:rPr>
          <w:rFonts w:ascii="Century Gothic" w:hAnsi="Century Gothic"/>
          <w:iCs/>
          <w:sz w:val="20"/>
          <w:szCs w:val="20"/>
        </w:rPr>
        <w:t xml:space="preserve">, </w:t>
      </w:r>
      <w:r w:rsidR="00CF2AF0">
        <w:rPr>
          <w:rFonts w:ascii="Century Gothic" w:hAnsi="Century Gothic"/>
          <w:iCs/>
          <w:sz w:val="20"/>
          <w:szCs w:val="20"/>
        </w:rPr>
        <w:t xml:space="preserve">ha recibido el 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</w:t>
      </w:r>
      <w:r w:rsidR="00CF2AF0" w:rsidRPr="00D01E0F">
        <w:rPr>
          <w:rFonts w:ascii="Century Gothic" w:hAnsi="Century Gothic"/>
          <w:iCs/>
          <w:sz w:val="20"/>
          <w:szCs w:val="20"/>
        </w:rPr>
        <w:t xml:space="preserve">prestigioso Galardón de Sostenibilidad </w:t>
      </w:r>
      <w:r w:rsidR="00CF2AF0">
        <w:rPr>
          <w:rFonts w:ascii="Century Gothic" w:hAnsi="Century Gothic"/>
          <w:iCs/>
          <w:sz w:val="20"/>
          <w:szCs w:val="20"/>
        </w:rPr>
        <w:t xml:space="preserve">de la </w:t>
      </w:r>
      <w:hyperlink r:id="rId8" w:history="1">
        <w:r w:rsidR="00CF2AF0" w:rsidRPr="000C30BE">
          <w:rPr>
            <w:rStyle w:val="Hipervnculo"/>
            <w:rFonts w:ascii="Century Gothic" w:hAnsi="Century Gothic"/>
            <w:iCs/>
            <w:sz w:val="20"/>
            <w:szCs w:val="20"/>
          </w:rPr>
          <w:t>revista francesa LSA</w:t>
        </w:r>
      </w:hyperlink>
      <w:r w:rsidR="00CF2AF0">
        <w:rPr>
          <w:rFonts w:ascii="Century Gothic" w:hAnsi="Century Gothic"/>
          <w:iCs/>
          <w:sz w:val="20"/>
          <w:szCs w:val="20"/>
        </w:rPr>
        <w:t xml:space="preserve">, concretamente en la </w:t>
      </w:r>
      <w:r w:rsidR="00A40894" w:rsidRPr="00D01E0F">
        <w:rPr>
          <w:rFonts w:ascii="Century Gothic" w:hAnsi="Century Gothic"/>
          <w:iCs/>
          <w:sz w:val="20"/>
          <w:szCs w:val="20"/>
        </w:rPr>
        <w:t>categoría “Responsabilidad Medioambiental”</w:t>
      </w:r>
      <w:r w:rsidR="00CF2AF0">
        <w:rPr>
          <w:rFonts w:ascii="Century Gothic" w:hAnsi="Century Gothic"/>
          <w:iCs/>
          <w:sz w:val="20"/>
          <w:szCs w:val="20"/>
        </w:rPr>
        <w:t>.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</w:t>
      </w:r>
    </w:p>
    <w:p w14:paraId="7325A2C8" w14:textId="732753F5" w:rsidR="00B07CD6" w:rsidRPr="00D01E0F" w:rsidRDefault="00A40894" w:rsidP="00D263FB">
      <w:pPr>
        <w:jc w:val="both"/>
        <w:rPr>
          <w:rFonts w:ascii="Century Gothic" w:hAnsi="Century Gothic"/>
          <w:iCs/>
          <w:sz w:val="20"/>
          <w:szCs w:val="20"/>
        </w:rPr>
      </w:pPr>
      <w:r w:rsidRPr="00D01E0F">
        <w:rPr>
          <w:rFonts w:ascii="Century Gothic" w:hAnsi="Century Gothic"/>
          <w:iCs/>
          <w:sz w:val="20"/>
          <w:szCs w:val="20"/>
        </w:rPr>
        <w:t xml:space="preserve">El premio </w:t>
      </w:r>
      <w:r w:rsidR="000C30BE">
        <w:rPr>
          <w:rFonts w:ascii="Century Gothic" w:hAnsi="Century Gothic"/>
          <w:sz w:val="20"/>
          <w:szCs w:val="20"/>
        </w:rPr>
        <w:t xml:space="preserve">concedido por </w:t>
      </w:r>
      <w:r w:rsidR="00D263FB">
        <w:rPr>
          <w:rFonts w:ascii="Century Gothic" w:hAnsi="Century Gothic"/>
          <w:sz w:val="20"/>
          <w:szCs w:val="20"/>
        </w:rPr>
        <w:t>esta publicación francesa,</w:t>
      </w:r>
      <w:r w:rsidR="000C30BE" w:rsidRPr="00D01E0F">
        <w:rPr>
          <w:rFonts w:ascii="Century Gothic" w:hAnsi="Century Gothic"/>
          <w:sz w:val="20"/>
          <w:szCs w:val="20"/>
        </w:rPr>
        <w:t xml:space="preserve"> líder en el sector </w:t>
      </w:r>
      <w:r w:rsidR="000C30BE">
        <w:rPr>
          <w:rFonts w:ascii="Century Gothic" w:hAnsi="Century Gothic"/>
          <w:sz w:val="20"/>
          <w:szCs w:val="20"/>
        </w:rPr>
        <w:t>de</w:t>
      </w:r>
      <w:r w:rsidR="000C30BE" w:rsidRPr="00D01E0F">
        <w:rPr>
          <w:rFonts w:ascii="Century Gothic" w:hAnsi="Century Gothic"/>
          <w:sz w:val="20"/>
          <w:szCs w:val="20"/>
        </w:rPr>
        <w:t xml:space="preserve"> productos de gran consumo</w:t>
      </w:r>
      <w:r w:rsidR="000C30BE">
        <w:rPr>
          <w:rFonts w:ascii="Century Gothic" w:hAnsi="Century Gothic"/>
          <w:sz w:val="20"/>
          <w:szCs w:val="20"/>
        </w:rPr>
        <w:t xml:space="preserve">, </w:t>
      </w:r>
      <w:r w:rsidRPr="00D01E0F">
        <w:rPr>
          <w:rFonts w:ascii="Century Gothic" w:hAnsi="Century Gothic"/>
          <w:iCs/>
          <w:sz w:val="20"/>
          <w:szCs w:val="20"/>
        </w:rPr>
        <w:t>reconoce</w:t>
      </w:r>
      <w:r w:rsidR="000C30BE">
        <w:rPr>
          <w:rFonts w:ascii="Century Gothic" w:hAnsi="Century Gothic"/>
          <w:iCs/>
          <w:sz w:val="20"/>
          <w:szCs w:val="20"/>
        </w:rPr>
        <w:t xml:space="preserve"> así</w:t>
      </w:r>
      <w:r w:rsidRPr="00D01E0F">
        <w:rPr>
          <w:rFonts w:ascii="Century Gothic" w:hAnsi="Century Gothic"/>
          <w:iCs/>
          <w:sz w:val="20"/>
          <w:szCs w:val="20"/>
        </w:rPr>
        <w:t xml:space="preserve"> </w:t>
      </w:r>
      <w:r w:rsidR="000C30BE">
        <w:rPr>
          <w:rFonts w:ascii="Century Gothic" w:hAnsi="Century Gothic"/>
          <w:iCs/>
          <w:sz w:val="20"/>
          <w:szCs w:val="20"/>
        </w:rPr>
        <w:t>la trayectoria</w:t>
      </w:r>
      <w:r w:rsidRPr="00D01E0F">
        <w:rPr>
          <w:rFonts w:ascii="Century Gothic" w:hAnsi="Century Gothic"/>
          <w:iCs/>
          <w:sz w:val="20"/>
          <w:szCs w:val="20"/>
        </w:rPr>
        <w:t xml:space="preserve"> de </w:t>
      </w:r>
      <w:r w:rsidR="000C30BE">
        <w:rPr>
          <w:rFonts w:ascii="Century Gothic" w:hAnsi="Century Gothic"/>
          <w:iCs/>
          <w:sz w:val="20"/>
          <w:szCs w:val="20"/>
        </w:rPr>
        <w:t>Mondelez</w:t>
      </w:r>
      <w:r w:rsidR="00597126">
        <w:rPr>
          <w:rFonts w:ascii="Century Gothic" w:hAnsi="Century Gothic"/>
          <w:iCs/>
          <w:sz w:val="20"/>
          <w:szCs w:val="20"/>
        </w:rPr>
        <w:t xml:space="preserve"> </w:t>
      </w:r>
      <w:r w:rsidRPr="00D01E0F">
        <w:rPr>
          <w:rFonts w:ascii="Century Gothic" w:hAnsi="Century Gothic"/>
          <w:iCs/>
          <w:sz w:val="20"/>
          <w:szCs w:val="20"/>
        </w:rPr>
        <w:t>en el</w:t>
      </w:r>
      <w:r w:rsidR="00907D10">
        <w:rPr>
          <w:rFonts w:ascii="Century Gothic" w:hAnsi="Century Gothic"/>
          <w:iCs/>
          <w:sz w:val="20"/>
          <w:szCs w:val="20"/>
        </w:rPr>
        <w:t xml:space="preserve"> </w:t>
      </w:r>
      <w:r w:rsidR="00B07CD6" w:rsidRPr="00D01E0F">
        <w:rPr>
          <w:rFonts w:ascii="Century Gothic" w:hAnsi="Century Gothic"/>
          <w:iCs/>
          <w:sz w:val="20"/>
          <w:szCs w:val="20"/>
        </w:rPr>
        <w:t xml:space="preserve">cultivo de trigo de forma sostenible, </w:t>
      </w:r>
      <w:r w:rsidR="000C30BE">
        <w:rPr>
          <w:rFonts w:ascii="Century Gothic" w:hAnsi="Century Gothic"/>
          <w:iCs/>
          <w:sz w:val="20"/>
          <w:szCs w:val="20"/>
        </w:rPr>
        <w:t xml:space="preserve">en colaboración </w:t>
      </w:r>
      <w:r w:rsidR="00B07CD6" w:rsidRPr="00D01E0F">
        <w:rPr>
          <w:rFonts w:ascii="Century Gothic" w:hAnsi="Century Gothic"/>
          <w:iCs/>
          <w:sz w:val="20"/>
          <w:szCs w:val="20"/>
        </w:rPr>
        <w:t xml:space="preserve">con todos los actores de la cadena de suministro, respetando el medio ambiente y </w:t>
      </w:r>
      <w:r w:rsidR="000C30BE">
        <w:rPr>
          <w:rFonts w:ascii="Century Gothic" w:hAnsi="Century Gothic"/>
          <w:iCs/>
          <w:sz w:val="20"/>
          <w:szCs w:val="20"/>
        </w:rPr>
        <w:t>apostando p</w:t>
      </w:r>
      <w:r w:rsidRPr="00D01E0F">
        <w:rPr>
          <w:rFonts w:ascii="Century Gothic" w:hAnsi="Century Gothic"/>
          <w:iCs/>
          <w:sz w:val="20"/>
          <w:szCs w:val="20"/>
        </w:rPr>
        <w:t>or</w:t>
      </w:r>
      <w:r w:rsidR="00B07CD6" w:rsidRPr="00D01E0F">
        <w:rPr>
          <w:rFonts w:ascii="Century Gothic" w:hAnsi="Century Gothic"/>
          <w:iCs/>
          <w:sz w:val="20"/>
          <w:szCs w:val="20"/>
        </w:rPr>
        <w:t xml:space="preserve"> la calidad de </w:t>
      </w:r>
      <w:r w:rsidRPr="00D01E0F">
        <w:rPr>
          <w:rFonts w:ascii="Century Gothic" w:hAnsi="Century Gothic"/>
          <w:iCs/>
          <w:sz w:val="20"/>
          <w:szCs w:val="20"/>
        </w:rPr>
        <w:t>sus</w:t>
      </w:r>
      <w:r w:rsidR="00B07CD6" w:rsidRPr="00D01E0F">
        <w:rPr>
          <w:rFonts w:ascii="Century Gothic" w:hAnsi="Century Gothic"/>
          <w:iCs/>
          <w:sz w:val="20"/>
          <w:szCs w:val="20"/>
        </w:rPr>
        <w:t xml:space="preserve"> galletas.</w:t>
      </w:r>
    </w:p>
    <w:p w14:paraId="3341E97D" w14:textId="5F102820" w:rsidR="00A40894" w:rsidRDefault="000C30BE" w:rsidP="00D263FB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El jurado de LSA, </w:t>
      </w:r>
      <w:r w:rsidR="00154EC8">
        <w:rPr>
          <w:rFonts w:ascii="Century Gothic" w:hAnsi="Century Gothic"/>
          <w:iCs/>
          <w:sz w:val="20"/>
          <w:szCs w:val="20"/>
        </w:rPr>
        <w:t>ha destacado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la continua mejora de la “Carta de Calidad de </w:t>
      </w:r>
      <w:proofErr w:type="spellStart"/>
      <w:r w:rsidR="00A40894" w:rsidRPr="00D01E0F">
        <w:rPr>
          <w:rFonts w:ascii="Century Gothic" w:hAnsi="Century Gothic"/>
          <w:iCs/>
          <w:sz w:val="20"/>
          <w:szCs w:val="20"/>
        </w:rPr>
        <w:t>Harmony</w:t>
      </w:r>
      <w:proofErr w:type="spellEnd"/>
      <w:r w:rsidR="00A40894" w:rsidRPr="00D01E0F">
        <w:rPr>
          <w:rFonts w:ascii="Century Gothic" w:hAnsi="Century Gothic"/>
          <w:iCs/>
          <w:sz w:val="20"/>
          <w:szCs w:val="20"/>
        </w:rPr>
        <w:t>”</w:t>
      </w:r>
      <w:r w:rsidR="00154EC8">
        <w:rPr>
          <w:rFonts w:ascii="Century Gothic" w:hAnsi="Century Gothic"/>
          <w:iCs/>
          <w:sz w:val="20"/>
          <w:szCs w:val="20"/>
        </w:rPr>
        <w:t>,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la progresiva expansión del programa en toda Europa, el seguimiento cuantitativo de los indicadores clave de rendimiento</w:t>
      </w:r>
      <w:r w:rsidR="003B4924">
        <w:rPr>
          <w:rFonts w:ascii="Century Gothic" w:hAnsi="Century Gothic"/>
          <w:iCs/>
          <w:sz w:val="20"/>
          <w:szCs w:val="20"/>
        </w:rPr>
        <w:t xml:space="preserve">, desde un punto de vista 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social</w:t>
      </w:r>
      <w:r w:rsidR="003B4924">
        <w:rPr>
          <w:rFonts w:ascii="Century Gothic" w:hAnsi="Century Gothic"/>
          <w:iCs/>
          <w:sz w:val="20"/>
          <w:szCs w:val="20"/>
        </w:rPr>
        <w:t xml:space="preserve">, 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medioambiental </w:t>
      </w:r>
      <w:r w:rsidR="003B4924">
        <w:rPr>
          <w:rFonts w:ascii="Century Gothic" w:hAnsi="Century Gothic"/>
          <w:iCs/>
          <w:sz w:val="20"/>
          <w:szCs w:val="20"/>
        </w:rPr>
        <w:t xml:space="preserve">y 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de negocio</w:t>
      </w:r>
      <w:r w:rsidR="003B4924">
        <w:rPr>
          <w:rFonts w:ascii="Century Gothic" w:hAnsi="Century Gothic"/>
          <w:iCs/>
          <w:sz w:val="20"/>
          <w:szCs w:val="20"/>
        </w:rPr>
        <w:t xml:space="preserve">, </w:t>
      </w:r>
      <w:r w:rsidR="00A40894" w:rsidRPr="00D01E0F">
        <w:rPr>
          <w:rFonts w:ascii="Century Gothic" w:hAnsi="Century Gothic"/>
          <w:iCs/>
          <w:sz w:val="20"/>
          <w:szCs w:val="20"/>
        </w:rPr>
        <w:t>con impactos positivos</w:t>
      </w:r>
      <w:r w:rsidR="003B4924">
        <w:rPr>
          <w:rFonts w:ascii="Century Gothic" w:hAnsi="Century Gothic"/>
          <w:iCs/>
          <w:sz w:val="20"/>
          <w:szCs w:val="20"/>
        </w:rPr>
        <w:t xml:space="preserve"> tanto en la 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imagen de marca </w:t>
      </w:r>
      <w:r w:rsidR="003B4924">
        <w:rPr>
          <w:rFonts w:ascii="Century Gothic" w:hAnsi="Century Gothic"/>
          <w:iCs/>
          <w:sz w:val="20"/>
          <w:szCs w:val="20"/>
        </w:rPr>
        <w:t>como en</w:t>
      </w:r>
      <w:r w:rsidR="00A40894" w:rsidRPr="00D01E0F">
        <w:rPr>
          <w:rFonts w:ascii="Century Gothic" w:hAnsi="Century Gothic"/>
          <w:iCs/>
          <w:sz w:val="20"/>
          <w:szCs w:val="20"/>
        </w:rPr>
        <w:t xml:space="preserve"> ventas.</w:t>
      </w:r>
    </w:p>
    <w:p w14:paraId="37078C40" w14:textId="77777777" w:rsidR="00D263FB" w:rsidRPr="00D263FB" w:rsidRDefault="00D263FB" w:rsidP="00D263FB">
      <w:pPr>
        <w:jc w:val="both"/>
        <w:rPr>
          <w:rFonts w:ascii="Century Gothic" w:hAnsi="Century Gothic"/>
          <w:b/>
          <w:iCs/>
          <w:sz w:val="20"/>
          <w:szCs w:val="20"/>
        </w:rPr>
      </w:pPr>
      <w:r w:rsidRPr="00D263FB">
        <w:rPr>
          <w:rFonts w:ascii="Century Gothic" w:hAnsi="Century Gothic"/>
          <w:b/>
          <w:iCs/>
          <w:sz w:val="20"/>
          <w:szCs w:val="20"/>
        </w:rPr>
        <w:t xml:space="preserve">Compromiso </w:t>
      </w:r>
      <w:proofErr w:type="spellStart"/>
      <w:r w:rsidRPr="00D263FB">
        <w:rPr>
          <w:rFonts w:ascii="Century Gothic" w:hAnsi="Century Gothic"/>
          <w:b/>
          <w:iCs/>
          <w:sz w:val="20"/>
          <w:szCs w:val="20"/>
        </w:rPr>
        <w:t>Harmony</w:t>
      </w:r>
      <w:proofErr w:type="spellEnd"/>
      <w:r w:rsidRPr="00D263FB">
        <w:rPr>
          <w:rFonts w:ascii="Century Gothic" w:hAnsi="Century Gothic"/>
          <w:b/>
          <w:iCs/>
          <w:sz w:val="20"/>
          <w:szCs w:val="20"/>
        </w:rPr>
        <w:t xml:space="preserve"> en España</w:t>
      </w:r>
    </w:p>
    <w:p w14:paraId="31D8A412" w14:textId="36474B17" w:rsidR="00D263FB" w:rsidRDefault="00D263FB" w:rsidP="00D263FB">
      <w:pPr>
        <w:jc w:val="both"/>
        <w:rPr>
          <w:rFonts w:ascii="Century Gothic" w:hAnsi="Century Gothic"/>
          <w:iCs/>
          <w:sz w:val="20"/>
          <w:szCs w:val="20"/>
        </w:rPr>
      </w:pPr>
      <w:r w:rsidRPr="00D263FB">
        <w:rPr>
          <w:rFonts w:ascii="Century Gothic" w:hAnsi="Century Gothic"/>
          <w:iCs/>
          <w:sz w:val="20"/>
          <w:szCs w:val="20"/>
        </w:rPr>
        <w:t>E</w:t>
      </w:r>
      <w:r>
        <w:rPr>
          <w:rFonts w:ascii="Century Gothic" w:hAnsi="Century Gothic"/>
          <w:iCs/>
          <w:sz w:val="20"/>
          <w:szCs w:val="20"/>
        </w:rPr>
        <w:t>n España, e</w:t>
      </w:r>
      <w:r w:rsidRPr="00D263FB">
        <w:rPr>
          <w:rFonts w:ascii="Century Gothic" w:hAnsi="Century Gothic"/>
          <w:iCs/>
          <w:sz w:val="20"/>
          <w:szCs w:val="20"/>
        </w:rPr>
        <w:t xml:space="preserve">l proyecto </w:t>
      </w:r>
      <w:r>
        <w:rPr>
          <w:rFonts w:ascii="Century Gothic" w:hAnsi="Century Gothic"/>
          <w:iCs/>
          <w:sz w:val="20"/>
          <w:szCs w:val="20"/>
        </w:rPr>
        <w:t xml:space="preserve">comenzó a desarrollarse en 2011, </w:t>
      </w:r>
      <w:r w:rsidRPr="00D263FB">
        <w:rPr>
          <w:rFonts w:ascii="Century Gothic" w:hAnsi="Century Gothic"/>
          <w:iCs/>
          <w:sz w:val="20"/>
          <w:szCs w:val="20"/>
        </w:rPr>
        <w:t xml:space="preserve">iniciando la colaboración con agricultores y harineros. En la actualidad participan en </w:t>
      </w:r>
      <w:r>
        <w:rPr>
          <w:rFonts w:ascii="Century Gothic" w:hAnsi="Century Gothic"/>
          <w:iCs/>
          <w:sz w:val="20"/>
          <w:szCs w:val="20"/>
        </w:rPr>
        <w:t>el programa</w:t>
      </w:r>
      <w:r w:rsidRPr="00D263FB">
        <w:rPr>
          <w:rFonts w:ascii="Century Gothic" w:hAnsi="Century Gothic"/>
          <w:iCs/>
          <w:sz w:val="20"/>
          <w:szCs w:val="20"/>
        </w:rPr>
        <w:t xml:space="preserve"> </w:t>
      </w:r>
      <w:r>
        <w:rPr>
          <w:rFonts w:ascii="Century Gothic" w:hAnsi="Century Gothic"/>
          <w:iCs/>
          <w:sz w:val="20"/>
          <w:szCs w:val="20"/>
        </w:rPr>
        <w:t>171</w:t>
      </w:r>
      <w:r w:rsidRPr="00D263FB">
        <w:rPr>
          <w:rFonts w:ascii="Century Gothic" w:hAnsi="Century Gothic"/>
          <w:iCs/>
          <w:sz w:val="20"/>
          <w:szCs w:val="20"/>
        </w:rPr>
        <w:t xml:space="preserve"> agricultores de 17 cooperat</w:t>
      </w:r>
      <w:r>
        <w:rPr>
          <w:rFonts w:ascii="Century Gothic" w:hAnsi="Century Gothic"/>
          <w:iCs/>
          <w:sz w:val="20"/>
          <w:szCs w:val="20"/>
        </w:rPr>
        <w:t>ivas locales. En la campaña 2014-2015 se utilizaron 26</w:t>
      </w:r>
      <w:r w:rsidRPr="00D263FB">
        <w:rPr>
          <w:rFonts w:ascii="Century Gothic" w:hAnsi="Century Gothic"/>
          <w:iCs/>
          <w:sz w:val="20"/>
          <w:szCs w:val="20"/>
        </w:rPr>
        <w:t xml:space="preserve">.000 TM de trigo </w:t>
      </w:r>
      <w:proofErr w:type="spellStart"/>
      <w:r w:rsidRPr="00D263FB">
        <w:rPr>
          <w:rFonts w:ascii="Century Gothic" w:hAnsi="Century Gothic"/>
          <w:iCs/>
          <w:sz w:val="20"/>
          <w:szCs w:val="20"/>
        </w:rPr>
        <w:t>Harmony</w:t>
      </w:r>
      <w:proofErr w:type="spellEnd"/>
      <w:r w:rsidRPr="00D263FB">
        <w:rPr>
          <w:rFonts w:ascii="Century Gothic" w:hAnsi="Century Gothic"/>
          <w:iCs/>
          <w:sz w:val="20"/>
          <w:szCs w:val="20"/>
        </w:rPr>
        <w:t xml:space="preserve"> y se destinaron 2</w:t>
      </w:r>
      <w:r>
        <w:rPr>
          <w:rFonts w:ascii="Century Gothic" w:hAnsi="Century Gothic"/>
          <w:iCs/>
          <w:sz w:val="20"/>
          <w:szCs w:val="20"/>
        </w:rPr>
        <w:t>17</w:t>
      </w:r>
      <w:r w:rsidRPr="00D263FB">
        <w:rPr>
          <w:rFonts w:ascii="Century Gothic" w:hAnsi="Century Gothic"/>
          <w:iCs/>
          <w:sz w:val="20"/>
          <w:szCs w:val="20"/>
        </w:rPr>
        <w:t xml:space="preserve"> hectáreas al cultivo de flores que ofrecieron un hábitat a 14 especies diferentes de mariposas y en los que se alimentaron 1,4 millones de abejas.</w:t>
      </w:r>
    </w:p>
    <w:p w14:paraId="5F1B2792" w14:textId="3AD1E45F" w:rsidR="00D263FB" w:rsidRDefault="00D263FB" w:rsidP="00D263FB">
      <w:pPr>
        <w:jc w:val="both"/>
        <w:rPr>
          <w:rFonts w:ascii="Century Gothic" w:hAnsi="Century Gothic"/>
          <w:iCs/>
          <w:sz w:val="20"/>
          <w:szCs w:val="20"/>
        </w:rPr>
      </w:pPr>
      <w:proofErr w:type="spellStart"/>
      <w:r w:rsidRPr="00D263FB">
        <w:rPr>
          <w:rFonts w:ascii="Century Gothic" w:hAnsi="Century Gothic"/>
          <w:iCs/>
          <w:sz w:val="20"/>
          <w:szCs w:val="20"/>
        </w:rPr>
        <w:t>Fontaneda</w:t>
      </w:r>
      <w:proofErr w:type="spellEnd"/>
      <w:r w:rsidRPr="00D263FB">
        <w:rPr>
          <w:rFonts w:ascii="Century Gothic" w:hAnsi="Century Gothic"/>
          <w:iCs/>
          <w:sz w:val="20"/>
          <w:szCs w:val="20"/>
        </w:rPr>
        <w:t>, una de las marcas de galletas más reconocidas y con mayor tradición en nuestro país, presente en las casas españolas desde 1881, ha</w:t>
      </w:r>
      <w:r>
        <w:rPr>
          <w:rFonts w:ascii="Century Gothic" w:hAnsi="Century Gothic"/>
          <w:iCs/>
          <w:sz w:val="20"/>
          <w:szCs w:val="20"/>
        </w:rPr>
        <w:t xml:space="preserve"> estado apoyando la iniciativa desde sus inicios.</w:t>
      </w:r>
      <w:r w:rsidRPr="00D263FB">
        <w:rPr>
          <w:rFonts w:ascii="Century Gothic" w:hAnsi="Century Gothic"/>
          <w:iCs/>
          <w:sz w:val="20"/>
          <w:szCs w:val="20"/>
        </w:rPr>
        <w:t xml:space="preserve"> </w:t>
      </w:r>
    </w:p>
    <w:p w14:paraId="76419ACE" w14:textId="3F7B6E8E" w:rsidR="003B4924" w:rsidRPr="00597126" w:rsidRDefault="003B4924" w:rsidP="00A40894">
      <w:pPr>
        <w:rPr>
          <w:rFonts w:ascii="Century Gothic" w:hAnsi="Century Gothic"/>
          <w:b/>
          <w:iCs/>
          <w:sz w:val="20"/>
          <w:szCs w:val="20"/>
        </w:rPr>
      </w:pPr>
      <w:r w:rsidRPr="00597126">
        <w:rPr>
          <w:rFonts w:ascii="Century Gothic" w:hAnsi="Century Gothic"/>
          <w:b/>
          <w:iCs/>
          <w:sz w:val="20"/>
          <w:szCs w:val="20"/>
        </w:rPr>
        <w:t>Un proyecto innovador con origen en Francia</w:t>
      </w:r>
    </w:p>
    <w:p w14:paraId="20696070" w14:textId="2A40800F" w:rsidR="003B4924" w:rsidRPr="00597126" w:rsidRDefault="00D263FB" w:rsidP="003B4924">
      <w:pPr>
        <w:jc w:val="both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Este novedoso proyecto</w:t>
      </w:r>
      <w:r w:rsidR="003B4924" w:rsidRPr="00597126">
        <w:rPr>
          <w:rFonts w:ascii="Century Gothic" w:hAnsi="Century Gothic" w:cs="Arial"/>
          <w:iCs/>
          <w:sz w:val="20"/>
          <w:szCs w:val="20"/>
        </w:rPr>
        <w:t xml:space="preserve"> de agricultura sostenible nació en Mondelez Francia en 2008, en respuesta a las expectativas de un nuevo perfil de </w:t>
      </w:r>
      <w:r w:rsidR="003B4924" w:rsidRPr="00154EC8">
        <w:rPr>
          <w:rFonts w:ascii="Century Gothic" w:hAnsi="Century Gothic" w:cs="Arial"/>
          <w:bCs/>
          <w:iCs/>
          <w:sz w:val="20"/>
          <w:szCs w:val="20"/>
        </w:rPr>
        <w:t>consumidor responsable</w:t>
      </w:r>
      <w:r w:rsidR="003B4924" w:rsidRPr="00597126">
        <w:rPr>
          <w:rFonts w:ascii="Century Gothic" w:hAnsi="Century Gothic" w:cs="Arial"/>
          <w:b/>
          <w:bCs/>
          <w:iCs/>
          <w:sz w:val="20"/>
          <w:szCs w:val="20"/>
        </w:rPr>
        <w:t xml:space="preserve"> </w:t>
      </w:r>
      <w:r w:rsidR="003B4924" w:rsidRPr="00597126">
        <w:rPr>
          <w:rFonts w:ascii="Century Gothic" w:hAnsi="Century Gothic" w:cs="Arial"/>
          <w:iCs/>
          <w:sz w:val="20"/>
          <w:szCs w:val="20"/>
        </w:rPr>
        <w:t xml:space="preserve">que </w:t>
      </w:r>
      <w:r w:rsidR="003B4924" w:rsidRPr="00597126">
        <w:rPr>
          <w:rFonts w:ascii="Century Gothic" w:hAnsi="Century Gothic" w:cs="Arial"/>
          <w:iCs/>
          <w:sz w:val="20"/>
          <w:szCs w:val="20"/>
        </w:rPr>
        <w:lastRenderedPageBreak/>
        <w:t xml:space="preserve">demanda, cada vez más, productos de alimentación de calidad, que cumplan con las más estrictas normas de seguridad alimentaria y que además, sean respetuosos con el medio ambiente. </w:t>
      </w:r>
    </w:p>
    <w:p w14:paraId="0A17C6B1" w14:textId="62914DCB" w:rsidR="003B4924" w:rsidRPr="00597126" w:rsidRDefault="003B4924" w:rsidP="003B4924">
      <w:pPr>
        <w:jc w:val="both"/>
        <w:rPr>
          <w:rFonts w:ascii="Century Gothic" w:hAnsi="Century Gothic" w:cs="Arial"/>
          <w:iCs/>
          <w:sz w:val="20"/>
          <w:szCs w:val="20"/>
        </w:rPr>
      </w:pPr>
      <w:r w:rsidRPr="00597126">
        <w:rPr>
          <w:rFonts w:ascii="Century Gothic" w:hAnsi="Century Gothic" w:cs="Arial"/>
          <w:iCs/>
          <w:sz w:val="20"/>
          <w:szCs w:val="20"/>
        </w:rPr>
        <w:t xml:space="preserve">Tras haber sido muy bien recibido en el país galo, el Compromiso </w:t>
      </w:r>
      <w:proofErr w:type="spellStart"/>
      <w:r w:rsidRPr="00597126">
        <w:rPr>
          <w:rFonts w:ascii="Century Gothic" w:hAnsi="Century Gothic" w:cs="Arial"/>
          <w:iCs/>
          <w:sz w:val="20"/>
          <w:szCs w:val="20"/>
        </w:rPr>
        <w:t>Harmony</w:t>
      </w:r>
      <w:proofErr w:type="spellEnd"/>
      <w:r w:rsidRPr="00597126">
        <w:rPr>
          <w:rFonts w:ascii="Century Gothic" w:hAnsi="Century Gothic" w:cs="Arial"/>
          <w:iCs/>
          <w:sz w:val="20"/>
          <w:szCs w:val="20"/>
        </w:rPr>
        <w:t xml:space="preserve"> ha empezado a adquirir </w:t>
      </w:r>
      <w:r w:rsidRPr="00154EC8">
        <w:rPr>
          <w:rFonts w:ascii="Century Gothic" w:hAnsi="Century Gothic" w:cs="Arial"/>
          <w:bCs/>
          <w:iCs/>
          <w:sz w:val="20"/>
          <w:szCs w:val="20"/>
        </w:rPr>
        <w:t>un alcance internacional</w:t>
      </w:r>
      <w:r w:rsidRPr="00597126">
        <w:rPr>
          <w:rFonts w:ascii="Century Gothic" w:hAnsi="Century Gothic" w:cs="Arial"/>
          <w:iCs/>
          <w:sz w:val="20"/>
          <w:szCs w:val="20"/>
        </w:rPr>
        <w:t xml:space="preserve">. Promovido por la </w:t>
      </w:r>
      <w:r w:rsidRPr="00154EC8">
        <w:rPr>
          <w:rFonts w:ascii="Century Gothic" w:hAnsi="Century Gothic" w:cs="Arial"/>
          <w:bCs/>
          <w:iCs/>
          <w:sz w:val="20"/>
          <w:szCs w:val="20"/>
        </w:rPr>
        <w:t>categoría de galletas</w:t>
      </w:r>
      <w:r w:rsidRPr="00597126">
        <w:rPr>
          <w:rFonts w:ascii="Century Gothic" w:hAnsi="Century Gothic" w:cs="Arial"/>
          <w:b/>
          <w:bCs/>
          <w:iCs/>
          <w:sz w:val="20"/>
          <w:szCs w:val="20"/>
        </w:rPr>
        <w:t xml:space="preserve"> </w:t>
      </w:r>
      <w:r w:rsidRPr="00597126">
        <w:rPr>
          <w:rFonts w:ascii="Century Gothic" w:hAnsi="Century Gothic" w:cs="Arial"/>
          <w:iCs/>
          <w:sz w:val="20"/>
          <w:szCs w:val="20"/>
        </w:rPr>
        <w:t xml:space="preserve">de la compañía, </w:t>
      </w:r>
      <w:r w:rsidR="00D263FB">
        <w:rPr>
          <w:rFonts w:ascii="Century Gothic" w:hAnsi="Century Gothic" w:cs="Arial"/>
          <w:iCs/>
          <w:sz w:val="20"/>
          <w:szCs w:val="20"/>
        </w:rPr>
        <w:t>la iniciativa</w:t>
      </w:r>
      <w:r w:rsidRPr="00597126">
        <w:rPr>
          <w:rFonts w:ascii="Century Gothic" w:hAnsi="Century Gothic" w:cs="Arial"/>
          <w:iCs/>
          <w:sz w:val="20"/>
          <w:szCs w:val="20"/>
        </w:rPr>
        <w:t xml:space="preserve"> se centra en el ingrediente principal que se utiliza para su elaboración: el trigo. Basándose en principios de producción integrada, esta iniciativa va un paso más allá en su apuesta por el cultivo sostenible del trigo y tiene como objetivo mejorar su calidad, crear un suministro de trigo local cercano a </w:t>
      </w:r>
      <w:r w:rsidR="00D263FB">
        <w:rPr>
          <w:rFonts w:ascii="Century Gothic" w:hAnsi="Century Gothic" w:cs="Arial"/>
          <w:iCs/>
          <w:sz w:val="20"/>
          <w:szCs w:val="20"/>
        </w:rPr>
        <w:t>las plantas de fabricación</w:t>
      </w:r>
      <w:r w:rsidRPr="00597126">
        <w:rPr>
          <w:rFonts w:ascii="Century Gothic" w:hAnsi="Century Gothic" w:cs="Arial"/>
          <w:iCs/>
          <w:sz w:val="20"/>
          <w:szCs w:val="20"/>
        </w:rPr>
        <w:t xml:space="preserve"> y, sobre todo, apostar por el medio ambiente promoviendo </w:t>
      </w:r>
      <w:r w:rsidRPr="00154EC8">
        <w:rPr>
          <w:rFonts w:ascii="Century Gothic" w:hAnsi="Century Gothic" w:cs="Arial"/>
          <w:iCs/>
          <w:sz w:val="20"/>
          <w:szCs w:val="20"/>
        </w:rPr>
        <w:t xml:space="preserve">la </w:t>
      </w:r>
      <w:r w:rsidRPr="00154EC8">
        <w:rPr>
          <w:rFonts w:ascii="Century Gothic" w:hAnsi="Century Gothic" w:cs="Arial"/>
          <w:bCs/>
          <w:iCs/>
          <w:sz w:val="20"/>
          <w:szCs w:val="20"/>
        </w:rPr>
        <w:t>biodiversidad.</w:t>
      </w:r>
    </w:p>
    <w:p w14:paraId="4D2E2F6B" w14:textId="77777777" w:rsidR="003B4924" w:rsidRPr="00834BDA" w:rsidRDefault="003B4924" w:rsidP="003B4924">
      <w:pPr>
        <w:jc w:val="both"/>
        <w:rPr>
          <w:rFonts w:ascii="Arial" w:hAnsi="Arial" w:cs="Arial"/>
          <w:b/>
          <w:iCs/>
        </w:rPr>
      </w:pPr>
    </w:p>
    <w:p w14:paraId="3FB37519" w14:textId="77777777" w:rsidR="003B4924" w:rsidRDefault="003B4924" w:rsidP="00597126">
      <w:pPr>
        <w:spacing w:after="0"/>
        <w:jc w:val="both"/>
        <w:rPr>
          <w:rFonts w:ascii="Century Gothic" w:hAnsi="Century Gothic"/>
          <w:b/>
          <w:sz w:val="16"/>
          <w:szCs w:val="16"/>
        </w:rPr>
      </w:pPr>
      <w:r w:rsidRPr="00597126">
        <w:rPr>
          <w:rFonts w:ascii="Century Gothic" w:hAnsi="Century Gothic"/>
          <w:b/>
          <w:sz w:val="16"/>
          <w:szCs w:val="16"/>
        </w:rPr>
        <w:t>Sobre Mondelez España</w:t>
      </w:r>
    </w:p>
    <w:p w14:paraId="4E7E820E" w14:textId="77777777" w:rsidR="00154EC8" w:rsidRDefault="00154EC8" w:rsidP="00597126">
      <w:pPr>
        <w:spacing w:after="0"/>
        <w:jc w:val="both"/>
        <w:rPr>
          <w:rFonts w:ascii="Century Gothic" w:hAnsi="Century Gothic"/>
          <w:b/>
          <w:sz w:val="16"/>
          <w:szCs w:val="16"/>
        </w:rPr>
      </w:pPr>
    </w:p>
    <w:p w14:paraId="2E562F0C" w14:textId="77777777" w:rsidR="00154EC8" w:rsidRDefault="00154EC8" w:rsidP="00597126">
      <w:pPr>
        <w:spacing w:after="0"/>
        <w:jc w:val="both"/>
        <w:rPr>
          <w:rFonts w:ascii="Century Gothic" w:hAnsi="Century Gothic"/>
          <w:sz w:val="16"/>
          <w:szCs w:val="16"/>
          <w:lang w:val="es-ES_tradnl"/>
        </w:rPr>
      </w:pPr>
      <w:r w:rsidRPr="00154EC8">
        <w:rPr>
          <w:rFonts w:ascii="Century Gothic" w:hAnsi="Century Gothic"/>
          <w:sz w:val="16"/>
          <w:szCs w:val="16"/>
          <w:lang w:val="es-ES_tradnl"/>
        </w:rPr>
        <w:t xml:space="preserve">Mondelez España es uno de los mayores grupos de alimentación españoles. En España, la compañía opera en las categorías de galletas, chocolates, queso, salsas, postres, chicles y caramelos, en las que comercializa marcas emblemáticas como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Fontaneda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Belvita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Oreo, Príncipe,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Milka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Toblerone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Suchard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Philadelphia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El Caserío, Royal,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Dulciora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, Halls y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Trident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>.</w:t>
      </w:r>
    </w:p>
    <w:p w14:paraId="47723081" w14:textId="77777777" w:rsidR="00154EC8" w:rsidRDefault="00154EC8" w:rsidP="00597126">
      <w:pPr>
        <w:spacing w:after="0"/>
        <w:jc w:val="both"/>
        <w:rPr>
          <w:rFonts w:ascii="Century Gothic" w:hAnsi="Century Gothic"/>
          <w:sz w:val="16"/>
          <w:szCs w:val="16"/>
          <w:lang w:val="es-ES_tradnl"/>
        </w:rPr>
      </w:pPr>
    </w:p>
    <w:p w14:paraId="66502402" w14:textId="4095A1EF" w:rsidR="00154EC8" w:rsidRPr="00154EC8" w:rsidRDefault="00154EC8" w:rsidP="00597126">
      <w:pPr>
        <w:spacing w:after="0"/>
        <w:jc w:val="both"/>
        <w:rPr>
          <w:rFonts w:ascii="Century Gothic" w:hAnsi="Century Gothic"/>
          <w:sz w:val="16"/>
          <w:szCs w:val="16"/>
          <w:lang w:val="es-ES_tradnl"/>
        </w:rPr>
      </w:pPr>
      <w:r w:rsidRPr="00154EC8">
        <w:rPr>
          <w:rFonts w:ascii="Century Gothic" w:hAnsi="Century Gothic"/>
          <w:sz w:val="16"/>
          <w:szCs w:val="16"/>
          <w:lang w:val="es-ES_tradnl"/>
        </w:rPr>
        <w:t xml:space="preserve">Para más información sobre </w:t>
      </w:r>
      <w:proofErr w:type="spellStart"/>
      <w:r w:rsidRPr="00154EC8">
        <w:rPr>
          <w:rFonts w:ascii="Century Gothic" w:hAnsi="Century Gothic"/>
          <w:sz w:val="16"/>
          <w:szCs w:val="16"/>
          <w:lang w:val="es-ES_tradnl"/>
        </w:rPr>
        <w:t>Mondelēz</w:t>
      </w:r>
      <w:proofErr w:type="spellEnd"/>
      <w:r w:rsidRPr="00154EC8">
        <w:rPr>
          <w:rFonts w:ascii="Century Gothic" w:hAnsi="Century Gothic"/>
          <w:sz w:val="16"/>
          <w:szCs w:val="16"/>
          <w:lang w:val="es-ES_tradnl"/>
        </w:rPr>
        <w:t xml:space="preserve"> España accede a nuestra</w:t>
      </w:r>
      <w:hyperlink r:id="rId9" w:history="1">
        <w:r w:rsidRPr="00154EC8">
          <w:rPr>
            <w:rStyle w:val="Hipervnculo"/>
            <w:rFonts w:ascii="Century Gothic" w:hAnsi="Century Gothic"/>
            <w:sz w:val="16"/>
            <w:szCs w:val="16"/>
            <w:lang w:val="es-ES_tradnl"/>
          </w:rPr>
          <w:t xml:space="preserve"> sala de prensa</w:t>
        </w:r>
      </w:hyperlink>
      <w:r w:rsidRPr="00154EC8">
        <w:rPr>
          <w:rFonts w:ascii="Century Gothic" w:hAnsi="Century Gothic"/>
          <w:sz w:val="16"/>
          <w:szCs w:val="16"/>
          <w:lang w:val="es-ES_tradnl"/>
        </w:rPr>
        <w:t>.</w:t>
      </w:r>
    </w:p>
    <w:p w14:paraId="333612B3" w14:textId="77777777" w:rsidR="003B4924" w:rsidRPr="000F4A45" w:rsidRDefault="003B4924" w:rsidP="003B4924">
      <w:pPr>
        <w:spacing w:after="0" w:line="240" w:lineRule="auto"/>
        <w:ind w:left="-28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149"/>
      </w:tblGrid>
      <w:tr w:rsidR="003B4924" w:rsidRPr="00154EC8" w14:paraId="7E18EFF3" w14:textId="77777777" w:rsidTr="00EB3552">
        <w:trPr>
          <w:trHeight w:val="381"/>
        </w:trPr>
        <w:tc>
          <w:tcPr>
            <w:tcW w:w="2873" w:type="dxa"/>
          </w:tcPr>
          <w:p w14:paraId="3C7828A1" w14:textId="6DFD9A72" w:rsidR="003B4924" w:rsidRPr="00154EC8" w:rsidRDefault="003B4924" w:rsidP="00154EC8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54EC8">
              <w:rPr>
                <w:rFonts w:ascii="Century Gothic" w:hAnsi="Century Gothic" w:cs="Arial"/>
                <w:b/>
                <w:bCs/>
                <w:sz w:val="16"/>
                <w:szCs w:val="16"/>
                <w:lang w:val="es-ES_tradnl"/>
              </w:rPr>
              <w:t>C</w:t>
            </w:r>
            <w:r w:rsidR="00154EC8" w:rsidRPr="00154EC8">
              <w:rPr>
                <w:rFonts w:ascii="Century Gothic" w:hAnsi="Century Gothic" w:cs="Arial"/>
                <w:b/>
                <w:bCs/>
                <w:sz w:val="16"/>
                <w:szCs w:val="16"/>
                <w:lang w:val="es-ES_tradnl"/>
              </w:rPr>
              <w:t xml:space="preserve">    </w:t>
            </w:r>
            <w:r w:rsidR="00C5519E">
              <w:rPr>
                <w:rFonts w:ascii="Century Gothic" w:hAnsi="Century Gothic" w:cs="Arial"/>
                <w:b/>
                <w:bCs/>
                <w:sz w:val="16"/>
                <w:szCs w:val="16"/>
                <w:lang w:val="es-ES_tradnl"/>
              </w:rPr>
              <w:t xml:space="preserve">   </w:t>
            </w:r>
            <w:r w:rsidRPr="00154EC8">
              <w:rPr>
                <w:rFonts w:ascii="Century Gothic" w:hAnsi="Century Gothic" w:cs="Arial"/>
                <w:b/>
                <w:bCs/>
                <w:sz w:val="16"/>
                <w:szCs w:val="16"/>
                <w:lang w:val="es-ES_tradnl"/>
              </w:rPr>
              <w:t>Contactos</w:t>
            </w:r>
            <w:r w:rsidRPr="00154EC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149" w:type="dxa"/>
          </w:tcPr>
          <w:p w14:paraId="68BB8CE4" w14:textId="77777777" w:rsidR="003B4924" w:rsidRPr="00154EC8" w:rsidRDefault="003B4924" w:rsidP="00EB3552">
            <w:pPr>
              <w:autoSpaceDE w:val="0"/>
              <w:autoSpaceDN w:val="0"/>
              <w:adjustRightInd w:val="0"/>
              <w:ind w:left="-284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154EC8">
              <w:rPr>
                <w:rFonts w:ascii="Century Gothic" w:hAnsi="Century Gothic" w:cs="Arial"/>
                <w:bCs/>
                <w:sz w:val="16"/>
                <w:szCs w:val="16"/>
                <w:lang w:val="es-ES_tradnl"/>
              </w:rPr>
              <w:t>K   Ketchum</w:t>
            </w:r>
          </w:p>
        </w:tc>
      </w:tr>
      <w:tr w:rsidR="003B4924" w:rsidRPr="00154EC8" w14:paraId="0DF5E00D" w14:textId="77777777" w:rsidTr="00EB3552">
        <w:trPr>
          <w:trHeight w:val="111"/>
        </w:trPr>
        <w:tc>
          <w:tcPr>
            <w:tcW w:w="2873" w:type="dxa"/>
          </w:tcPr>
          <w:p w14:paraId="1DBA376A" w14:textId="77777777" w:rsidR="003B4924" w:rsidRPr="00154EC8" w:rsidRDefault="003B4924" w:rsidP="00EB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49" w:type="dxa"/>
          </w:tcPr>
          <w:p w14:paraId="0BEC93FC" w14:textId="77777777" w:rsidR="003B4924" w:rsidRPr="00154EC8" w:rsidRDefault="003B4924" w:rsidP="00EB355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154EC8">
              <w:rPr>
                <w:rFonts w:ascii="Century Gothic" w:hAnsi="Century Gothic" w:cs="Arial"/>
                <w:bCs/>
                <w:sz w:val="16"/>
                <w:szCs w:val="16"/>
                <w:lang w:val="es-ES_tradnl"/>
              </w:rPr>
              <w:t>Cloe García/Julián Ramos</w:t>
            </w:r>
          </w:p>
        </w:tc>
      </w:tr>
      <w:tr w:rsidR="003B4924" w:rsidRPr="00154EC8" w14:paraId="7919B28E" w14:textId="77777777" w:rsidTr="00154EC8">
        <w:trPr>
          <w:trHeight w:val="80"/>
        </w:trPr>
        <w:tc>
          <w:tcPr>
            <w:tcW w:w="2873" w:type="dxa"/>
          </w:tcPr>
          <w:p w14:paraId="2CA0FA5C" w14:textId="77777777" w:rsidR="003B4924" w:rsidRPr="00154EC8" w:rsidRDefault="003B4924" w:rsidP="00EB3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49" w:type="dxa"/>
          </w:tcPr>
          <w:p w14:paraId="36B178A2" w14:textId="77777777" w:rsidR="003B4924" w:rsidRPr="00154EC8" w:rsidRDefault="00C5519E" w:rsidP="00EB3552">
            <w:pPr>
              <w:autoSpaceDE w:val="0"/>
              <w:autoSpaceDN w:val="0"/>
              <w:adjustRightInd w:val="0"/>
              <w:rPr>
                <w:rStyle w:val="Hipervnculo"/>
                <w:rFonts w:ascii="Century Gothic" w:hAnsi="Century Gothic" w:cs="Arial"/>
                <w:bCs/>
                <w:sz w:val="16"/>
                <w:szCs w:val="16"/>
              </w:rPr>
            </w:pPr>
            <w:hyperlink r:id="rId10" w:history="1">
              <w:r w:rsidR="003B4924" w:rsidRPr="00154EC8">
                <w:rPr>
                  <w:rStyle w:val="Hipervnculo"/>
                  <w:rFonts w:ascii="Century Gothic" w:hAnsi="Century Gothic" w:cs="Arial"/>
                  <w:bCs/>
                  <w:sz w:val="16"/>
                  <w:szCs w:val="16"/>
                </w:rPr>
                <w:t>cloe.garcía@ketchum.com/</w:t>
              </w:r>
            </w:hyperlink>
            <w:hyperlink r:id="rId11" w:history="1">
              <w:r w:rsidR="003B4924" w:rsidRPr="00154EC8">
                <w:rPr>
                  <w:rStyle w:val="Hipervnculo"/>
                  <w:rFonts w:ascii="Century Gothic" w:hAnsi="Century Gothic" w:cs="Arial"/>
                  <w:bCs/>
                  <w:sz w:val="16"/>
                  <w:szCs w:val="16"/>
                </w:rPr>
                <w:t>julian.ramos@ketchum.com</w:t>
              </w:r>
            </w:hyperlink>
          </w:p>
          <w:p w14:paraId="516DB731" w14:textId="77777777" w:rsidR="003B4924" w:rsidRPr="00154EC8" w:rsidRDefault="003B4924" w:rsidP="00EB355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54EC8">
              <w:rPr>
                <w:rStyle w:val="Hipervnculo"/>
                <w:rFonts w:ascii="Century Gothic" w:hAnsi="Century Gothic" w:cs="Arial"/>
                <w:sz w:val="16"/>
                <w:szCs w:val="16"/>
              </w:rPr>
              <w:t>Tlf</w:t>
            </w:r>
            <w:proofErr w:type="spellEnd"/>
            <w:r w:rsidRPr="00154EC8">
              <w:rPr>
                <w:rStyle w:val="Hipervnculo"/>
                <w:rFonts w:ascii="Century Gothic" w:hAnsi="Century Gothic" w:cs="Arial"/>
                <w:sz w:val="16"/>
                <w:szCs w:val="16"/>
              </w:rPr>
              <w:t>.: 91 788 32 00</w:t>
            </w:r>
          </w:p>
        </w:tc>
      </w:tr>
    </w:tbl>
    <w:p w14:paraId="5A81CBD9" w14:textId="77777777" w:rsidR="003B4924" w:rsidRDefault="003B4924" w:rsidP="00E96F56">
      <w:pPr>
        <w:spacing w:after="0"/>
        <w:jc w:val="both"/>
        <w:rPr>
          <w:rFonts w:ascii="Century Gothic" w:hAnsi="Century Gothic"/>
          <w:b/>
          <w:sz w:val="16"/>
          <w:szCs w:val="16"/>
        </w:rPr>
      </w:pPr>
    </w:p>
    <w:p w14:paraId="40761AF9" w14:textId="77777777" w:rsidR="003B4924" w:rsidRDefault="003B4924" w:rsidP="00E96F56">
      <w:pPr>
        <w:spacing w:after="0"/>
        <w:jc w:val="both"/>
        <w:rPr>
          <w:rFonts w:ascii="Century Gothic" w:hAnsi="Century Gothic"/>
          <w:b/>
          <w:sz w:val="16"/>
          <w:szCs w:val="16"/>
        </w:rPr>
      </w:pPr>
    </w:p>
    <w:p w14:paraId="795BBFF8" w14:textId="77777777" w:rsidR="00E96F56" w:rsidRPr="00052E3F" w:rsidRDefault="00E96F56">
      <w:pPr>
        <w:rPr>
          <w:rFonts w:ascii="Century Gothic" w:eastAsiaTheme="minorEastAsia" w:hAnsi="Century Gothic"/>
          <w:sz w:val="20"/>
          <w:szCs w:val="24"/>
          <w:lang w:eastAsia="es-ES"/>
        </w:rPr>
      </w:pPr>
    </w:p>
    <w:p w14:paraId="5C8C9255" w14:textId="77777777" w:rsidR="00C875FA" w:rsidRPr="00052E3F" w:rsidRDefault="00C875FA">
      <w:pPr>
        <w:rPr>
          <w:rFonts w:ascii="Century Gothic" w:eastAsiaTheme="minorEastAsia" w:hAnsi="Century Gothic"/>
          <w:sz w:val="20"/>
          <w:szCs w:val="24"/>
          <w:lang w:eastAsia="es-ES"/>
        </w:rPr>
      </w:pPr>
    </w:p>
    <w:p w14:paraId="17D6B46D" w14:textId="77777777" w:rsidR="00C875FA" w:rsidRPr="00052E3F" w:rsidRDefault="00C875FA">
      <w:pPr>
        <w:rPr>
          <w:rFonts w:ascii="Century Gothic" w:eastAsiaTheme="minorEastAsia" w:hAnsi="Century Gothic"/>
          <w:sz w:val="20"/>
          <w:szCs w:val="24"/>
          <w:lang w:eastAsia="es-ES"/>
        </w:rPr>
      </w:pPr>
    </w:p>
    <w:p w14:paraId="22D48281" w14:textId="77777777" w:rsidR="00C875FA" w:rsidRPr="00052E3F" w:rsidRDefault="00C875FA">
      <w:pPr>
        <w:rPr>
          <w:rFonts w:ascii="Century Gothic" w:eastAsiaTheme="minorEastAsia" w:hAnsi="Century Gothic"/>
          <w:sz w:val="20"/>
          <w:szCs w:val="24"/>
          <w:lang w:eastAsia="es-ES"/>
        </w:rPr>
      </w:pPr>
    </w:p>
    <w:p w14:paraId="4D9F5E96" w14:textId="77777777" w:rsidR="00C875FA" w:rsidRPr="00052E3F" w:rsidRDefault="00C875FA">
      <w:pPr>
        <w:rPr>
          <w:rFonts w:ascii="Century Gothic" w:eastAsiaTheme="minorEastAsia" w:hAnsi="Century Gothic"/>
          <w:sz w:val="20"/>
          <w:szCs w:val="24"/>
          <w:lang w:eastAsia="es-ES"/>
        </w:rPr>
      </w:pPr>
    </w:p>
    <w:p w14:paraId="63349BE4" w14:textId="77777777" w:rsidR="00C875FA" w:rsidRPr="00052E3F" w:rsidRDefault="00C875FA">
      <w:pPr>
        <w:rPr>
          <w:rFonts w:ascii="Century Gothic" w:eastAsiaTheme="minorEastAsia" w:hAnsi="Century Gothic"/>
          <w:sz w:val="20"/>
          <w:szCs w:val="24"/>
          <w:lang w:eastAsia="es-ES"/>
        </w:rPr>
      </w:pPr>
    </w:p>
    <w:sectPr w:rsidR="00C875FA" w:rsidRPr="00052E3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8A0E5" w14:textId="77777777" w:rsidR="00404129" w:rsidRDefault="00404129" w:rsidP="00E96F56">
      <w:pPr>
        <w:spacing w:after="0" w:line="240" w:lineRule="auto"/>
      </w:pPr>
      <w:r>
        <w:separator/>
      </w:r>
    </w:p>
  </w:endnote>
  <w:endnote w:type="continuationSeparator" w:id="0">
    <w:p w14:paraId="09EC777B" w14:textId="77777777" w:rsidR="00404129" w:rsidRDefault="00404129" w:rsidP="00E9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447A3" w14:textId="77777777" w:rsidR="00404129" w:rsidRDefault="00404129" w:rsidP="00E96F56">
      <w:pPr>
        <w:spacing w:after="0" w:line="240" w:lineRule="auto"/>
      </w:pPr>
      <w:r>
        <w:separator/>
      </w:r>
    </w:p>
  </w:footnote>
  <w:footnote w:type="continuationSeparator" w:id="0">
    <w:p w14:paraId="71EC3682" w14:textId="77777777" w:rsidR="00404129" w:rsidRDefault="00404129" w:rsidP="00E9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C6B7" w14:textId="23589D9E" w:rsidR="005830D9" w:rsidRDefault="00676663" w:rsidP="00E96F56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A37F28" wp14:editId="4E46BD71">
          <wp:simplePos x="0" y="0"/>
          <wp:positionH relativeFrom="column">
            <wp:posOffset>-466725</wp:posOffset>
          </wp:positionH>
          <wp:positionV relativeFrom="paragraph">
            <wp:posOffset>8890</wp:posOffset>
          </wp:positionV>
          <wp:extent cx="3039110" cy="777240"/>
          <wp:effectExtent l="0" t="0" r="8890" b="381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303911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              </w:t>
    </w:r>
    <w:r w:rsidR="005830D9">
      <w:rPr>
        <w:noProof/>
        <w:lang w:eastAsia="es-ES"/>
      </w:rPr>
      <w:drawing>
        <wp:inline distT="0" distB="0" distL="0" distR="0" wp14:anchorId="6F2750C3" wp14:editId="6352AD53">
          <wp:extent cx="2677194" cy="981562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taned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194" cy="98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F2AC4"/>
    <w:multiLevelType w:val="hybridMultilevel"/>
    <w:tmpl w:val="D2348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67AEC"/>
    <w:multiLevelType w:val="hybridMultilevel"/>
    <w:tmpl w:val="09D47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56"/>
    <w:rsid w:val="0000641A"/>
    <w:rsid w:val="00052E3F"/>
    <w:rsid w:val="00067D54"/>
    <w:rsid w:val="00094063"/>
    <w:rsid w:val="000A1C01"/>
    <w:rsid w:val="000C30BE"/>
    <w:rsid w:val="00111CB5"/>
    <w:rsid w:val="001324BA"/>
    <w:rsid w:val="00154EC8"/>
    <w:rsid w:val="001728EA"/>
    <w:rsid w:val="001A047F"/>
    <w:rsid w:val="0021793F"/>
    <w:rsid w:val="00250249"/>
    <w:rsid w:val="002D3AB1"/>
    <w:rsid w:val="002E4654"/>
    <w:rsid w:val="002F3789"/>
    <w:rsid w:val="00326F7F"/>
    <w:rsid w:val="003B4924"/>
    <w:rsid w:val="003C5DB4"/>
    <w:rsid w:val="00404129"/>
    <w:rsid w:val="004636A9"/>
    <w:rsid w:val="00463E59"/>
    <w:rsid w:val="00543823"/>
    <w:rsid w:val="00553585"/>
    <w:rsid w:val="005830D9"/>
    <w:rsid w:val="005838AA"/>
    <w:rsid w:val="00597126"/>
    <w:rsid w:val="005A0992"/>
    <w:rsid w:val="005A2874"/>
    <w:rsid w:val="005A766A"/>
    <w:rsid w:val="005C6E14"/>
    <w:rsid w:val="005E45B4"/>
    <w:rsid w:val="00620189"/>
    <w:rsid w:val="006260A5"/>
    <w:rsid w:val="00666F72"/>
    <w:rsid w:val="00676663"/>
    <w:rsid w:val="006C4988"/>
    <w:rsid w:val="00710E9C"/>
    <w:rsid w:val="007143E1"/>
    <w:rsid w:val="00736FAF"/>
    <w:rsid w:val="00752D75"/>
    <w:rsid w:val="007D1B0E"/>
    <w:rsid w:val="00866548"/>
    <w:rsid w:val="00874D61"/>
    <w:rsid w:val="00907D10"/>
    <w:rsid w:val="0091189F"/>
    <w:rsid w:val="009342E4"/>
    <w:rsid w:val="009432B4"/>
    <w:rsid w:val="009841B1"/>
    <w:rsid w:val="00994AC0"/>
    <w:rsid w:val="00A024CF"/>
    <w:rsid w:val="00A2669B"/>
    <w:rsid w:val="00A40894"/>
    <w:rsid w:val="00AC7FE0"/>
    <w:rsid w:val="00AD6C42"/>
    <w:rsid w:val="00B07CD6"/>
    <w:rsid w:val="00B10FD3"/>
    <w:rsid w:val="00B36737"/>
    <w:rsid w:val="00B61884"/>
    <w:rsid w:val="00B74808"/>
    <w:rsid w:val="00BE5310"/>
    <w:rsid w:val="00BE5AA9"/>
    <w:rsid w:val="00BF6181"/>
    <w:rsid w:val="00C35EC4"/>
    <w:rsid w:val="00C52839"/>
    <w:rsid w:val="00C5519E"/>
    <w:rsid w:val="00C875FA"/>
    <w:rsid w:val="00CF2AF0"/>
    <w:rsid w:val="00D01E0F"/>
    <w:rsid w:val="00D209C7"/>
    <w:rsid w:val="00D263FB"/>
    <w:rsid w:val="00D36875"/>
    <w:rsid w:val="00D36C4E"/>
    <w:rsid w:val="00D8397A"/>
    <w:rsid w:val="00DA5DBA"/>
    <w:rsid w:val="00DB6C19"/>
    <w:rsid w:val="00DC3C06"/>
    <w:rsid w:val="00DE0CB0"/>
    <w:rsid w:val="00E67A5B"/>
    <w:rsid w:val="00E96F56"/>
    <w:rsid w:val="00EA1849"/>
    <w:rsid w:val="00EA2464"/>
    <w:rsid w:val="00EB3ECC"/>
    <w:rsid w:val="00EB4472"/>
    <w:rsid w:val="00ED34F1"/>
    <w:rsid w:val="00EF3C77"/>
    <w:rsid w:val="00F228F1"/>
    <w:rsid w:val="00F612B3"/>
    <w:rsid w:val="00F625B3"/>
    <w:rsid w:val="00F66DB2"/>
    <w:rsid w:val="00F67EEB"/>
    <w:rsid w:val="00F74C54"/>
    <w:rsid w:val="00FA7773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D4C72B8"/>
  <w15:docId w15:val="{BECE21D6-A889-4290-8F82-5F5DCA88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F56"/>
  </w:style>
  <w:style w:type="paragraph" w:styleId="Piedepgina">
    <w:name w:val="footer"/>
    <w:basedOn w:val="Normal"/>
    <w:link w:val="PiedepginaCar"/>
    <w:uiPriority w:val="99"/>
    <w:unhideWhenUsed/>
    <w:rsid w:val="00E96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F56"/>
  </w:style>
  <w:style w:type="paragraph" w:styleId="Textodeglobo">
    <w:name w:val="Balloon Text"/>
    <w:basedOn w:val="Normal"/>
    <w:link w:val="TextodegloboCar"/>
    <w:uiPriority w:val="99"/>
    <w:semiHidden/>
    <w:unhideWhenUsed/>
    <w:rsid w:val="00E9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F56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96F56"/>
    <w:pPr>
      <w:spacing w:after="0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E96F56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qFormat/>
    <w:rsid w:val="00AC7FE0"/>
    <w:pPr>
      <w:ind w:left="720"/>
      <w:contextualSpacing/>
    </w:pPr>
    <w:rPr>
      <w:rFonts w:ascii="Arial" w:eastAsia="Calibri" w:hAnsi="Arial" w:cs="Arial"/>
      <w:lang w:val="fr-FR"/>
    </w:rPr>
  </w:style>
  <w:style w:type="table" w:styleId="Tablaconcuadrcula">
    <w:name w:val="Table Grid"/>
    <w:basedOn w:val="Tablanormal"/>
    <w:uiPriority w:val="59"/>
    <w:rsid w:val="00907D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F2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a-conso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taneda.es/compromiso_harmon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an.ramos@ketchu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oe.garc&#237;a@ketch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es/mondelez-spa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Gomez</dc:creator>
  <cp:lastModifiedBy>Julian Ramos</cp:lastModifiedBy>
  <cp:revision>3</cp:revision>
  <dcterms:created xsi:type="dcterms:W3CDTF">2015-11-30T12:11:00Z</dcterms:created>
  <dcterms:modified xsi:type="dcterms:W3CDTF">2015-11-30T12:26:00Z</dcterms:modified>
</cp:coreProperties>
</file>