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Pr="00A93CE5" w:rsidRDefault="00A46196" w:rsidP="00F61E1D">
      <w:pPr>
        <w:pStyle w:val="berschrift1"/>
      </w:pPr>
      <w:r w:rsidRPr="00A93CE5">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A93CE5" w:rsidRDefault="00DA6A73" w:rsidP="00DA6A73"/>
    <w:p w14:paraId="0BCB91CD" w14:textId="77777777" w:rsidR="00DA6A73" w:rsidRPr="00A93CE5" w:rsidRDefault="00DA6A73" w:rsidP="00441DE7">
      <w:pPr>
        <w:jc w:val="right"/>
      </w:pPr>
    </w:p>
    <w:p w14:paraId="1BA517AD" w14:textId="77777777" w:rsidR="00441DE7" w:rsidRPr="00A93CE5" w:rsidRDefault="00441DE7" w:rsidP="00BF54F7">
      <w:pPr>
        <w:rPr>
          <w:rFonts w:ascii="Segoe UI" w:hAnsi="Segoe UI" w:cs="Segoe UI"/>
          <w:color w:val="0070C0"/>
          <w:sz w:val="56"/>
          <w:szCs w:val="56"/>
        </w:rPr>
      </w:pPr>
      <w:r w:rsidRPr="00A93CE5">
        <w:rPr>
          <w:rFonts w:ascii="Segoe UI" w:hAnsi="Segoe UI" w:cs="Segoe UI"/>
          <w:color w:val="0070C0"/>
          <w:sz w:val="56"/>
          <w:szCs w:val="56"/>
        </w:rPr>
        <w:t>PRESSEMITTEILUNG</w:t>
      </w:r>
    </w:p>
    <w:p w14:paraId="278A1626" w14:textId="5B98CE13" w:rsidR="00804B56" w:rsidRPr="00A93CE5" w:rsidRDefault="00DE3067" w:rsidP="00A343F7">
      <w:pPr>
        <w:tabs>
          <w:tab w:val="left" w:pos="6946"/>
        </w:tabs>
        <w:ind w:left="6375" w:hanging="279"/>
        <w:rPr>
          <w:rFonts w:ascii="Segoe UI" w:hAnsi="Segoe UI" w:cs="Segoe UI"/>
          <w:color w:val="000000" w:themeColor="text1"/>
          <w:sz w:val="18"/>
          <w:szCs w:val="18"/>
        </w:rPr>
      </w:pPr>
      <w:r w:rsidRPr="00A93CE5">
        <w:rPr>
          <w:color w:val="000000" w:themeColor="text1"/>
          <w:sz w:val="18"/>
          <w:szCs w:val="18"/>
        </w:rPr>
        <w:t xml:space="preserve">  </w:t>
      </w:r>
      <w:r w:rsidR="00A343F7" w:rsidRPr="00A93CE5">
        <w:rPr>
          <w:color w:val="000000" w:themeColor="text1"/>
          <w:sz w:val="18"/>
          <w:szCs w:val="18"/>
        </w:rPr>
        <w:tab/>
      </w:r>
      <w:r w:rsidR="00A343F7" w:rsidRPr="00A93CE5">
        <w:rPr>
          <w:color w:val="000000" w:themeColor="text1"/>
          <w:sz w:val="18"/>
          <w:szCs w:val="18"/>
        </w:rPr>
        <w:tab/>
      </w:r>
      <w:r w:rsidR="00DA6A73" w:rsidRPr="00A93CE5">
        <w:rPr>
          <w:rFonts w:ascii="Segoe UI" w:hAnsi="Segoe UI" w:cs="Segoe UI"/>
          <w:color w:val="000000" w:themeColor="text1"/>
          <w:sz w:val="18"/>
          <w:szCs w:val="18"/>
        </w:rPr>
        <w:t xml:space="preserve">Trier, </w:t>
      </w:r>
      <w:r w:rsidR="00DA6A73" w:rsidRPr="00A93CE5">
        <w:rPr>
          <w:rFonts w:ascii="Segoe UI" w:hAnsi="Segoe UI" w:cs="Segoe UI"/>
          <w:color w:val="000000" w:themeColor="text1"/>
          <w:sz w:val="18"/>
          <w:szCs w:val="18"/>
        </w:rPr>
        <w:fldChar w:fldCharType="begin"/>
      </w:r>
      <w:r w:rsidR="00DA6A73" w:rsidRPr="00A93CE5">
        <w:rPr>
          <w:rFonts w:ascii="Segoe UI" w:hAnsi="Segoe UI" w:cs="Segoe UI"/>
          <w:color w:val="000000" w:themeColor="text1"/>
          <w:sz w:val="18"/>
          <w:szCs w:val="18"/>
        </w:rPr>
        <w:instrText xml:space="preserve"> TIME \@ "d. MMMM yyyy" </w:instrText>
      </w:r>
      <w:r w:rsidR="00DA6A73" w:rsidRPr="00A93CE5">
        <w:rPr>
          <w:rFonts w:ascii="Segoe UI" w:hAnsi="Segoe UI" w:cs="Segoe UI"/>
          <w:color w:val="000000" w:themeColor="text1"/>
          <w:sz w:val="18"/>
          <w:szCs w:val="18"/>
        </w:rPr>
        <w:fldChar w:fldCharType="separate"/>
      </w:r>
      <w:r w:rsidR="003E798A">
        <w:rPr>
          <w:rFonts w:ascii="Segoe UI" w:hAnsi="Segoe UI" w:cs="Segoe UI"/>
          <w:noProof/>
          <w:color w:val="000000" w:themeColor="text1"/>
          <w:sz w:val="18"/>
          <w:szCs w:val="18"/>
        </w:rPr>
        <w:t>9. April 2026</w:t>
      </w:r>
      <w:r w:rsidR="00DA6A73" w:rsidRPr="00A93CE5">
        <w:rPr>
          <w:rFonts w:ascii="Segoe UI" w:hAnsi="Segoe UI" w:cs="Segoe UI"/>
          <w:color w:val="000000" w:themeColor="text1"/>
          <w:sz w:val="18"/>
          <w:szCs w:val="18"/>
        </w:rPr>
        <w:fldChar w:fldCharType="end"/>
      </w:r>
    </w:p>
    <w:p w14:paraId="605266D8" w14:textId="2981CF76" w:rsidR="00325E74" w:rsidRPr="003E798A" w:rsidRDefault="00325E74" w:rsidP="00325E74">
      <w:pPr>
        <w:rPr>
          <w:rFonts w:ascii="Segoe UI" w:hAnsi="Segoe UI" w:cs="Segoe UI"/>
          <w:b/>
          <w:bCs/>
          <w:sz w:val="32"/>
          <w:szCs w:val="32"/>
        </w:rPr>
      </w:pPr>
      <w:r w:rsidRPr="003E798A">
        <w:rPr>
          <w:rFonts w:ascii="Segoe UI" w:hAnsi="Segoe UI" w:cs="Segoe UI"/>
          <w:b/>
          <w:bCs/>
          <w:sz w:val="32"/>
          <w:szCs w:val="32"/>
        </w:rPr>
        <w:t>Gegensätze ziehen sich an? Nicht in der Außenpolitik</w:t>
      </w:r>
    </w:p>
    <w:p w14:paraId="44DB2813" w14:textId="453D5E59" w:rsidR="00325E74" w:rsidRPr="003E798A" w:rsidRDefault="00325E74" w:rsidP="00325E74">
      <w:pPr>
        <w:rPr>
          <w:rFonts w:ascii="Segoe UI" w:hAnsi="Segoe UI" w:cs="Segoe UI"/>
          <w:sz w:val="28"/>
          <w:szCs w:val="28"/>
        </w:rPr>
      </w:pPr>
      <w:r w:rsidRPr="003E798A">
        <w:rPr>
          <w:rFonts w:ascii="Segoe UI" w:hAnsi="Segoe UI" w:cs="Segoe UI"/>
          <w:sz w:val="28"/>
          <w:szCs w:val="28"/>
        </w:rPr>
        <w:t>Eine Studie aus Trier und Hamburg zeigt den Einfluss biografischer Gemeinsamkeiten politischer Anführer auf das Verhängen von Sanktionen.</w:t>
      </w:r>
    </w:p>
    <w:p w14:paraId="269D28C3" w14:textId="0578F100" w:rsidR="00325E74" w:rsidRPr="003E798A" w:rsidRDefault="00325E74" w:rsidP="00325E74">
      <w:pPr>
        <w:rPr>
          <w:rFonts w:ascii="Segoe UI" w:hAnsi="Segoe UI" w:cs="Segoe UI"/>
          <w:sz w:val="20"/>
          <w:szCs w:val="20"/>
        </w:rPr>
      </w:pPr>
      <w:r w:rsidRPr="003E798A">
        <w:rPr>
          <w:rFonts w:ascii="Segoe UI" w:hAnsi="Segoe UI" w:cs="Segoe UI"/>
          <w:sz w:val="20"/>
          <w:szCs w:val="20"/>
        </w:rPr>
        <w:t>Internationale Sanktionen werden seltener verhängt, wenn sich die verantwortlichen politischen Spitzenakteure in ihren Lebensläufen ähneln. Das zeigt eine neue Studie von Jerg Gutmann (Universität Hamburg), Pascal Langer und Matthias Neuenkirch (beide Universität Trier). Basierend auf über 150 Staaten und für den Zeitraum 1970 bis 2004 wird untersucht, ob und wann Sanktionen verhängt wurden – und ob diese Entscheidungen mit biografischen Gemeinsamkeiten der beteiligten Regierungschefs statistisch zusammenhängen.</w:t>
      </w:r>
    </w:p>
    <w:p w14:paraId="76317BBB" w14:textId="21B9A249" w:rsidR="00325E74" w:rsidRPr="003E798A" w:rsidRDefault="00325E74" w:rsidP="00325E74">
      <w:pPr>
        <w:rPr>
          <w:rFonts w:ascii="Segoe UI" w:hAnsi="Segoe UI" w:cs="Segoe UI"/>
          <w:sz w:val="20"/>
          <w:szCs w:val="20"/>
        </w:rPr>
      </w:pPr>
      <w:r w:rsidRPr="003E798A">
        <w:rPr>
          <w:rFonts w:ascii="Segoe UI" w:hAnsi="Segoe UI" w:cs="Segoe UI"/>
          <w:sz w:val="20"/>
          <w:szCs w:val="20"/>
        </w:rPr>
        <w:t>Für ihre Analyse verbinden die Forscher Informationen zu mehreren Jahrzehnten internationaler Sanktionspolitik mit einem Datensatz, der die beruflichen und persönlichen Lebensläufe führender Regierungsvertreter weltweit erfasst. Dazu zählen</w:t>
      </w:r>
      <w:r w:rsidR="007E1EAC" w:rsidRPr="003E798A">
        <w:rPr>
          <w:rFonts w:ascii="Segoe UI" w:hAnsi="Segoe UI" w:cs="Segoe UI"/>
          <w:sz w:val="20"/>
          <w:szCs w:val="20"/>
        </w:rPr>
        <w:t xml:space="preserve"> dutzende</w:t>
      </w:r>
      <w:r w:rsidRPr="003E798A">
        <w:rPr>
          <w:rFonts w:ascii="Segoe UI" w:hAnsi="Segoe UI" w:cs="Segoe UI"/>
          <w:sz w:val="20"/>
          <w:szCs w:val="20"/>
        </w:rPr>
        <w:t xml:space="preserve"> Merkmale wie Alter, Geschlecht, Ausbildung, berufliche Stationen, Militärdienst und politische Karrierewege von Staats- und Regierungschefs. Gemessen wird für jedes Paar politischer Anführer, wie weit ihre Merkmale und Lebenserfahrungen übereinstimmen.</w:t>
      </w:r>
    </w:p>
    <w:p w14:paraId="6364AC4B" w14:textId="1F712B02" w:rsidR="00325E74" w:rsidRPr="003E798A" w:rsidRDefault="00325E74" w:rsidP="00325E74">
      <w:pPr>
        <w:rPr>
          <w:rFonts w:ascii="Segoe UI" w:hAnsi="Segoe UI" w:cs="Segoe UI"/>
          <w:sz w:val="20"/>
          <w:szCs w:val="20"/>
        </w:rPr>
      </w:pPr>
      <w:r w:rsidRPr="003E798A">
        <w:rPr>
          <w:rFonts w:ascii="Segoe UI" w:hAnsi="Segoe UI" w:cs="Segoe UI"/>
          <w:sz w:val="20"/>
          <w:szCs w:val="20"/>
        </w:rPr>
        <w:t>„</w:t>
      </w:r>
      <w:r w:rsidR="0045104F" w:rsidRPr="003E798A">
        <w:rPr>
          <w:rFonts w:ascii="Segoe UI" w:hAnsi="Segoe UI" w:cs="Segoe UI"/>
          <w:sz w:val="20"/>
          <w:szCs w:val="20"/>
        </w:rPr>
        <w:t xml:space="preserve">Wir sehen mit diesem Ansatz beispielsweise eine große </w:t>
      </w:r>
      <w:r w:rsidRPr="003E798A">
        <w:rPr>
          <w:rFonts w:ascii="Segoe UI" w:hAnsi="Segoe UI" w:cs="Segoe UI"/>
          <w:sz w:val="20"/>
          <w:szCs w:val="20"/>
        </w:rPr>
        <w:t>Ähnlichkeit zwischen Gerhard Schröder und Wladimir Putin“, veranschaulicht Matthias Neuenkirch</w:t>
      </w:r>
      <w:r w:rsidR="007E1EAC" w:rsidRPr="003E798A">
        <w:rPr>
          <w:rFonts w:ascii="Segoe UI" w:hAnsi="Segoe UI" w:cs="Segoe UI"/>
          <w:sz w:val="20"/>
          <w:szCs w:val="20"/>
        </w:rPr>
        <w:t xml:space="preserve"> die gewonnenen Daten</w:t>
      </w:r>
      <w:r w:rsidRPr="003E798A">
        <w:rPr>
          <w:rFonts w:ascii="Segoe UI" w:hAnsi="Segoe UI" w:cs="Segoe UI"/>
          <w:sz w:val="20"/>
          <w:szCs w:val="20"/>
        </w:rPr>
        <w:t>. „</w:t>
      </w:r>
      <w:r w:rsidR="0045104F" w:rsidRPr="003E798A">
        <w:rPr>
          <w:rFonts w:ascii="Segoe UI" w:hAnsi="Segoe UI" w:cs="Segoe UI"/>
          <w:sz w:val="20"/>
          <w:szCs w:val="20"/>
        </w:rPr>
        <w:t>Dieses Bild bleibt überraschend stabil, auch wenn wir alternative statistische Methoden verwenden und unterschiedliche biographische Merkmale berücksichtigen</w:t>
      </w:r>
      <w:r w:rsidRPr="003E798A">
        <w:rPr>
          <w:rFonts w:ascii="Segoe UI" w:hAnsi="Segoe UI" w:cs="Segoe UI"/>
          <w:sz w:val="20"/>
          <w:szCs w:val="20"/>
        </w:rPr>
        <w:t>.“</w:t>
      </w:r>
    </w:p>
    <w:p w14:paraId="2832A0B9" w14:textId="77777777" w:rsidR="00325E74" w:rsidRPr="003E798A" w:rsidRDefault="00325E74" w:rsidP="00325E74">
      <w:pPr>
        <w:rPr>
          <w:rFonts w:ascii="Segoe UI" w:hAnsi="Segoe UI" w:cs="Segoe UI"/>
          <w:b/>
          <w:bCs/>
          <w:sz w:val="20"/>
          <w:szCs w:val="20"/>
        </w:rPr>
      </w:pPr>
      <w:r w:rsidRPr="003E798A">
        <w:rPr>
          <w:rFonts w:ascii="Segoe UI" w:hAnsi="Segoe UI" w:cs="Segoe UI"/>
          <w:b/>
          <w:bCs/>
          <w:sz w:val="20"/>
          <w:szCs w:val="20"/>
        </w:rPr>
        <w:t>Biografische Ähnlichkeit als Einflussfaktor</w:t>
      </w:r>
    </w:p>
    <w:p w14:paraId="394CAD21" w14:textId="2D878048" w:rsidR="00325E74" w:rsidRPr="003E798A" w:rsidRDefault="00325E74" w:rsidP="00325E74">
      <w:pPr>
        <w:rPr>
          <w:rFonts w:ascii="Segoe UI" w:hAnsi="Segoe UI" w:cs="Segoe UI"/>
          <w:sz w:val="20"/>
          <w:szCs w:val="20"/>
        </w:rPr>
      </w:pPr>
      <w:r w:rsidRPr="003E798A">
        <w:rPr>
          <w:rFonts w:ascii="Segoe UI" w:hAnsi="Segoe UI" w:cs="Segoe UI"/>
          <w:sz w:val="20"/>
          <w:szCs w:val="20"/>
        </w:rPr>
        <w:t xml:space="preserve">Die </w:t>
      </w:r>
      <w:r w:rsidR="007E1EAC" w:rsidRPr="003E798A">
        <w:rPr>
          <w:rFonts w:ascii="Segoe UI" w:hAnsi="Segoe UI" w:cs="Segoe UI"/>
          <w:sz w:val="20"/>
          <w:szCs w:val="20"/>
        </w:rPr>
        <w:t xml:space="preserve">statistische </w:t>
      </w:r>
      <w:r w:rsidRPr="003E798A">
        <w:rPr>
          <w:rFonts w:ascii="Segoe UI" w:hAnsi="Segoe UI" w:cs="Segoe UI"/>
          <w:sz w:val="20"/>
          <w:szCs w:val="20"/>
        </w:rPr>
        <w:t>Analyse zeigt: Je stärker sich politische Anführer</w:t>
      </w:r>
      <w:r w:rsidR="007D59BC" w:rsidRPr="003E798A">
        <w:rPr>
          <w:rFonts w:ascii="Segoe UI" w:hAnsi="Segoe UI" w:cs="Segoe UI"/>
          <w:sz w:val="20"/>
          <w:szCs w:val="20"/>
        </w:rPr>
        <w:t xml:space="preserve"> zweier Staaten</w:t>
      </w:r>
      <w:r w:rsidRPr="003E798A">
        <w:rPr>
          <w:rFonts w:ascii="Segoe UI" w:hAnsi="Segoe UI" w:cs="Segoe UI"/>
          <w:sz w:val="20"/>
          <w:szCs w:val="20"/>
        </w:rPr>
        <w:t xml:space="preserve"> in ihren biografischen Profilen ähneln, desto geringer ist die Wahrscheinlichkeit, dass</w:t>
      </w:r>
      <w:r w:rsidR="007D59BC" w:rsidRPr="003E798A">
        <w:rPr>
          <w:rFonts w:ascii="Segoe UI" w:hAnsi="Segoe UI" w:cs="Segoe UI"/>
          <w:sz w:val="20"/>
          <w:szCs w:val="20"/>
        </w:rPr>
        <w:t xml:space="preserve"> diese Staaten Sanktionen gegeneinander verhängen</w:t>
      </w:r>
      <w:r w:rsidRPr="003E798A">
        <w:rPr>
          <w:rFonts w:ascii="Segoe UI" w:hAnsi="Segoe UI" w:cs="Segoe UI"/>
          <w:sz w:val="20"/>
          <w:szCs w:val="20"/>
        </w:rPr>
        <w:t xml:space="preserve">. Sehr </w:t>
      </w:r>
      <w:r w:rsidR="007D59BC" w:rsidRPr="003E798A">
        <w:rPr>
          <w:rFonts w:ascii="Segoe UI" w:hAnsi="Segoe UI" w:cs="Segoe UI"/>
          <w:sz w:val="20"/>
          <w:szCs w:val="20"/>
        </w:rPr>
        <w:t>unterschiedliche</w:t>
      </w:r>
      <w:r w:rsidRPr="003E798A">
        <w:rPr>
          <w:rFonts w:ascii="Segoe UI" w:hAnsi="Segoe UI" w:cs="Segoe UI"/>
          <w:sz w:val="20"/>
          <w:szCs w:val="20"/>
        </w:rPr>
        <w:t xml:space="preserve"> </w:t>
      </w:r>
      <w:r w:rsidR="007D59BC" w:rsidRPr="003E798A">
        <w:rPr>
          <w:rFonts w:ascii="Segoe UI" w:hAnsi="Segoe UI" w:cs="Segoe UI"/>
          <w:sz w:val="20"/>
          <w:szCs w:val="20"/>
        </w:rPr>
        <w:t xml:space="preserve">Paare von </w:t>
      </w:r>
      <w:r w:rsidRPr="003E798A">
        <w:rPr>
          <w:rFonts w:ascii="Segoe UI" w:hAnsi="Segoe UI" w:cs="Segoe UI"/>
          <w:sz w:val="20"/>
          <w:szCs w:val="20"/>
        </w:rPr>
        <w:t>Anführer</w:t>
      </w:r>
      <w:r w:rsidR="007D59BC" w:rsidRPr="003E798A">
        <w:rPr>
          <w:rFonts w:ascii="Segoe UI" w:hAnsi="Segoe UI" w:cs="Segoe UI"/>
          <w:sz w:val="20"/>
          <w:szCs w:val="20"/>
        </w:rPr>
        <w:t>n</w:t>
      </w:r>
      <w:r w:rsidRPr="003E798A">
        <w:rPr>
          <w:rFonts w:ascii="Segoe UI" w:hAnsi="Segoe UI" w:cs="Segoe UI"/>
          <w:sz w:val="20"/>
          <w:szCs w:val="20"/>
        </w:rPr>
        <w:t xml:space="preserve"> verhängen </w:t>
      </w:r>
      <w:r w:rsidR="007D59BC" w:rsidRPr="003E798A">
        <w:rPr>
          <w:rFonts w:ascii="Segoe UI" w:hAnsi="Segoe UI" w:cs="Segoe UI"/>
          <w:sz w:val="20"/>
          <w:szCs w:val="20"/>
        </w:rPr>
        <w:t>im Vergleich mit sich</w:t>
      </w:r>
      <w:r w:rsidRPr="003E798A">
        <w:rPr>
          <w:rFonts w:ascii="Segoe UI" w:hAnsi="Segoe UI" w:cs="Segoe UI"/>
          <w:sz w:val="20"/>
          <w:szCs w:val="20"/>
        </w:rPr>
        <w:t xml:space="preserve"> sehr </w:t>
      </w:r>
      <w:r w:rsidR="007D59BC" w:rsidRPr="003E798A">
        <w:rPr>
          <w:rFonts w:ascii="Segoe UI" w:hAnsi="Segoe UI" w:cs="Segoe UI"/>
          <w:sz w:val="20"/>
          <w:szCs w:val="20"/>
        </w:rPr>
        <w:t>ähnlichen</w:t>
      </w:r>
      <w:r w:rsidRPr="003E798A">
        <w:rPr>
          <w:rFonts w:ascii="Segoe UI" w:hAnsi="Segoe UI" w:cs="Segoe UI"/>
          <w:sz w:val="20"/>
          <w:szCs w:val="20"/>
        </w:rPr>
        <w:t xml:space="preserve"> </w:t>
      </w:r>
      <w:r w:rsidR="007D59BC" w:rsidRPr="003E798A">
        <w:rPr>
          <w:rFonts w:ascii="Segoe UI" w:hAnsi="Segoe UI" w:cs="Segoe UI"/>
          <w:sz w:val="20"/>
          <w:szCs w:val="20"/>
        </w:rPr>
        <w:t xml:space="preserve">Paaren von </w:t>
      </w:r>
      <w:r w:rsidRPr="003E798A">
        <w:rPr>
          <w:rFonts w:ascii="Segoe UI" w:hAnsi="Segoe UI" w:cs="Segoe UI"/>
          <w:sz w:val="20"/>
          <w:szCs w:val="20"/>
        </w:rPr>
        <w:t xml:space="preserve">Anführern </w:t>
      </w:r>
      <w:r w:rsidR="007D59BC" w:rsidRPr="003E798A">
        <w:rPr>
          <w:rFonts w:ascii="Segoe UI" w:hAnsi="Segoe UI" w:cs="Segoe UI"/>
          <w:sz w:val="20"/>
          <w:szCs w:val="20"/>
        </w:rPr>
        <w:t>mehr als dreimal so häufig</w:t>
      </w:r>
      <w:r w:rsidRPr="003E798A">
        <w:rPr>
          <w:rFonts w:ascii="Segoe UI" w:hAnsi="Segoe UI" w:cs="Segoe UI"/>
          <w:sz w:val="20"/>
          <w:szCs w:val="20"/>
        </w:rPr>
        <w:t xml:space="preserve"> Sanktionen. Besonders deutlich tritt dieser Zusammenhang dort zutage, wo Regierungen autonom über </w:t>
      </w:r>
      <w:r w:rsidR="007D59BC" w:rsidRPr="003E798A">
        <w:rPr>
          <w:rFonts w:ascii="Segoe UI" w:hAnsi="Segoe UI" w:cs="Segoe UI"/>
          <w:sz w:val="20"/>
          <w:szCs w:val="20"/>
        </w:rPr>
        <w:t>Sanktionsm</w:t>
      </w:r>
      <w:r w:rsidRPr="003E798A">
        <w:rPr>
          <w:rFonts w:ascii="Segoe UI" w:hAnsi="Segoe UI" w:cs="Segoe UI"/>
          <w:sz w:val="20"/>
          <w:szCs w:val="20"/>
        </w:rPr>
        <w:t xml:space="preserve">aßnahmen entscheiden können, ohne an </w:t>
      </w:r>
      <w:r w:rsidR="007D59BC" w:rsidRPr="003E798A">
        <w:rPr>
          <w:rFonts w:ascii="Segoe UI" w:hAnsi="Segoe UI" w:cs="Segoe UI"/>
          <w:sz w:val="20"/>
          <w:szCs w:val="20"/>
        </w:rPr>
        <w:t>gemeinsame Entscheidungsv</w:t>
      </w:r>
      <w:r w:rsidRPr="003E798A">
        <w:rPr>
          <w:rFonts w:ascii="Segoe UI" w:hAnsi="Segoe UI" w:cs="Segoe UI"/>
          <w:sz w:val="20"/>
          <w:szCs w:val="20"/>
        </w:rPr>
        <w:t xml:space="preserve">erfahren inter- und supranationaler Organisationen gebunden zu sein, wie etwa </w:t>
      </w:r>
      <w:r w:rsidR="007D59BC" w:rsidRPr="003E798A">
        <w:rPr>
          <w:rFonts w:ascii="Segoe UI" w:hAnsi="Segoe UI" w:cs="Segoe UI"/>
          <w:sz w:val="20"/>
          <w:szCs w:val="20"/>
        </w:rPr>
        <w:t>in den Vereinten Nationen</w:t>
      </w:r>
      <w:r w:rsidRPr="003E798A">
        <w:rPr>
          <w:rFonts w:ascii="Segoe UI" w:hAnsi="Segoe UI" w:cs="Segoe UI"/>
          <w:sz w:val="20"/>
          <w:szCs w:val="20"/>
        </w:rPr>
        <w:t xml:space="preserve"> oder </w:t>
      </w:r>
      <w:r w:rsidR="007D59BC" w:rsidRPr="003E798A">
        <w:rPr>
          <w:rFonts w:ascii="Segoe UI" w:hAnsi="Segoe UI" w:cs="Segoe UI"/>
          <w:sz w:val="20"/>
          <w:szCs w:val="20"/>
        </w:rPr>
        <w:t xml:space="preserve">der </w:t>
      </w:r>
      <w:r w:rsidRPr="003E798A">
        <w:rPr>
          <w:rFonts w:ascii="Segoe UI" w:hAnsi="Segoe UI" w:cs="Segoe UI"/>
          <w:sz w:val="20"/>
          <w:szCs w:val="20"/>
        </w:rPr>
        <w:t>Europäische</w:t>
      </w:r>
      <w:r w:rsidR="007D59BC" w:rsidRPr="003E798A">
        <w:rPr>
          <w:rFonts w:ascii="Segoe UI" w:hAnsi="Segoe UI" w:cs="Segoe UI"/>
          <w:sz w:val="20"/>
          <w:szCs w:val="20"/>
        </w:rPr>
        <w:t>n</w:t>
      </w:r>
      <w:r w:rsidRPr="003E798A">
        <w:rPr>
          <w:rFonts w:ascii="Segoe UI" w:hAnsi="Segoe UI" w:cs="Segoe UI"/>
          <w:sz w:val="20"/>
          <w:szCs w:val="20"/>
        </w:rPr>
        <w:t xml:space="preserve"> Union.</w:t>
      </w:r>
    </w:p>
    <w:p w14:paraId="4D9A8F3F" w14:textId="2FC63093" w:rsidR="00325E74" w:rsidRDefault="00325E74" w:rsidP="00325E74">
      <w:pPr>
        <w:rPr>
          <w:rFonts w:ascii="Segoe UI" w:hAnsi="Segoe UI" w:cs="Segoe UI"/>
          <w:sz w:val="20"/>
          <w:szCs w:val="20"/>
        </w:rPr>
      </w:pPr>
      <w:r w:rsidRPr="003E798A">
        <w:rPr>
          <w:rFonts w:ascii="Segoe UI" w:hAnsi="Segoe UI" w:cs="Segoe UI"/>
          <w:sz w:val="20"/>
          <w:szCs w:val="20"/>
        </w:rPr>
        <w:t>Ein ausgeprägter Effekt findet sich zudem bei Sanktionen, die mit Demokratie- oder Menschenrechtszielen begründet werden. Mit anderen Worten, hier verfügen Politiker scheinbar über deutlich mehr Ermessensspielraum. In sicherheits- oder konfliktbezogenen Kontexten spielt die Ähnlichkeit der politischen Führung dagegen eine geringere Rolle.</w:t>
      </w:r>
    </w:p>
    <w:p w14:paraId="31B1B027" w14:textId="77777777" w:rsidR="00D40CD9" w:rsidRPr="003E798A" w:rsidRDefault="00D40CD9" w:rsidP="00325E74">
      <w:pPr>
        <w:rPr>
          <w:rFonts w:ascii="Segoe UI" w:hAnsi="Segoe UI" w:cs="Segoe UI"/>
          <w:sz w:val="20"/>
          <w:szCs w:val="20"/>
        </w:rPr>
      </w:pPr>
    </w:p>
    <w:p w14:paraId="3D764FEF" w14:textId="77777777" w:rsidR="00325E74" w:rsidRPr="003E798A" w:rsidRDefault="00325E74" w:rsidP="00325E74">
      <w:pPr>
        <w:rPr>
          <w:rFonts w:ascii="Segoe UI" w:hAnsi="Segoe UI" w:cs="Segoe UI"/>
          <w:b/>
          <w:bCs/>
          <w:sz w:val="20"/>
          <w:szCs w:val="20"/>
        </w:rPr>
      </w:pPr>
      <w:r w:rsidRPr="003E798A">
        <w:rPr>
          <w:rFonts w:ascii="Segoe UI" w:hAnsi="Segoe UI" w:cs="Segoe UI"/>
          <w:b/>
          <w:bCs/>
          <w:sz w:val="20"/>
          <w:szCs w:val="20"/>
        </w:rPr>
        <w:lastRenderedPageBreak/>
        <w:t>Persönliche Nähe erleichtert Verständigung</w:t>
      </w:r>
    </w:p>
    <w:p w14:paraId="7EE55AD0" w14:textId="77777777" w:rsidR="00325E74" w:rsidRPr="003E798A" w:rsidRDefault="00325E74" w:rsidP="00325E74">
      <w:pPr>
        <w:rPr>
          <w:rFonts w:ascii="Segoe UI" w:hAnsi="Segoe UI" w:cs="Segoe UI"/>
          <w:sz w:val="20"/>
          <w:szCs w:val="20"/>
        </w:rPr>
      </w:pPr>
      <w:r w:rsidRPr="003E798A">
        <w:rPr>
          <w:rFonts w:ascii="Segoe UI" w:hAnsi="Segoe UI" w:cs="Segoe UI"/>
          <w:sz w:val="20"/>
          <w:szCs w:val="20"/>
        </w:rPr>
        <w:t>„Wir knüpfen hier an psychologische Forschung zu Homophilie und In Group-Dynamiken an“ erklärt Matthias Neuenkirch. „Menschen mit ähnlichen Hintergründen kommunizieren häufig leichter miteinander, entwickeln eher Vertrauen und greifen eher zu diplomatischen Mitteln, bevor sie Konflikte eskalieren lassen.“ Auf die Außenpolitik übertragen bedeutet dies, dass biografische Ähnlichkeit zwischen Regierungschefs die Wahrscheinlichkeit erhöht, Konflikte auf dem Verhandlungsweg zu lösen statt durch Zwangsmaßnahmen.</w:t>
      </w:r>
    </w:p>
    <w:p w14:paraId="3FD9D958" w14:textId="77777777" w:rsidR="00325E74" w:rsidRPr="003E798A" w:rsidRDefault="00325E74" w:rsidP="00325E74">
      <w:pPr>
        <w:rPr>
          <w:rFonts w:ascii="Segoe UI" w:hAnsi="Segoe UI" w:cs="Segoe UI"/>
          <w:b/>
          <w:bCs/>
          <w:sz w:val="20"/>
          <w:szCs w:val="20"/>
        </w:rPr>
      </w:pPr>
      <w:r w:rsidRPr="003E798A">
        <w:rPr>
          <w:rFonts w:ascii="Segoe UI" w:hAnsi="Segoe UI" w:cs="Segoe UI"/>
          <w:b/>
          <w:bCs/>
          <w:sz w:val="20"/>
          <w:szCs w:val="20"/>
        </w:rPr>
        <w:t>Politische Implikationen</w:t>
      </w:r>
    </w:p>
    <w:p w14:paraId="2373E182" w14:textId="42511383" w:rsidR="00325E74" w:rsidRPr="003E798A" w:rsidRDefault="00325E74" w:rsidP="00325E74">
      <w:pPr>
        <w:rPr>
          <w:rFonts w:ascii="Segoe UI" w:hAnsi="Segoe UI" w:cs="Segoe UI"/>
          <w:sz w:val="20"/>
          <w:szCs w:val="20"/>
        </w:rPr>
      </w:pPr>
      <w:r w:rsidRPr="003E798A">
        <w:rPr>
          <w:rFonts w:ascii="Segoe UI" w:hAnsi="Segoe UI" w:cs="Segoe UI"/>
          <w:sz w:val="20"/>
          <w:szCs w:val="20"/>
        </w:rPr>
        <w:t xml:space="preserve">Die Ergebnisse legen nahe, dass internationale Sanktionspolitik stärker personenbezogen geprägt ist, als der Blick auf institutionelle Verfahren vermuten lässt. Für das Verständnis außenpolitischer Entscheidungen bedeutet dies, dass auch die biografische Zusammensetzung politischer Eliten berücksichtigt werden sollte. Die Studie zeigt insgesamt, dass außenpolitische Sanktionsentscheidungen nicht nur auf staatlicher Ebene, sondern auch durch persönliche Prägungen politischer Führung beeinflusst werden. Wer Sanktionspolitik wirksam und nachvollziehbar gestalten will, sollte diese Dimension </w:t>
      </w:r>
      <w:r w:rsidR="00001FEE" w:rsidRPr="003E798A">
        <w:rPr>
          <w:rFonts w:ascii="Segoe UI" w:hAnsi="Segoe UI" w:cs="Segoe UI"/>
          <w:sz w:val="20"/>
          <w:szCs w:val="20"/>
        </w:rPr>
        <w:t xml:space="preserve">ausreichend </w:t>
      </w:r>
      <w:r w:rsidRPr="003E798A">
        <w:rPr>
          <w:rFonts w:ascii="Segoe UI" w:hAnsi="Segoe UI" w:cs="Segoe UI"/>
          <w:sz w:val="20"/>
          <w:szCs w:val="20"/>
        </w:rPr>
        <w:t>berücksichtigen.</w:t>
      </w:r>
    </w:p>
    <w:p w14:paraId="2F9EF837" w14:textId="575A0CA9" w:rsidR="00325E74" w:rsidRPr="003E798A" w:rsidRDefault="00325E74" w:rsidP="00325E74">
      <w:pPr>
        <w:rPr>
          <w:rFonts w:ascii="Segoe UI" w:hAnsi="Segoe UI" w:cs="Segoe UI"/>
          <w:sz w:val="20"/>
          <w:szCs w:val="20"/>
        </w:rPr>
      </w:pPr>
      <w:r w:rsidRPr="003E798A">
        <w:rPr>
          <w:rFonts w:ascii="Segoe UI" w:hAnsi="Segoe UI" w:cs="Segoe UI"/>
          <w:sz w:val="20"/>
          <w:szCs w:val="20"/>
        </w:rPr>
        <w:t xml:space="preserve">Die </w:t>
      </w:r>
      <w:r w:rsidR="00001FEE" w:rsidRPr="003E798A">
        <w:rPr>
          <w:rFonts w:ascii="Segoe UI" w:hAnsi="Segoe UI" w:cs="Segoe UI"/>
          <w:sz w:val="20"/>
          <w:szCs w:val="20"/>
        </w:rPr>
        <w:t>Forschergruppe arbeitet</w:t>
      </w:r>
      <w:r w:rsidR="007E1EAC" w:rsidRPr="003E798A">
        <w:rPr>
          <w:rFonts w:ascii="Segoe UI" w:hAnsi="Segoe UI" w:cs="Segoe UI"/>
          <w:sz w:val="20"/>
          <w:szCs w:val="20"/>
        </w:rPr>
        <w:t xml:space="preserve"> nun</w:t>
      </w:r>
      <w:r w:rsidR="00001FEE" w:rsidRPr="003E798A">
        <w:rPr>
          <w:rFonts w:ascii="Segoe UI" w:hAnsi="Segoe UI" w:cs="Segoe UI"/>
          <w:sz w:val="20"/>
          <w:szCs w:val="20"/>
        </w:rPr>
        <w:t xml:space="preserve"> daran</w:t>
      </w:r>
      <w:r w:rsidR="005771CF" w:rsidRPr="003E798A">
        <w:rPr>
          <w:rFonts w:ascii="Segoe UI" w:hAnsi="Segoe UI" w:cs="Segoe UI"/>
          <w:sz w:val="20"/>
          <w:szCs w:val="20"/>
        </w:rPr>
        <w:t>,</w:t>
      </w:r>
      <w:r w:rsidRPr="003E798A">
        <w:rPr>
          <w:rFonts w:ascii="Segoe UI" w:hAnsi="Segoe UI" w:cs="Segoe UI"/>
          <w:sz w:val="20"/>
          <w:szCs w:val="20"/>
        </w:rPr>
        <w:t xml:space="preserve"> die </w:t>
      </w:r>
      <w:r w:rsidR="00001FEE" w:rsidRPr="003E798A">
        <w:rPr>
          <w:rFonts w:ascii="Segoe UI" w:hAnsi="Segoe UI" w:cs="Segoe UI"/>
          <w:sz w:val="20"/>
          <w:szCs w:val="20"/>
        </w:rPr>
        <w:t>verwendete Messm</w:t>
      </w:r>
      <w:r w:rsidRPr="003E798A">
        <w:rPr>
          <w:rFonts w:ascii="Segoe UI" w:hAnsi="Segoe UI" w:cs="Segoe UI"/>
          <w:sz w:val="20"/>
          <w:szCs w:val="20"/>
        </w:rPr>
        <w:t xml:space="preserve">ethode künftig auch auf die </w:t>
      </w:r>
      <w:r w:rsidR="00001FEE" w:rsidRPr="003E798A">
        <w:rPr>
          <w:rFonts w:ascii="Segoe UI" w:hAnsi="Segoe UI" w:cs="Segoe UI"/>
          <w:sz w:val="20"/>
          <w:szCs w:val="20"/>
        </w:rPr>
        <w:t xml:space="preserve">jüngere </w:t>
      </w:r>
      <w:r w:rsidRPr="003E798A">
        <w:rPr>
          <w:rFonts w:ascii="Segoe UI" w:hAnsi="Segoe UI" w:cs="Segoe UI"/>
          <w:sz w:val="20"/>
          <w:szCs w:val="20"/>
        </w:rPr>
        <w:t>internationale Politik an</w:t>
      </w:r>
      <w:r w:rsidR="00001FEE" w:rsidRPr="003E798A">
        <w:rPr>
          <w:rFonts w:ascii="Segoe UI" w:hAnsi="Segoe UI" w:cs="Segoe UI"/>
          <w:sz w:val="20"/>
          <w:szCs w:val="20"/>
        </w:rPr>
        <w:t>zu</w:t>
      </w:r>
      <w:r w:rsidRPr="003E798A">
        <w:rPr>
          <w:rFonts w:ascii="Segoe UI" w:hAnsi="Segoe UI" w:cs="Segoe UI"/>
          <w:sz w:val="20"/>
          <w:szCs w:val="20"/>
        </w:rPr>
        <w:t>wenden</w:t>
      </w:r>
      <w:r w:rsidR="005771CF" w:rsidRPr="003E798A">
        <w:rPr>
          <w:rFonts w:ascii="Segoe UI" w:hAnsi="Segoe UI" w:cs="Segoe UI"/>
          <w:sz w:val="20"/>
          <w:szCs w:val="20"/>
        </w:rPr>
        <w:t>,</w:t>
      </w:r>
      <w:r w:rsidRPr="003E798A">
        <w:rPr>
          <w:rFonts w:ascii="Segoe UI" w:hAnsi="Segoe UI" w:cs="Segoe UI"/>
          <w:sz w:val="20"/>
          <w:szCs w:val="20"/>
        </w:rPr>
        <w:t xml:space="preserve"> und </w:t>
      </w:r>
      <w:r w:rsidR="007E1EAC" w:rsidRPr="003E798A">
        <w:rPr>
          <w:rFonts w:ascii="Segoe UI" w:hAnsi="Segoe UI" w:cs="Segoe UI"/>
          <w:sz w:val="20"/>
          <w:szCs w:val="20"/>
        </w:rPr>
        <w:t>sammelt</w:t>
      </w:r>
      <w:r w:rsidR="00001FEE" w:rsidRPr="003E798A">
        <w:rPr>
          <w:rFonts w:ascii="Segoe UI" w:hAnsi="Segoe UI" w:cs="Segoe UI"/>
          <w:sz w:val="20"/>
          <w:szCs w:val="20"/>
        </w:rPr>
        <w:t xml:space="preserve"> hierfür die biographischen Informationen zu politischen Anführern über das letzte bisher </w:t>
      </w:r>
      <w:r w:rsidR="007E1EAC" w:rsidRPr="003E798A">
        <w:rPr>
          <w:rFonts w:ascii="Segoe UI" w:hAnsi="Segoe UI" w:cs="Segoe UI"/>
          <w:sz w:val="20"/>
          <w:szCs w:val="20"/>
        </w:rPr>
        <w:t>abgedeckte</w:t>
      </w:r>
      <w:r w:rsidR="00001FEE" w:rsidRPr="003E798A">
        <w:rPr>
          <w:rFonts w:ascii="Segoe UI" w:hAnsi="Segoe UI" w:cs="Segoe UI"/>
          <w:sz w:val="20"/>
          <w:szCs w:val="20"/>
        </w:rPr>
        <w:t xml:space="preserve"> Jahr </w:t>
      </w:r>
      <w:r w:rsidRPr="003E798A">
        <w:rPr>
          <w:rFonts w:ascii="Segoe UI" w:hAnsi="Segoe UI" w:cs="Segoe UI"/>
          <w:sz w:val="20"/>
          <w:szCs w:val="20"/>
        </w:rPr>
        <w:t>2004 hinaus.</w:t>
      </w:r>
    </w:p>
    <w:p w14:paraId="23E31086" w14:textId="34A49A2B" w:rsidR="00A93CE5" w:rsidRPr="003E798A" w:rsidRDefault="00A93CE5" w:rsidP="00560E82">
      <w:pPr>
        <w:rPr>
          <w:rFonts w:ascii="Segoe UI" w:hAnsi="Segoe UI" w:cs="Segoe UI"/>
          <w:sz w:val="20"/>
          <w:szCs w:val="20"/>
        </w:rPr>
      </w:pPr>
    </w:p>
    <w:p w14:paraId="75074193" w14:textId="2386DD1D" w:rsidR="00AB49F7" w:rsidRPr="003E798A" w:rsidRDefault="00AB49F7" w:rsidP="00AB49F7">
      <w:pPr>
        <w:rPr>
          <w:rFonts w:ascii="Segoe UI" w:hAnsi="Segoe UI" w:cs="Segoe UI"/>
          <w:sz w:val="20"/>
          <w:szCs w:val="20"/>
        </w:rPr>
      </w:pPr>
      <w:r w:rsidRPr="003E798A">
        <w:rPr>
          <w:rFonts w:ascii="Segoe UI" w:hAnsi="Segoe UI" w:cs="Segoe UI"/>
          <w:sz w:val="20"/>
          <w:szCs w:val="20"/>
        </w:rPr>
        <w:t xml:space="preserve">Die Studie “Leader </w:t>
      </w:r>
      <w:proofErr w:type="spellStart"/>
      <w:r w:rsidRPr="003E798A">
        <w:rPr>
          <w:rFonts w:ascii="Segoe UI" w:hAnsi="Segoe UI" w:cs="Segoe UI"/>
          <w:sz w:val="20"/>
          <w:szCs w:val="20"/>
        </w:rPr>
        <w:t>similarity</w:t>
      </w:r>
      <w:proofErr w:type="spellEnd"/>
      <w:r w:rsidRPr="003E798A">
        <w:rPr>
          <w:rFonts w:ascii="Segoe UI" w:hAnsi="Segoe UI" w:cs="Segoe UI"/>
          <w:sz w:val="20"/>
          <w:szCs w:val="20"/>
        </w:rPr>
        <w:t xml:space="preserve"> and international </w:t>
      </w:r>
      <w:proofErr w:type="spellStart"/>
      <w:r w:rsidRPr="003E798A">
        <w:rPr>
          <w:rFonts w:ascii="Segoe UI" w:hAnsi="Segoe UI" w:cs="Segoe UI"/>
          <w:sz w:val="20"/>
          <w:szCs w:val="20"/>
        </w:rPr>
        <w:t>sanctions</w:t>
      </w:r>
      <w:proofErr w:type="spellEnd"/>
      <w:r w:rsidRPr="003E798A">
        <w:rPr>
          <w:rFonts w:ascii="Segoe UI" w:hAnsi="Segoe UI" w:cs="Segoe UI"/>
          <w:sz w:val="20"/>
          <w:szCs w:val="20"/>
        </w:rPr>
        <w:t xml:space="preserve">” ist im </w:t>
      </w:r>
      <w:hyperlink r:id="rId9" w:history="1">
        <w:r w:rsidRPr="003E798A">
          <w:rPr>
            <w:rStyle w:val="Hyperlink"/>
            <w:rFonts w:ascii="Segoe UI" w:hAnsi="Segoe UI" w:cs="Segoe UI"/>
            <w:sz w:val="20"/>
            <w:szCs w:val="20"/>
          </w:rPr>
          <w:t xml:space="preserve">Journal </w:t>
        </w:r>
        <w:proofErr w:type="spellStart"/>
        <w:r w:rsidRPr="003E798A">
          <w:rPr>
            <w:rStyle w:val="Hyperlink"/>
            <w:rFonts w:ascii="Segoe UI" w:hAnsi="Segoe UI" w:cs="Segoe UI"/>
            <w:sz w:val="20"/>
            <w:szCs w:val="20"/>
          </w:rPr>
          <w:t>of</w:t>
        </w:r>
        <w:proofErr w:type="spellEnd"/>
        <w:r w:rsidRPr="003E798A">
          <w:rPr>
            <w:rStyle w:val="Hyperlink"/>
            <w:rFonts w:ascii="Segoe UI" w:hAnsi="Segoe UI" w:cs="Segoe UI"/>
            <w:sz w:val="20"/>
            <w:szCs w:val="20"/>
          </w:rPr>
          <w:t xml:space="preserve"> Conflict Resolution</w:t>
        </w:r>
      </w:hyperlink>
      <w:r w:rsidRPr="003E798A">
        <w:rPr>
          <w:rFonts w:ascii="Segoe UI" w:hAnsi="Segoe UI" w:cs="Segoe UI"/>
          <w:sz w:val="20"/>
          <w:szCs w:val="20"/>
        </w:rPr>
        <w:t xml:space="preserve"> erschienen.</w:t>
      </w:r>
    </w:p>
    <w:p w14:paraId="5CC766D7" w14:textId="2BF0D848" w:rsidR="00AB49F7" w:rsidRPr="003E798A" w:rsidRDefault="00AB49F7" w:rsidP="00AB49F7">
      <w:pPr>
        <w:rPr>
          <w:rFonts w:ascii="Segoe UI" w:hAnsi="Segoe UI" w:cs="Segoe UI"/>
          <w:sz w:val="20"/>
          <w:szCs w:val="20"/>
        </w:rPr>
      </w:pPr>
      <w:r w:rsidRPr="003E798A">
        <w:rPr>
          <w:rFonts w:ascii="Segoe UI" w:hAnsi="Segoe UI" w:cs="Segoe UI"/>
          <w:sz w:val="20"/>
          <w:szCs w:val="20"/>
        </w:rPr>
        <w:t xml:space="preserve">Zum Preprint: </w:t>
      </w:r>
      <w:hyperlink r:id="rId10" w:history="1">
        <w:r w:rsidRPr="003E798A">
          <w:rPr>
            <w:rStyle w:val="Hyperlink"/>
            <w:rFonts w:ascii="Segoe UI" w:hAnsi="Segoe UI" w:cs="Segoe UI"/>
            <w:sz w:val="20"/>
            <w:szCs w:val="20"/>
          </w:rPr>
          <w:t>https://doi.org/10.31124/advance.175630058.83191639/v1</w:t>
        </w:r>
      </w:hyperlink>
    </w:p>
    <w:p w14:paraId="7A81F20E" w14:textId="3C7246CB" w:rsidR="00AB49F7" w:rsidRPr="00B40234" w:rsidRDefault="00AB49F7" w:rsidP="00560E82">
      <w:pPr>
        <w:rPr>
          <w:rFonts w:ascii="Segoe UI" w:hAnsi="Segoe UI" w:cs="Segoe UI"/>
        </w:rPr>
      </w:pPr>
      <w:r>
        <w:rPr>
          <w:rFonts w:ascii="Segoe UI" w:hAnsi="Segoe UI" w:cs="Segoe UI"/>
        </w:rPr>
        <w:t xml:space="preserve"> </w:t>
      </w:r>
    </w:p>
    <w:sectPr w:rsidR="00AB49F7" w:rsidRPr="00B40234">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DD39" w14:textId="77777777" w:rsidR="00A42B81" w:rsidRDefault="00A42B81" w:rsidP="00DA6A73">
      <w:pPr>
        <w:spacing w:after="0" w:line="240" w:lineRule="auto"/>
      </w:pPr>
      <w:r>
        <w:separator/>
      </w:r>
    </w:p>
  </w:endnote>
  <w:endnote w:type="continuationSeparator" w:id="0">
    <w:p w14:paraId="3710DE61" w14:textId="77777777" w:rsidR="00A42B81" w:rsidRDefault="00A42B81"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2E8FFFB9" w:rsidR="00785E24" w:rsidRDefault="00EC3F9F" w:rsidP="00D935E7">
    <w:pPr>
      <w:pStyle w:val="Fuzeile"/>
      <w:tabs>
        <w:tab w:val="left" w:pos="3969"/>
      </w:tabs>
    </w:pPr>
    <w:r>
      <w:rPr>
        <w:noProof/>
        <w:lang w:eastAsia="de-DE"/>
      </w:rPr>
      <mc:AlternateContent>
        <mc:Choice Requires="wps">
          <w:drawing>
            <wp:anchor distT="0" distB="0" distL="114300" distR="114300" simplePos="0" relativeHeight="251669504" behindDoc="0" locked="0" layoutInCell="1" allowOverlap="1" wp14:anchorId="0E463D1D" wp14:editId="4F7DCD2F">
              <wp:simplePos x="0" y="0"/>
              <wp:positionH relativeFrom="margin">
                <wp:posOffset>-347345</wp:posOffset>
              </wp:positionH>
              <wp:positionV relativeFrom="page">
                <wp:posOffset>9915525</wp:posOffset>
              </wp:positionV>
              <wp:extent cx="2343150"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34315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74B0DBAA" w:rsidR="00114AA3" w:rsidRPr="004E5C36" w:rsidRDefault="00325E74" w:rsidP="00C238AC">
                          <w:pPr>
                            <w:rPr>
                              <w:rFonts w:ascii="Segoe UI" w:hAnsi="Segoe UI" w:cs="Segoe UI"/>
                              <w:b/>
                              <w:sz w:val="18"/>
                              <w:szCs w:val="18"/>
                            </w:rPr>
                          </w:pPr>
                          <w:r>
                            <w:rPr>
                              <w:rFonts w:ascii="Segoe UI" w:hAnsi="Segoe UI" w:cs="Segoe UI"/>
                              <w:b/>
                              <w:sz w:val="18"/>
                              <w:szCs w:val="18"/>
                            </w:rPr>
                            <w:t>Prof. Dr. Matthias Neuenkirch</w:t>
                          </w:r>
                          <w:r w:rsidR="007E66B3" w:rsidRPr="00DA25C9">
                            <w:rPr>
                              <w:rFonts w:ascii="Segoe UI" w:hAnsi="Segoe UI" w:cs="Segoe UI"/>
                              <w:b/>
                              <w:sz w:val="18"/>
                              <w:szCs w:val="18"/>
                            </w:rPr>
                            <w:br/>
                          </w:r>
                          <w:r>
                            <w:rPr>
                              <w:rFonts w:ascii="Segoe UI" w:hAnsi="Segoe UI" w:cs="Segoe UI"/>
                              <w:bCs/>
                              <w:sz w:val="18"/>
                              <w:szCs w:val="18"/>
                            </w:rPr>
                            <w:t>VWL</w:t>
                          </w:r>
                          <w:r w:rsidR="004E5C36">
                            <w:rPr>
                              <w:rFonts w:ascii="Segoe UI" w:hAnsi="Segoe UI" w:cs="Segoe UI"/>
                              <w:bCs/>
                              <w:sz w:val="18"/>
                              <w:szCs w:val="18"/>
                            </w:rPr>
                            <w:br/>
                          </w:r>
                          <w:r w:rsidR="007336D7" w:rsidRPr="00DA25C9">
                            <w:rPr>
                              <w:rFonts w:ascii="Segoe UI" w:hAnsi="Segoe UI" w:cs="Segoe UI"/>
                              <w:bCs/>
                              <w:sz w:val="18"/>
                              <w:szCs w:val="18"/>
                            </w:rPr>
                            <w:t xml:space="preserve">Mail: </w:t>
                          </w:r>
                          <w:r>
                            <w:rPr>
                              <w:rFonts w:ascii="Segoe UI" w:hAnsi="Segoe UI" w:cs="Segoe UI"/>
                              <w:bCs/>
                              <w:sz w:val="18"/>
                              <w:szCs w:val="18"/>
                            </w:rPr>
                            <w:t>neuenkirch</w:t>
                          </w:r>
                          <w:r w:rsidR="00ED15E4" w:rsidRPr="00DA25C9">
                            <w:rPr>
                              <w:rFonts w:ascii="Segoe UI" w:hAnsi="Segoe UI" w:cs="Segoe UI"/>
                              <w:sz w:val="18"/>
                              <w:szCs w:val="18"/>
                            </w:rPr>
                            <w:t>@uni-trier.de</w:t>
                          </w:r>
                          <w:r w:rsidR="007336D7" w:rsidRPr="00DA25C9">
                            <w:rPr>
                              <w:rFonts w:ascii="Segoe UI" w:hAnsi="Segoe UI" w:cs="Segoe UI"/>
                              <w:bCs/>
                              <w:sz w:val="18"/>
                              <w:szCs w:val="18"/>
                            </w:rPr>
                            <w:br/>
                            <w:t xml:space="preserve">Tel. </w:t>
                          </w:r>
                          <w:r w:rsidR="007336D7" w:rsidRPr="004E5C36">
                            <w:rPr>
                              <w:rFonts w:ascii="Segoe UI" w:hAnsi="Segoe UI" w:cs="Segoe UI"/>
                              <w:bCs/>
                              <w:sz w:val="18"/>
                              <w:szCs w:val="18"/>
                            </w:rPr>
                            <w:t>+49 651 201-</w:t>
                          </w:r>
                          <w:r w:rsidR="004E5C36">
                            <w:rPr>
                              <w:rFonts w:ascii="Segoe UI" w:hAnsi="Segoe UI" w:cs="Segoe UI"/>
                              <w:bCs/>
                              <w:sz w:val="18"/>
                              <w:szCs w:val="18"/>
                            </w:rPr>
                            <w:t>4</w:t>
                          </w:r>
                          <w:r>
                            <w:rPr>
                              <w:rFonts w:ascii="Segoe UI" w:hAnsi="Segoe UI" w:cs="Segoe UI"/>
                              <w:bCs/>
                              <w:sz w:val="18"/>
                              <w:szCs w:val="18"/>
                            </w:rPr>
                            <w:t>195</w:t>
                          </w:r>
                          <w:r w:rsidR="00114AA3" w:rsidRPr="004E5C36">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63D1D" id="_x0000_t202" coordsize="21600,21600" o:spt="202" path="m,l,21600r21600,l21600,xe">
              <v:stroke joinstyle="miter"/>
              <v:path gradientshapeok="t" o:connecttype="rect"/>
            </v:shapetype>
            <v:shape id="Textfeld 4" o:spid="_x0000_s1026" type="#_x0000_t202" style="position:absolute;margin-left:-27.35pt;margin-top:780.75pt;width:184.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" filled="f" stroked="f" strokeweight=".5pt">
              <v:textbox>
                <w:txbxContent>
                  <w:p w14:paraId="5E6E8EDA" w14:textId="74B0DBAA" w:rsidR="00114AA3" w:rsidRPr="004E5C36" w:rsidRDefault="00325E74" w:rsidP="00C238AC">
                    <w:pPr>
                      <w:rPr>
                        <w:rFonts w:ascii="Segoe UI" w:hAnsi="Segoe UI" w:cs="Segoe UI"/>
                        <w:b/>
                        <w:sz w:val="18"/>
                        <w:szCs w:val="18"/>
                      </w:rPr>
                    </w:pPr>
                    <w:r>
                      <w:rPr>
                        <w:rFonts w:ascii="Segoe UI" w:hAnsi="Segoe UI" w:cs="Segoe UI"/>
                        <w:b/>
                        <w:sz w:val="18"/>
                        <w:szCs w:val="18"/>
                      </w:rPr>
                      <w:t>Prof. Dr. Matthias Neuenkirch</w:t>
                    </w:r>
                    <w:r w:rsidR="007E66B3" w:rsidRPr="00DA25C9">
                      <w:rPr>
                        <w:rFonts w:ascii="Segoe UI" w:hAnsi="Segoe UI" w:cs="Segoe UI"/>
                        <w:b/>
                        <w:sz w:val="18"/>
                        <w:szCs w:val="18"/>
                      </w:rPr>
                      <w:br/>
                    </w:r>
                    <w:r>
                      <w:rPr>
                        <w:rFonts w:ascii="Segoe UI" w:hAnsi="Segoe UI" w:cs="Segoe UI"/>
                        <w:bCs/>
                        <w:sz w:val="18"/>
                        <w:szCs w:val="18"/>
                      </w:rPr>
                      <w:t>VWL</w:t>
                    </w:r>
                    <w:r w:rsidR="004E5C36">
                      <w:rPr>
                        <w:rFonts w:ascii="Segoe UI" w:hAnsi="Segoe UI" w:cs="Segoe UI"/>
                        <w:bCs/>
                        <w:sz w:val="18"/>
                        <w:szCs w:val="18"/>
                      </w:rPr>
                      <w:br/>
                    </w:r>
                    <w:r w:rsidR="007336D7" w:rsidRPr="00DA25C9">
                      <w:rPr>
                        <w:rFonts w:ascii="Segoe UI" w:hAnsi="Segoe UI" w:cs="Segoe UI"/>
                        <w:bCs/>
                        <w:sz w:val="18"/>
                        <w:szCs w:val="18"/>
                      </w:rPr>
                      <w:t xml:space="preserve">Mail: </w:t>
                    </w:r>
                    <w:r>
                      <w:rPr>
                        <w:rFonts w:ascii="Segoe UI" w:hAnsi="Segoe UI" w:cs="Segoe UI"/>
                        <w:bCs/>
                        <w:sz w:val="18"/>
                        <w:szCs w:val="18"/>
                      </w:rPr>
                      <w:t>neuenkirch</w:t>
                    </w:r>
                    <w:r w:rsidR="00ED15E4" w:rsidRPr="00DA25C9">
                      <w:rPr>
                        <w:rFonts w:ascii="Segoe UI" w:hAnsi="Segoe UI" w:cs="Segoe UI"/>
                        <w:sz w:val="18"/>
                        <w:szCs w:val="18"/>
                      </w:rPr>
                      <w:t>@uni-trier.de</w:t>
                    </w:r>
                    <w:r w:rsidR="007336D7" w:rsidRPr="00DA25C9">
                      <w:rPr>
                        <w:rFonts w:ascii="Segoe UI" w:hAnsi="Segoe UI" w:cs="Segoe UI"/>
                        <w:bCs/>
                        <w:sz w:val="18"/>
                        <w:szCs w:val="18"/>
                      </w:rPr>
                      <w:br/>
                      <w:t xml:space="preserve">Tel. </w:t>
                    </w:r>
                    <w:r w:rsidR="007336D7" w:rsidRPr="004E5C36">
                      <w:rPr>
                        <w:rFonts w:ascii="Segoe UI" w:hAnsi="Segoe UI" w:cs="Segoe UI"/>
                        <w:bCs/>
                        <w:sz w:val="18"/>
                        <w:szCs w:val="18"/>
                      </w:rPr>
                      <w:t>+49 651 201-</w:t>
                    </w:r>
                    <w:r w:rsidR="004E5C36">
                      <w:rPr>
                        <w:rFonts w:ascii="Segoe UI" w:hAnsi="Segoe UI" w:cs="Segoe UI"/>
                        <w:bCs/>
                        <w:sz w:val="18"/>
                        <w:szCs w:val="18"/>
                      </w:rPr>
                      <w:t>4</w:t>
                    </w:r>
                    <w:r>
                      <w:rPr>
                        <w:rFonts w:ascii="Segoe UI" w:hAnsi="Segoe UI" w:cs="Segoe UI"/>
                        <w:bCs/>
                        <w:sz w:val="18"/>
                        <w:szCs w:val="18"/>
                      </w:rPr>
                      <w:t>195</w:t>
                    </w:r>
                    <w:r w:rsidR="00114AA3" w:rsidRPr="004E5C36">
                      <w:rPr>
                        <w:rFonts w:ascii="Segoe UI" w:hAnsi="Segoe UI" w:cs="Segoe UI"/>
                        <w:bCs/>
                        <w:sz w:val="18"/>
                        <w:szCs w:val="18"/>
                      </w:rPr>
                      <w:br/>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sidR="00BF54F7">
      <w:rPr>
        <w:noProof/>
        <w:lang w:eastAsia="de-DE"/>
      </w:rPr>
      <mc:AlternateContent>
        <mc:Choice Requires="wps">
          <w:drawing>
            <wp:anchor distT="0" distB="0" distL="114300" distR="114300" simplePos="0" relativeHeight="251662336" behindDoc="0" locked="0" layoutInCell="1" allowOverlap="1" wp14:anchorId="4968080E" wp14:editId="010E0681">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8080E" id="Textfeld 10" o:spid="_x0000_s1027"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56D0B" w14:textId="77777777" w:rsidR="00A42B81" w:rsidRDefault="00A42B81" w:rsidP="00DA6A73">
      <w:pPr>
        <w:spacing w:after="0" w:line="240" w:lineRule="auto"/>
      </w:pPr>
      <w:r>
        <w:separator/>
      </w:r>
    </w:p>
  </w:footnote>
  <w:footnote w:type="continuationSeparator" w:id="0">
    <w:p w14:paraId="16BE0C5C" w14:textId="77777777" w:rsidR="00A42B81" w:rsidRDefault="00A42B81"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111127"/>
    <w:multiLevelType w:val="hybridMultilevel"/>
    <w:tmpl w:val="855E0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993198"/>
    <w:multiLevelType w:val="hybridMultilevel"/>
    <w:tmpl w:val="6102F516"/>
    <w:lvl w:ilvl="0" w:tplc="1CA0846A">
      <w:numFmt w:val="bullet"/>
      <w:lvlText w:val="•"/>
      <w:lvlJc w:val="left"/>
      <w:pPr>
        <w:ind w:left="1065" w:hanging="705"/>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C987A06"/>
    <w:multiLevelType w:val="hybridMultilevel"/>
    <w:tmpl w:val="0490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8"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5"/>
  </w:num>
  <w:num w:numId="3" w16cid:durableId="644358702">
    <w:abstractNumId w:val="2"/>
  </w:num>
  <w:num w:numId="4" w16cid:durableId="71465270">
    <w:abstractNumId w:val="8"/>
  </w:num>
  <w:num w:numId="5" w16cid:durableId="1050110089">
    <w:abstractNumId w:val="3"/>
  </w:num>
  <w:num w:numId="6" w16cid:durableId="1019693998">
    <w:abstractNumId w:val="7"/>
  </w:num>
  <w:num w:numId="7" w16cid:durableId="152765648">
    <w:abstractNumId w:val="6"/>
  </w:num>
  <w:num w:numId="8" w16cid:durableId="338197172">
    <w:abstractNumId w:val="4"/>
  </w:num>
  <w:num w:numId="9" w16cid:durableId="1326981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1FEE"/>
    <w:rsid w:val="00003BC1"/>
    <w:rsid w:val="0002102B"/>
    <w:rsid w:val="00023D33"/>
    <w:rsid w:val="00027B51"/>
    <w:rsid w:val="0003146F"/>
    <w:rsid w:val="00053D58"/>
    <w:rsid w:val="000558A0"/>
    <w:rsid w:val="00061896"/>
    <w:rsid w:val="000620F7"/>
    <w:rsid w:val="00067D65"/>
    <w:rsid w:val="00074363"/>
    <w:rsid w:val="000751E5"/>
    <w:rsid w:val="00084656"/>
    <w:rsid w:val="000A141E"/>
    <w:rsid w:val="000A46B3"/>
    <w:rsid w:val="000B2056"/>
    <w:rsid w:val="000E473C"/>
    <w:rsid w:val="00106F98"/>
    <w:rsid w:val="00114AA3"/>
    <w:rsid w:val="00114F9C"/>
    <w:rsid w:val="00116AD8"/>
    <w:rsid w:val="0012729B"/>
    <w:rsid w:val="00136765"/>
    <w:rsid w:val="001435E9"/>
    <w:rsid w:val="001463B6"/>
    <w:rsid w:val="0015416B"/>
    <w:rsid w:val="00160615"/>
    <w:rsid w:val="0016667B"/>
    <w:rsid w:val="0016704C"/>
    <w:rsid w:val="00177C8B"/>
    <w:rsid w:val="00182DA9"/>
    <w:rsid w:val="00183561"/>
    <w:rsid w:val="001901D5"/>
    <w:rsid w:val="0019387F"/>
    <w:rsid w:val="001A511E"/>
    <w:rsid w:val="001B0BD4"/>
    <w:rsid w:val="001B700C"/>
    <w:rsid w:val="001C0DAC"/>
    <w:rsid w:val="001C3181"/>
    <w:rsid w:val="001C6F6F"/>
    <w:rsid w:val="001D4ADB"/>
    <w:rsid w:val="001D57F7"/>
    <w:rsid w:val="001E2120"/>
    <w:rsid w:val="001F1319"/>
    <w:rsid w:val="00204E5D"/>
    <w:rsid w:val="00206691"/>
    <w:rsid w:val="00210FDC"/>
    <w:rsid w:val="002156C1"/>
    <w:rsid w:val="002156F0"/>
    <w:rsid w:val="0023252B"/>
    <w:rsid w:val="002418C9"/>
    <w:rsid w:val="00242C6D"/>
    <w:rsid w:val="00242F3A"/>
    <w:rsid w:val="002516AD"/>
    <w:rsid w:val="00252382"/>
    <w:rsid w:val="00252E50"/>
    <w:rsid w:val="002563C0"/>
    <w:rsid w:val="00264AF7"/>
    <w:rsid w:val="00267C3A"/>
    <w:rsid w:val="00271503"/>
    <w:rsid w:val="0028364D"/>
    <w:rsid w:val="0029173B"/>
    <w:rsid w:val="002B3EFE"/>
    <w:rsid w:val="002C20FC"/>
    <w:rsid w:val="002C22E8"/>
    <w:rsid w:val="002D7A71"/>
    <w:rsid w:val="002E60C5"/>
    <w:rsid w:val="002E6588"/>
    <w:rsid w:val="00310A92"/>
    <w:rsid w:val="00315B27"/>
    <w:rsid w:val="0031628D"/>
    <w:rsid w:val="00325E74"/>
    <w:rsid w:val="00326402"/>
    <w:rsid w:val="00326AAC"/>
    <w:rsid w:val="003503D7"/>
    <w:rsid w:val="00352F85"/>
    <w:rsid w:val="003650A7"/>
    <w:rsid w:val="003669BC"/>
    <w:rsid w:val="00376494"/>
    <w:rsid w:val="00380186"/>
    <w:rsid w:val="003929B4"/>
    <w:rsid w:val="003978EB"/>
    <w:rsid w:val="003A715E"/>
    <w:rsid w:val="003A79A7"/>
    <w:rsid w:val="003B2E66"/>
    <w:rsid w:val="003C2258"/>
    <w:rsid w:val="003E376E"/>
    <w:rsid w:val="003E692E"/>
    <w:rsid w:val="003E798A"/>
    <w:rsid w:val="0041679A"/>
    <w:rsid w:val="004207F1"/>
    <w:rsid w:val="00441DE7"/>
    <w:rsid w:val="00442689"/>
    <w:rsid w:val="00444C14"/>
    <w:rsid w:val="0045104F"/>
    <w:rsid w:val="0045605F"/>
    <w:rsid w:val="004564B8"/>
    <w:rsid w:val="00457534"/>
    <w:rsid w:val="00463000"/>
    <w:rsid w:val="00466D2D"/>
    <w:rsid w:val="004822CB"/>
    <w:rsid w:val="00486540"/>
    <w:rsid w:val="004879CA"/>
    <w:rsid w:val="004B2A58"/>
    <w:rsid w:val="004B30DB"/>
    <w:rsid w:val="004C02D2"/>
    <w:rsid w:val="004D2D2B"/>
    <w:rsid w:val="004E5C36"/>
    <w:rsid w:val="004F30C6"/>
    <w:rsid w:val="00523AD7"/>
    <w:rsid w:val="00533696"/>
    <w:rsid w:val="00544ED7"/>
    <w:rsid w:val="00554AC8"/>
    <w:rsid w:val="00555FDF"/>
    <w:rsid w:val="00560E82"/>
    <w:rsid w:val="00567590"/>
    <w:rsid w:val="005771CF"/>
    <w:rsid w:val="005929F9"/>
    <w:rsid w:val="00595179"/>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403D5"/>
    <w:rsid w:val="00641536"/>
    <w:rsid w:val="00656F42"/>
    <w:rsid w:val="00660C65"/>
    <w:rsid w:val="006634B6"/>
    <w:rsid w:val="00663AA4"/>
    <w:rsid w:val="0067196D"/>
    <w:rsid w:val="0067272E"/>
    <w:rsid w:val="0067731D"/>
    <w:rsid w:val="00683465"/>
    <w:rsid w:val="006847B7"/>
    <w:rsid w:val="00684F2B"/>
    <w:rsid w:val="00691D1F"/>
    <w:rsid w:val="00696D3F"/>
    <w:rsid w:val="006A069A"/>
    <w:rsid w:val="006A0B16"/>
    <w:rsid w:val="006A7A3B"/>
    <w:rsid w:val="006B43C5"/>
    <w:rsid w:val="006C2F69"/>
    <w:rsid w:val="006C599C"/>
    <w:rsid w:val="006C7D81"/>
    <w:rsid w:val="006F2BC4"/>
    <w:rsid w:val="006F309B"/>
    <w:rsid w:val="00714FC7"/>
    <w:rsid w:val="00720F97"/>
    <w:rsid w:val="00730962"/>
    <w:rsid w:val="007322FB"/>
    <w:rsid w:val="007336D7"/>
    <w:rsid w:val="00743975"/>
    <w:rsid w:val="00747511"/>
    <w:rsid w:val="007768FD"/>
    <w:rsid w:val="00777DFA"/>
    <w:rsid w:val="00785E24"/>
    <w:rsid w:val="007B5130"/>
    <w:rsid w:val="007B654C"/>
    <w:rsid w:val="007C5950"/>
    <w:rsid w:val="007D275B"/>
    <w:rsid w:val="007D59BC"/>
    <w:rsid w:val="007D5AE4"/>
    <w:rsid w:val="007E0D3F"/>
    <w:rsid w:val="007E1EAC"/>
    <w:rsid w:val="007E66B3"/>
    <w:rsid w:val="007F5EA1"/>
    <w:rsid w:val="007F646D"/>
    <w:rsid w:val="00804B56"/>
    <w:rsid w:val="00814E20"/>
    <w:rsid w:val="00834502"/>
    <w:rsid w:val="00846213"/>
    <w:rsid w:val="0085213C"/>
    <w:rsid w:val="00856688"/>
    <w:rsid w:val="00863AB6"/>
    <w:rsid w:val="00875B7D"/>
    <w:rsid w:val="00883960"/>
    <w:rsid w:val="00893ADF"/>
    <w:rsid w:val="00897348"/>
    <w:rsid w:val="008B7960"/>
    <w:rsid w:val="008C16E8"/>
    <w:rsid w:val="008C315B"/>
    <w:rsid w:val="008C7B20"/>
    <w:rsid w:val="008D5536"/>
    <w:rsid w:val="008E1ACC"/>
    <w:rsid w:val="008F2EF6"/>
    <w:rsid w:val="008F320B"/>
    <w:rsid w:val="008F7E34"/>
    <w:rsid w:val="009012D9"/>
    <w:rsid w:val="009204E8"/>
    <w:rsid w:val="009243E1"/>
    <w:rsid w:val="009509BC"/>
    <w:rsid w:val="00952724"/>
    <w:rsid w:val="009568B5"/>
    <w:rsid w:val="0096627E"/>
    <w:rsid w:val="0097094F"/>
    <w:rsid w:val="00972728"/>
    <w:rsid w:val="00982994"/>
    <w:rsid w:val="009A489B"/>
    <w:rsid w:val="009A5CDA"/>
    <w:rsid w:val="009B25C6"/>
    <w:rsid w:val="009C14B0"/>
    <w:rsid w:val="009C58F4"/>
    <w:rsid w:val="009C62DF"/>
    <w:rsid w:val="009D0048"/>
    <w:rsid w:val="009E3CD6"/>
    <w:rsid w:val="009E7129"/>
    <w:rsid w:val="009F0D45"/>
    <w:rsid w:val="009F4132"/>
    <w:rsid w:val="009F49F0"/>
    <w:rsid w:val="009F6A68"/>
    <w:rsid w:val="00A04F13"/>
    <w:rsid w:val="00A14BA6"/>
    <w:rsid w:val="00A216FC"/>
    <w:rsid w:val="00A343F7"/>
    <w:rsid w:val="00A42B81"/>
    <w:rsid w:val="00A445BA"/>
    <w:rsid w:val="00A4549C"/>
    <w:rsid w:val="00A45B7C"/>
    <w:rsid w:val="00A46196"/>
    <w:rsid w:val="00A55CA1"/>
    <w:rsid w:val="00A80D86"/>
    <w:rsid w:val="00A84B8F"/>
    <w:rsid w:val="00A907F9"/>
    <w:rsid w:val="00A92E97"/>
    <w:rsid w:val="00A93CE5"/>
    <w:rsid w:val="00AA126F"/>
    <w:rsid w:val="00AA2D69"/>
    <w:rsid w:val="00AA5B62"/>
    <w:rsid w:val="00AA7D45"/>
    <w:rsid w:val="00AB49F7"/>
    <w:rsid w:val="00AD3FF8"/>
    <w:rsid w:val="00AE2510"/>
    <w:rsid w:val="00AE6DE1"/>
    <w:rsid w:val="00AF32C8"/>
    <w:rsid w:val="00B013D9"/>
    <w:rsid w:val="00B03EA9"/>
    <w:rsid w:val="00B10D85"/>
    <w:rsid w:val="00B10E97"/>
    <w:rsid w:val="00B17296"/>
    <w:rsid w:val="00B17564"/>
    <w:rsid w:val="00B21FFF"/>
    <w:rsid w:val="00B235C0"/>
    <w:rsid w:val="00B24685"/>
    <w:rsid w:val="00B25A5E"/>
    <w:rsid w:val="00B25E83"/>
    <w:rsid w:val="00B3061B"/>
    <w:rsid w:val="00B350BF"/>
    <w:rsid w:val="00B40234"/>
    <w:rsid w:val="00B50E00"/>
    <w:rsid w:val="00B61771"/>
    <w:rsid w:val="00B8070B"/>
    <w:rsid w:val="00B863BA"/>
    <w:rsid w:val="00BA709C"/>
    <w:rsid w:val="00BD0F19"/>
    <w:rsid w:val="00BD2436"/>
    <w:rsid w:val="00BD26B8"/>
    <w:rsid w:val="00BE0A5B"/>
    <w:rsid w:val="00BE56ED"/>
    <w:rsid w:val="00BE704E"/>
    <w:rsid w:val="00BF54F7"/>
    <w:rsid w:val="00C030D7"/>
    <w:rsid w:val="00C072F1"/>
    <w:rsid w:val="00C21AB4"/>
    <w:rsid w:val="00C238AC"/>
    <w:rsid w:val="00C4053A"/>
    <w:rsid w:val="00C41E8A"/>
    <w:rsid w:val="00C654F4"/>
    <w:rsid w:val="00C67B6F"/>
    <w:rsid w:val="00C74B98"/>
    <w:rsid w:val="00C85FA4"/>
    <w:rsid w:val="00C86FFA"/>
    <w:rsid w:val="00C934B9"/>
    <w:rsid w:val="00CA0EC2"/>
    <w:rsid w:val="00CB5F79"/>
    <w:rsid w:val="00CB7101"/>
    <w:rsid w:val="00CC45D6"/>
    <w:rsid w:val="00CD0D8C"/>
    <w:rsid w:val="00CD324F"/>
    <w:rsid w:val="00D2237E"/>
    <w:rsid w:val="00D32935"/>
    <w:rsid w:val="00D40CD9"/>
    <w:rsid w:val="00D45199"/>
    <w:rsid w:val="00D45C89"/>
    <w:rsid w:val="00D53357"/>
    <w:rsid w:val="00D935E7"/>
    <w:rsid w:val="00D97B51"/>
    <w:rsid w:val="00DA25C9"/>
    <w:rsid w:val="00DA3379"/>
    <w:rsid w:val="00DA6A73"/>
    <w:rsid w:val="00DB2B1E"/>
    <w:rsid w:val="00DB4B86"/>
    <w:rsid w:val="00DB4FF7"/>
    <w:rsid w:val="00DB6483"/>
    <w:rsid w:val="00DB69D5"/>
    <w:rsid w:val="00DC14ED"/>
    <w:rsid w:val="00DC5BC1"/>
    <w:rsid w:val="00DD2063"/>
    <w:rsid w:val="00DD4921"/>
    <w:rsid w:val="00DE3067"/>
    <w:rsid w:val="00DE7A50"/>
    <w:rsid w:val="00E068BA"/>
    <w:rsid w:val="00E14709"/>
    <w:rsid w:val="00E21D85"/>
    <w:rsid w:val="00E23231"/>
    <w:rsid w:val="00E452A2"/>
    <w:rsid w:val="00E4610D"/>
    <w:rsid w:val="00E47804"/>
    <w:rsid w:val="00E56EE2"/>
    <w:rsid w:val="00E6292C"/>
    <w:rsid w:val="00E75F19"/>
    <w:rsid w:val="00E80749"/>
    <w:rsid w:val="00E97C5F"/>
    <w:rsid w:val="00EA6EE0"/>
    <w:rsid w:val="00EB226C"/>
    <w:rsid w:val="00EB572C"/>
    <w:rsid w:val="00EC3F9F"/>
    <w:rsid w:val="00EC5DAB"/>
    <w:rsid w:val="00ED15E4"/>
    <w:rsid w:val="00ED205C"/>
    <w:rsid w:val="00EF285C"/>
    <w:rsid w:val="00EF6EE2"/>
    <w:rsid w:val="00EF7568"/>
    <w:rsid w:val="00F0270C"/>
    <w:rsid w:val="00F150B9"/>
    <w:rsid w:val="00F26196"/>
    <w:rsid w:val="00F272E9"/>
    <w:rsid w:val="00F46589"/>
    <w:rsid w:val="00F533A4"/>
    <w:rsid w:val="00F53AEF"/>
    <w:rsid w:val="00F61E1D"/>
    <w:rsid w:val="00F70988"/>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31124/advance.175630058.83191639/v1" TargetMode="External"/><Relationship Id="rId4" Type="http://schemas.openxmlformats.org/officeDocument/2006/relationships/settings" Target="settings.xml"/><Relationship Id="rId9" Type="http://schemas.openxmlformats.org/officeDocument/2006/relationships/hyperlink" Target="https://journals.sagepub.com/home/jcr"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607</Words>
  <Characters>3826</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Trier</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3</cp:revision>
  <cp:lastPrinted>2026-03-11T07:58:00Z</cp:lastPrinted>
  <dcterms:created xsi:type="dcterms:W3CDTF">2026-04-09T06:38:00Z</dcterms:created>
  <dcterms:modified xsi:type="dcterms:W3CDTF">2026-04-09T06:39:00Z</dcterms:modified>
</cp:coreProperties>
</file>