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3AA31" w14:textId="110753F2" w:rsidR="006565D3" w:rsidRPr="00383D87" w:rsidRDefault="00383D87">
      <w:pPr>
        <w:spacing w:line="254" w:lineRule="auto"/>
        <w:ind w:right="1984"/>
        <w:rPr>
          <w:rFonts w:ascii="IBM Plex Sans" w:hAnsi="IBM Plex Sans"/>
          <w:sz w:val="24"/>
          <w:szCs w:val="24"/>
        </w:rPr>
      </w:pPr>
      <w:proofErr w:type="spellStart"/>
      <w:r w:rsidRPr="00383D87">
        <w:rPr>
          <w:rFonts w:ascii="IBM Plex Sans" w:hAnsi="IBM Plex Sans"/>
          <w:sz w:val="24"/>
          <w:szCs w:val="24"/>
        </w:rPr>
        <w:t>Sunotec</w:t>
      </w:r>
      <w:proofErr w:type="spellEnd"/>
      <w:r w:rsidRPr="00383D87">
        <w:rPr>
          <w:rFonts w:ascii="IBM Plex Sans" w:hAnsi="IBM Plex Sans"/>
          <w:sz w:val="24"/>
          <w:szCs w:val="24"/>
        </w:rPr>
        <w:t xml:space="preserve"> kündigt strukturierte Eigenkapitalbeteiligung von Blackstone zur Beschleunigung des Ausbaus erneuerbarer Energieinfrastruktur an</w:t>
      </w:r>
    </w:p>
    <w:p w14:paraId="44ABEE62" w14:textId="77777777" w:rsidR="00383D87" w:rsidRPr="00383D87" w:rsidRDefault="00383D87">
      <w:pPr>
        <w:spacing w:line="254" w:lineRule="auto"/>
        <w:ind w:right="1984"/>
        <w:rPr>
          <w:rFonts w:ascii="IBM Plex Sans" w:hAnsi="IBM Plex Sans"/>
          <w:i/>
          <w:iCs/>
          <w:sz w:val="24"/>
          <w:szCs w:val="24"/>
        </w:rPr>
      </w:pPr>
    </w:p>
    <w:p w14:paraId="780DD5BB" w14:textId="6D080E1E" w:rsidR="009C54FE" w:rsidRDefault="00383D87">
      <w:pPr>
        <w:ind w:right="1984"/>
        <w:rPr>
          <w:rFonts w:ascii="IBM Plex Sans" w:hAnsi="IBM Plex Sans"/>
          <w:i/>
          <w:iCs/>
          <w:sz w:val="18"/>
          <w:szCs w:val="18"/>
        </w:rPr>
      </w:pPr>
      <w:r w:rsidRPr="00383D87">
        <w:rPr>
          <w:rFonts w:ascii="IBM Plex Sans" w:hAnsi="IBM Plex Sans"/>
          <w:i/>
          <w:iCs/>
          <w:sz w:val="18"/>
          <w:szCs w:val="18"/>
        </w:rPr>
        <w:t xml:space="preserve">Partnerschaft unterstützt die internationale Expansion von </w:t>
      </w:r>
      <w:proofErr w:type="spellStart"/>
      <w:r w:rsidRPr="00383D87">
        <w:rPr>
          <w:rFonts w:ascii="IBM Plex Sans" w:hAnsi="IBM Plex Sans"/>
          <w:i/>
          <w:iCs/>
          <w:sz w:val="18"/>
          <w:szCs w:val="18"/>
        </w:rPr>
        <w:t>Sunotec</w:t>
      </w:r>
      <w:proofErr w:type="spellEnd"/>
      <w:r w:rsidRPr="00383D87">
        <w:rPr>
          <w:rFonts w:ascii="IBM Plex Sans" w:hAnsi="IBM Plex Sans"/>
          <w:i/>
          <w:iCs/>
          <w:sz w:val="18"/>
          <w:szCs w:val="18"/>
        </w:rPr>
        <w:t xml:space="preserve"> und stärkt Kompetenzen in Netzintegration und erneuerbarer Energieinfrastruktur</w:t>
      </w:r>
    </w:p>
    <w:p w14:paraId="33F7CB5F" w14:textId="77777777" w:rsidR="00383D87" w:rsidRPr="00383D87" w:rsidRDefault="00383D87">
      <w:pPr>
        <w:ind w:right="1984"/>
        <w:rPr>
          <w:rFonts w:ascii="IBM Plex Sans" w:hAnsi="IBM Plex Sans"/>
          <w:sz w:val="18"/>
          <w:szCs w:val="18"/>
        </w:rPr>
      </w:pPr>
    </w:p>
    <w:p w14:paraId="4308AB18" w14:textId="59501887" w:rsidR="009C54FE" w:rsidRDefault="00383D87">
      <w:pPr>
        <w:ind w:right="1984"/>
        <w:rPr>
          <w:rFonts w:ascii="IBM Plex Sans" w:hAnsi="IBM Plex Sans"/>
          <w:b/>
          <w:bCs/>
          <w:sz w:val="18"/>
          <w:szCs w:val="18"/>
        </w:rPr>
      </w:pPr>
      <w:r w:rsidRPr="00383D87">
        <w:rPr>
          <w:rFonts w:ascii="IBM Plex Sans" w:hAnsi="IBM Plex Sans"/>
          <w:b/>
          <w:bCs/>
          <w:sz w:val="18"/>
          <w:szCs w:val="18"/>
        </w:rPr>
        <w:t xml:space="preserve">LONDON, UK – 7. April 2026 – </w:t>
      </w:r>
      <w:proofErr w:type="spellStart"/>
      <w:r w:rsidRPr="00383D87">
        <w:rPr>
          <w:rFonts w:ascii="IBM Plex Sans" w:hAnsi="IBM Plex Sans"/>
          <w:b/>
          <w:bCs/>
          <w:sz w:val="18"/>
          <w:szCs w:val="18"/>
        </w:rPr>
        <w:t>Sunotec</w:t>
      </w:r>
      <w:proofErr w:type="spellEnd"/>
      <w:r w:rsidRPr="00383D87">
        <w:rPr>
          <w:rFonts w:ascii="IBM Plex Sans" w:hAnsi="IBM Plex Sans"/>
          <w:b/>
          <w:bCs/>
          <w:sz w:val="18"/>
          <w:szCs w:val="18"/>
        </w:rPr>
        <w:t xml:space="preserve">, einer der führenden Integratoren von </w:t>
      </w:r>
      <w:proofErr w:type="spellStart"/>
      <w:r w:rsidRPr="00383D87">
        <w:rPr>
          <w:rFonts w:ascii="IBM Plex Sans" w:hAnsi="IBM Plex Sans"/>
          <w:b/>
          <w:bCs/>
          <w:sz w:val="18"/>
          <w:szCs w:val="18"/>
        </w:rPr>
        <w:t>großskaligen</w:t>
      </w:r>
      <w:proofErr w:type="spellEnd"/>
      <w:r w:rsidRPr="00383D87">
        <w:rPr>
          <w:rFonts w:ascii="IBM Plex Sans" w:hAnsi="IBM Plex Sans"/>
          <w:b/>
          <w:bCs/>
          <w:sz w:val="18"/>
          <w:szCs w:val="18"/>
        </w:rPr>
        <w:t xml:space="preserve"> Solar- und Batteriespeicherprojekten in Europa, gab heute eine strukturierte Eigenkapitalinvestition durch einen von Blackstone </w:t>
      </w:r>
      <w:proofErr w:type="spellStart"/>
      <w:r w:rsidRPr="00383D87">
        <w:rPr>
          <w:rFonts w:ascii="IBM Plex Sans" w:hAnsi="IBM Plex Sans"/>
          <w:b/>
          <w:bCs/>
          <w:sz w:val="18"/>
          <w:szCs w:val="18"/>
        </w:rPr>
        <w:t>Tactical</w:t>
      </w:r>
      <w:proofErr w:type="spellEnd"/>
      <w:r w:rsidRPr="00383D87">
        <w:rPr>
          <w:rFonts w:ascii="IBM Plex Sans" w:hAnsi="IBM Plex Sans"/>
          <w:b/>
          <w:bCs/>
          <w:sz w:val="18"/>
          <w:szCs w:val="18"/>
        </w:rPr>
        <w:t xml:space="preserve"> </w:t>
      </w:r>
      <w:proofErr w:type="spellStart"/>
      <w:r w:rsidRPr="00383D87">
        <w:rPr>
          <w:rFonts w:ascii="IBM Plex Sans" w:hAnsi="IBM Plex Sans"/>
          <w:b/>
          <w:bCs/>
          <w:sz w:val="18"/>
          <w:szCs w:val="18"/>
        </w:rPr>
        <w:t>Opportunities</w:t>
      </w:r>
      <w:proofErr w:type="spellEnd"/>
      <w:r w:rsidRPr="00383D87">
        <w:rPr>
          <w:rFonts w:ascii="IBM Plex Sans" w:hAnsi="IBM Plex Sans"/>
          <w:b/>
          <w:bCs/>
          <w:sz w:val="18"/>
          <w:szCs w:val="18"/>
        </w:rPr>
        <w:t xml:space="preserve"> verwalteten Fonds bekannt.</w:t>
      </w:r>
    </w:p>
    <w:p w14:paraId="08E28A7C" w14:textId="77777777" w:rsidR="00383D87" w:rsidRPr="00383D87" w:rsidRDefault="00383D87">
      <w:pPr>
        <w:ind w:right="1984"/>
        <w:rPr>
          <w:rFonts w:ascii="IBM Plex Sans" w:hAnsi="IBM Plex Sans"/>
          <w:b/>
          <w:bCs/>
          <w:sz w:val="18"/>
          <w:szCs w:val="18"/>
        </w:rPr>
      </w:pPr>
    </w:p>
    <w:p w14:paraId="3572E11C" w14:textId="77777777" w:rsidR="00383D87" w:rsidRPr="00383D87" w:rsidRDefault="00383D87" w:rsidP="00383D87">
      <w:pPr>
        <w:ind w:right="1984"/>
        <w:rPr>
          <w:rFonts w:ascii="IBM Plex Sans" w:eastAsia="IBM Plex Sans" w:hAnsi="IBM Plex Sans" w:cs="IBM Plex Sans"/>
          <w:sz w:val="18"/>
          <w:szCs w:val="18"/>
        </w:rPr>
      </w:pPr>
      <w:r w:rsidRPr="00383D87">
        <w:rPr>
          <w:rFonts w:ascii="IBM Plex Sans" w:eastAsia="IBM Plex Sans" w:hAnsi="IBM Plex Sans" w:cs="IBM Plex Sans"/>
          <w:sz w:val="18"/>
          <w:szCs w:val="18"/>
        </w:rPr>
        <w:t xml:space="preserve">Die Investition von Blackstone wird das weitere Wachstum von </w:t>
      </w:r>
      <w:proofErr w:type="spellStart"/>
      <w:r w:rsidRPr="00383D87">
        <w:rPr>
          <w:rFonts w:ascii="IBM Plex Sans" w:eastAsia="IBM Plex Sans" w:hAnsi="IBM Plex Sans" w:cs="IBM Plex Sans"/>
          <w:sz w:val="18"/>
          <w:szCs w:val="18"/>
        </w:rPr>
        <w:t>Sunotec</w:t>
      </w:r>
      <w:proofErr w:type="spellEnd"/>
      <w:r w:rsidRPr="00383D87">
        <w:rPr>
          <w:rFonts w:ascii="IBM Plex Sans" w:eastAsia="IBM Plex Sans" w:hAnsi="IBM Plex Sans" w:cs="IBM Plex Sans"/>
          <w:sz w:val="18"/>
          <w:szCs w:val="18"/>
        </w:rPr>
        <w:t xml:space="preserve"> in seinen Kernmärkten in Europa, insbesondere in Deutschland, dem Vereinigten Königreich, Skandinavien und Südosteuropa, unterstützen und gleichzeitig die Expansion bestehender Dienstleistungen sowie die Entwicklung angrenzender Kompetenzen, einschließlich der Netzinfrastruktur, ermöglichen.</w:t>
      </w:r>
    </w:p>
    <w:p w14:paraId="1332B11D" w14:textId="77777777" w:rsidR="00383D87" w:rsidRPr="00383D87" w:rsidRDefault="00383D87" w:rsidP="00383D87">
      <w:pPr>
        <w:ind w:right="1984"/>
        <w:rPr>
          <w:rFonts w:ascii="IBM Plex Sans" w:eastAsia="IBM Plex Sans" w:hAnsi="IBM Plex Sans" w:cs="IBM Plex Sans"/>
          <w:sz w:val="18"/>
          <w:szCs w:val="18"/>
        </w:rPr>
      </w:pPr>
    </w:p>
    <w:p w14:paraId="1AC15305" w14:textId="77777777" w:rsidR="00383D87" w:rsidRPr="00383D87" w:rsidRDefault="00383D87" w:rsidP="00383D87">
      <w:pPr>
        <w:ind w:right="1984"/>
        <w:rPr>
          <w:rFonts w:ascii="IBM Plex Sans" w:eastAsia="IBM Plex Sans" w:hAnsi="IBM Plex Sans" w:cs="IBM Plex Sans"/>
          <w:sz w:val="18"/>
          <w:szCs w:val="18"/>
        </w:rPr>
      </w:pPr>
      <w:r w:rsidRPr="00383D87">
        <w:rPr>
          <w:rFonts w:ascii="IBM Plex Sans" w:eastAsia="IBM Plex Sans" w:hAnsi="IBM Plex Sans" w:cs="IBM Plex Sans"/>
          <w:sz w:val="18"/>
          <w:szCs w:val="18"/>
        </w:rPr>
        <w:t xml:space="preserve">Die Partnerschaft zielt zudem darauf ab, </w:t>
      </w:r>
      <w:proofErr w:type="spellStart"/>
      <w:r w:rsidRPr="00383D87">
        <w:rPr>
          <w:rFonts w:ascii="IBM Plex Sans" w:eastAsia="IBM Plex Sans" w:hAnsi="IBM Plex Sans" w:cs="IBM Plex Sans"/>
          <w:sz w:val="18"/>
          <w:szCs w:val="18"/>
        </w:rPr>
        <w:t>Sunotecs</w:t>
      </w:r>
      <w:proofErr w:type="spellEnd"/>
      <w:r w:rsidRPr="00383D87">
        <w:rPr>
          <w:rFonts w:ascii="IBM Plex Sans" w:eastAsia="IBM Plex Sans" w:hAnsi="IBM Plex Sans" w:cs="IBM Plex Sans"/>
          <w:sz w:val="18"/>
          <w:szCs w:val="18"/>
        </w:rPr>
        <w:t xml:space="preserve"> hybride Plattform für erneuerbare Energieanlagen weiter zu skalieren und die Investitionen in nachhaltige Infrastruktur zu stärken.</w:t>
      </w:r>
    </w:p>
    <w:p w14:paraId="059AA41D" w14:textId="77777777" w:rsidR="00383D87" w:rsidRPr="00383D87" w:rsidRDefault="00383D87" w:rsidP="00383D87">
      <w:pPr>
        <w:ind w:right="1984"/>
        <w:rPr>
          <w:rFonts w:ascii="IBM Plex Sans" w:eastAsia="IBM Plex Sans" w:hAnsi="IBM Plex Sans" w:cs="IBM Plex Sans"/>
          <w:sz w:val="18"/>
          <w:szCs w:val="18"/>
        </w:rPr>
      </w:pPr>
    </w:p>
    <w:p w14:paraId="18968FFB" w14:textId="77777777" w:rsidR="00383D87" w:rsidRPr="00383D87" w:rsidRDefault="00383D87" w:rsidP="00383D87">
      <w:pPr>
        <w:ind w:right="1984"/>
        <w:rPr>
          <w:rFonts w:ascii="IBM Plex Sans" w:eastAsia="IBM Plex Sans" w:hAnsi="IBM Plex Sans" w:cs="IBM Plex Sans"/>
          <w:sz w:val="18"/>
          <w:szCs w:val="18"/>
        </w:rPr>
      </w:pPr>
      <w:proofErr w:type="spellStart"/>
      <w:r w:rsidRPr="00383D87">
        <w:rPr>
          <w:rFonts w:ascii="IBM Plex Sans" w:eastAsia="IBM Plex Sans" w:hAnsi="IBM Plex Sans" w:cs="IBM Plex Sans"/>
          <w:sz w:val="18"/>
          <w:szCs w:val="18"/>
        </w:rPr>
        <w:t>Sunotec</w:t>
      </w:r>
      <w:proofErr w:type="spellEnd"/>
      <w:r w:rsidRPr="00383D87">
        <w:rPr>
          <w:rFonts w:ascii="IBM Plex Sans" w:eastAsia="IBM Plex Sans" w:hAnsi="IBM Plex Sans" w:cs="IBM Plex Sans"/>
          <w:sz w:val="18"/>
          <w:szCs w:val="18"/>
        </w:rPr>
        <w:t xml:space="preserve"> hat sich als einer der führenden Integratoren von </w:t>
      </w:r>
      <w:proofErr w:type="spellStart"/>
      <w:r w:rsidRPr="00383D87">
        <w:rPr>
          <w:rFonts w:ascii="IBM Plex Sans" w:eastAsia="IBM Plex Sans" w:hAnsi="IBM Plex Sans" w:cs="IBM Plex Sans"/>
          <w:sz w:val="18"/>
          <w:szCs w:val="18"/>
        </w:rPr>
        <w:t>großskaligen</w:t>
      </w:r>
      <w:proofErr w:type="spellEnd"/>
      <w:r w:rsidRPr="00383D87">
        <w:rPr>
          <w:rFonts w:ascii="IBM Plex Sans" w:eastAsia="IBM Plex Sans" w:hAnsi="IBM Plex Sans" w:cs="IBM Plex Sans"/>
          <w:sz w:val="18"/>
          <w:szCs w:val="18"/>
        </w:rPr>
        <w:t xml:space="preserve"> Solar- und Batteriespeicherprojekten in Europa etabliert. Das Unternehmen hat in mehreren Märkten rund 15 GW installierte Solarleistung realisiert, darunter 5 GW </w:t>
      </w:r>
      <w:proofErr w:type="spellStart"/>
      <w:r w:rsidRPr="00383D87">
        <w:rPr>
          <w:rFonts w:ascii="IBM Plex Sans" w:eastAsia="IBM Plex Sans" w:hAnsi="IBM Plex Sans" w:cs="IBM Plex Sans"/>
          <w:sz w:val="18"/>
          <w:szCs w:val="18"/>
        </w:rPr>
        <w:t>großskalige</w:t>
      </w:r>
      <w:proofErr w:type="spellEnd"/>
      <w:r w:rsidRPr="00383D87">
        <w:rPr>
          <w:rFonts w:ascii="IBM Plex Sans" w:eastAsia="IBM Plex Sans" w:hAnsi="IBM Plex Sans" w:cs="IBM Plex Sans"/>
          <w:sz w:val="18"/>
          <w:szCs w:val="18"/>
        </w:rPr>
        <w:t xml:space="preserve"> Solarprojekte sowie 5 GWh Batteriespeichersysteme (BESS) allein in den vergangenen zwei Jahren, und profitiert dabei von den langfristigen Wachstumstreibern der Energiewende und Elektrifizierung.</w:t>
      </w:r>
    </w:p>
    <w:p w14:paraId="631E4070" w14:textId="77777777" w:rsidR="00383D87" w:rsidRPr="00383D87" w:rsidRDefault="00383D87" w:rsidP="00383D87">
      <w:pPr>
        <w:ind w:right="1984"/>
        <w:rPr>
          <w:rFonts w:ascii="IBM Plex Sans" w:eastAsia="IBM Plex Sans" w:hAnsi="IBM Plex Sans" w:cs="IBM Plex Sans"/>
          <w:sz w:val="18"/>
          <w:szCs w:val="18"/>
        </w:rPr>
      </w:pPr>
    </w:p>
    <w:p w14:paraId="1A9AE1A1" w14:textId="77777777" w:rsidR="00383D87" w:rsidRPr="00383D87" w:rsidRDefault="00383D87" w:rsidP="00383D87">
      <w:pPr>
        <w:ind w:right="1984"/>
        <w:rPr>
          <w:rFonts w:ascii="IBM Plex Sans" w:eastAsia="IBM Plex Sans" w:hAnsi="IBM Plex Sans" w:cs="IBM Plex Sans"/>
          <w:sz w:val="18"/>
          <w:szCs w:val="18"/>
        </w:rPr>
      </w:pPr>
      <w:r w:rsidRPr="00383D87">
        <w:rPr>
          <w:rFonts w:ascii="IBM Plex Sans" w:eastAsia="IBM Plex Sans" w:hAnsi="IBM Plex Sans" w:cs="IBM Plex Sans"/>
          <w:sz w:val="18"/>
          <w:szCs w:val="18"/>
        </w:rPr>
        <w:t xml:space="preserve">Darüber hinaus hat </w:t>
      </w:r>
      <w:proofErr w:type="spellStart"/>
      <w:r w:rsidRPr="00383D87">
        <w:rPr>
          <w:rFonts w:ascii="IBM Plex Sans" w:eastAsia="IBM Plex Sans" w:hAnsi="IBM Plex Sans" w:cs="IBM Plex Sans"/>
          <w:sz w:val="18"/>
          <w:szCs w:val="18"/>
        </w:rPr>
        <w:t>Sunotec</w:t>
      </w:r>
      <w:proofErr w:type="spellEnd"/>
      <w:r w:rsidRPr="00383D87">
        <w:rPr>
          <w:rFonts w:ascii="IBM Plex Sans" w:eastAsia="IBM Plex Sans" w:hAnsi="IBM Plex Sans" w:cs="IBM Plex Sans"/>
          <w:sz w:val="18"/>
          <w:szCs w:val="18"/>
        </w:rPr>
        <w:t xml:space="preserve"> ein schnell wachsendes, regional diversifiziertes Energieinfrastrukturportfolio über verschiedene erneuerbare Technologien und Strategien hinweg aufgebaut und verfolgt ambitionierte Pläne, weiteres Wachstumspotenzial zu erschließen und die Energiewende in Europa aktiv voranzutreiben.</w:t>
      </w:r>
    </w:p>
    <w:p w14:paraId="42CEA844" w14:textId="77777777" w:rsidR="00383D87" w:rsidRPr="00383D87" w:rsidRDefault="00383D87" w:rsidP="00383D87">
      <w:pPr>
        <w:ind w:right="1984"/>
        <w:rPr>
          <w:rFonts w:ascii="IBM Plex Sans" w:eastAsia="IBM Plex Sans" w:hAnsi="IBM Plex Sans" w:cs="IBM Plex Sans"/>
          <w:sz w:val="18"/>
          <w:szCs w:val="18"/>
        </w:rPr>
      </w:pPr>
    </w:p>
    <w:p w14:paraId="0D1A1D2F" w14:textId="77777777" w:rsidR="00383D87" w:rsidRPr="00383D87" w:rsidRDefault="00383D87" w:rsidP="00383D87">
      <w:pPr>
        <w:ind w:right="1984"/>
        <w:rPr>
          <w:rFonts w:ascii="IBM Plex Sans" w:eastAsia="IBM Plex Sans" w:hAnsi="IBM Plex Sans" w:cs="IBM Plex Sans"/>
          <w:sz w:val="18"/>
          <w:szCs w:val="18"/>
        </w:rPr>
      </w:pPr>
      <w:r w:rsidRPr="00383D87">
        <w:rPr>
          <w:rFonts w:ascii="IBM Plex Sans" w:eastAsia="IBM Plex Sans" w:hAnsi="IBM Plex Sans" w:cs="IBM Plex Sans"/>
          <w:sz w:val="18"/>
          <w:szCs w:val="18"/>
        </w:rPr>
        <w:t xml:space="preserve">Die Partnerschaft verbindet Blackstones thematischen Fokus auf Bereiche wie digitale und erneuerbare Energieinfrastruktur sowie Stromnetzdienstleistungen mit </w:t>
      </w:r>
      <w:proofErr w:type="spellStart"/>
      <w:r w:rsidRPr="00383D87">
        <w:rPr>
          <w:rFonts w:ascii="IBM Plex Sans" w:eastAsia="IBM Plex Sans" w:hAnsi="IBM Plex Sans" w:cs="IBM Plex Sans"/>
          <w:sz w:val="18"/>
          <w:szCs w:val="18"/>
        </w:rPr>
        <w:t>Sunotecs</w:t>
      </w:r>
      <w:proofErr w:type="spellEnd"/>
      <w:r w:rsidRPr="00383D87">
        <w:rPr>
          <w:rFonts w:ascii="IBM Plex Sans" w:eastAsia="IBM Plex Sans" w:hAnsi="IBM Plex Sans" w:cs="IBM Plex Sans"/>
          <w:sz w:val="18"/>
          <w:szCs w:val="18"/>
        </w:rPr>
        <w:t xml:space="preserve"> führenden Kompetenzen in der Planung, Umsetzung, Wartung und dem Betrieb von </w:t>
      </w:r>
      <w:proofErr w:type="spellStart"/>
      <w:r w:rsidRPr="00383D87">
        <w:rPr>
          <w:rFonts w:ascii="IBM Plex Sans" w:eastAsia="IBM Plex Sans" w:hAnsi="IBM Plex Sans" w:cs="IBM Plex Sans"/>
          <w:sz w:val="18"/>
          <w:szCs w:val="18"/>
        </w:rPr>
        <w:t>großskaligen</w:t>
      </w:r>
      <w:proofErr w:type="spellEnd"/>
      <w:r w:rsidRPr="00383D87">
        <w:rPr>
          <w:rFonts w:ascii="IBM Plex Sans" w:eastAsia="IBM Plex Sans" w:hAnsi="IBM Plex Sans" w:cs="IBM Plex Sans"/>
          <w:sz w:val="18"/>
          <w:szCs w:val="18"/>
        </w:rPr>
        <w:t xml:space="preserve"> Solar- und Batteriespeichersystemen sowie seiner Expertise in der Integration von Mittel- und Hochspannungsnetzinfrastruktur.</w:t>
      </w:r>
    </w:p>
    <w:p w14:paraId="3DDE5DCE" w14:textId="77777777" w:rsidR="00383D87" w:rsidRPr="00383D87" w:rsidRDefault="00383D87" w:rsidP="00383D87">
      <w:pPr>
        <w:ind w:right="1984"/>
        <w:rPr>
          <w:rFonts w:ascii="IBM Plex Sans" w:eastAsia="IBM Plex Sans" w:hAnsi="IBM Plex Sans" w:cs="IBM Plex Sans"/>
          <w:sz w:val="18"/>
          <w:szCs w:val="18"/>
        </w:rPr>
      </w:pPr>
    </w:p>
    <w:p w14:paraId="16C1777D" w14:textId="77777777" w:rsidR="00383D87" w:rsidRPr="00383D87" w:rsidRDefault="00383D87" w:rsidP="00383D87">
      <w:pPr>
        <w:ind w:right="1984"/>
        <w:rPr>
          <w:rFonts w:ascii="IBM Plex Sans" w:eastAsia="IBM Plex Sans" w:hAnsi="IBM Plex Sans" w:cs="IBM Plex Sans"/>
          <w:sz w:val="18"/>
          <w:szCs w:val="18"/>
        </w:rPr>
      </w:pPr>
      <w:r w:rsidRPr="00383D87">
        <w:rPr>
          <w:rFonts w:ascii="IBM Plex Sans" w:eastAsia="IBM Plex Sans" w:hAnsi="IBM Plex Sans" w:cs="IBM Plex Sans"/>
          <w:sz w:val="18"/>
          <w:szCs w:val="18"/>
        </w:rPr>
        <w:t xml:space="preserve">Die Gründer und das Management von </w:t>
      </w:r>
      <w:proofErr w:type="spellStart"/>
      <w:r w:rsidRPr="00383D87">
        <w:rPr>
          <w:rFonts w:ascii="IBM Plex Sans" w:eastAsia="IBM Plex Sans" w:hAnsi="IBM Plex Sans" w:cs="IBM Plex Sans"/>
          <w:sz w:val="18"/>
          <w:szCs w:val="18"/>
        </w:rPr>
        <w:t>Sunotec</w:t>
      </w:r>
      <w:proofErr w:type="spellEnd"/>
      <w:r w:rsidRPr="00383D87">
        <w:rPr>
          <w:rFonts w:ascii="IBM Plex Sans" w:eastAsia="IBM Plex Sans" w:hAnsi="IBM Plex Sans" w:cs="IBM Plex Sans"/>
          <w:sz w:val="18"/>
          <w:szCs w:val="18"/>
        </w:rPr>
        <w:t xml:space="preserve"> behalten die Mehrheit am Unternehmen und führen weiterhin die Strategie und die operative Führung.</w:t>
      </w:r>
    </w:p>
    <w:p w14:paraId="1711AD1C" w14:textId="77777777" w:rsidR="00383D87" w:rsidRPr="00383D87" w:rsidRDefault="00383D87" w:rsidP="00383D87">
      <w:pPr>
        <w:ind w:right="1984"/>
        <w:rPr>
          <w:rFonts w:ascii="IBM Plex Sans" w:eastAsia="IBM Plex Sans" w:hAnsi="IBM Plex Sans" w:cs="IBM Plex Sans"/>
          <w:sz w:val="18"/>
          <w:szCs w:val="18"/>
        </w:rPr>
      </w:pPr>
    </w:p>
    <w:p w14:paraId="1C2AD594" w14:textId="77777777" w:rsidR="00383D87" w:rsidRPr="00383D87" w:rsidRDefault="00383D87" w:rsidP="00383D87">
      <w:pPr>
        <w:ind w:right="1984"/>
        <w:rPr>
          <w:rFonts w:ascii="IBM Plex Sans" w:eastAsia="IBM Plex Sans" w:hAnsi="IBM Plex Sans" w:cs="IBM Plex Sans"/>
          <w:b/>
          <w:bCs/>
          <w:sz w:val="18"/>
          <w:szCs w:val="18"/>
        </w:rPr>
      </w:pPr>
      <w:proofErr w:type="spellStart"/>
      <w:r w:rsidRPr="00383D87">
        <w:rPr>
          <w:rFonts w:ascii="IBM Plex Sans" w:eastAsia="IBM Plex Sans" w:hAnsi="IBM Plex Sans" w:cs="IBM Plex Sans"/>
          <w:b/>
          <w:bCs/>
          <w:sz w:val="18"/>
          <w:szCs w:val="18"/>
        </w:rPr>
        <w:t>Kaloyan</w:t>
      </w:r>
      <w:proofErr w:type="spellEnd"/>
      <w:r w:rsidRPr="00383D87">
        <w:rPr>
          <w:rFonts w:ascii="IBM Plex Sans" w:eastAsia="IBM Plex Sans" w:hAnsi="IBM Plex Sans" w:cs="IBM Plex Sans"/>
          <w:b/>
          <w:bCs/>
          <w:sz w:val="18"/>
          <w:szCs w:val="18"/>
        </w:rPr>
        <w:t xml:space="preserve"> </w:t>
      </w:r>
      <w:proofErr w:type="spellStart"/>
      <w:r w:rsidRPr="00383D87">
        <w:rPr>
          <w:rFonts w:ascii="IBM Plex Sans" w:eastAsia="IBM Plex Sans" w:hAnsi="IBM Plex Sans" w:cs="IBM Plex Sans"/>
          <w:b/>
          <w:bCs/>
          <w:sz w:val="18"/>
          <w:szCs w:val="18"/>
        </w:rPr>
        <w:t>Velichkov</w:t>
      </w:r>
      <w:proofErr w:type="spellEnd"/>
      <w:r w:rsidRPr="00383D87">
        <w:rPr>
          <w:rFonts w:ascii="IBM Plex Sans" w:eastAsia="IBM Plex Sans" w:hAnsi="IBM Plex Sans" w:cs="IBM Plex Sans"/>
          <w:b/>
          <w:bCs/>
          <w:sz w:val="18"/>
          <w:szCs w:val="18"/>
        </w:rPr>
        <w:t>, Gründer und CEO von SUNOTEC, sagte:</w:t>
      </w:r>
    </w:p>
    <w:p w14:paraId="32505067" w14:textId="77777777" w:rsidR="00383D87" w:rsidRPr="00383D87" w:rsidRDefault="00383D87" w:rsidP="00383D87">
      <w:pPr>
        <w:ind w:right="1984"/>
        <w:rPr>
          <w:rFonts w:ascii="IBM Plex Sans" w:eastAsia="IBM Plex Sans" w:hAnsi="IBM Plex Sans" w:cs="IBM Plex Sans"/>
          <w:sz w:val="18"/>
          <w:szCs w:val="18"/>
        </w:rPr>
      </w:pPr>
    </w:p>
    <w:p w14:paraId="4E295DC1" w14:textId="77777777" w:rsidR="00383D87" w:rsidRPr="00383D87" w:rsidRDefault="00383D87" w:rsidP="00383D87">
      <w:pPr>
        <w:ind w:right="1984"/>
        <w:rPr>
          <w:rFonts w:ascii="IBM Plex Sans" w:eastAsia="IBM Plex Sans" w:hAnsi="IBM Plex Sans" w:cs="IBM Plex Sans"/>
          <w:sz w:val="18"/>
          <w:szCs w:val="18"/>
        </w:rPr>
      </w:pPr>
      <w:r w:rsidRPr="00383D87">
        <w:rPr>
          <w:rFonts w:ascii="IBM Plex Sans" w:eastAsia="IBM Plex Sans" w:hAnsi="IBM Plex Sans" w:cs="IBM Plex Sans"/>
          <w:sz w:val="18"/>
          <w:szCs w:val="18"/>
        </w:rPr>
        <w:t xml:space="preserve">„Die Investition von Blackstone stellt einen wichtigen Meilenstein in der Entwicklung von </w:t>
      </w:r>
      <w:proofErr w:type="spellStart"/>
      <w:r w:rsidRPr="00383D87">
        <w:rPr>
          <w:rFonts w:ascii="IBM Plex Sans" w:eastAsia="IBM Plex Sans" w:hAnsi="IBM Plex Sans" w:cs="IBM Plex Sans"/>
          <w:sz w:val="18"/>
          <w:szCs w:val="18"/>
        </w:rPr>
        <w:t>Sunotec</w:t>
      </w:r>
      <w:proofErr w:type="spellEnd"/>
      <w:r w:rsidRPr="00383D87">
        <w:rPr>
          <w:rFonts w:ascii="IBM Plex Sans" w:eastAsia="IBM Plex Sans" w:hAnsi="IBM Plex Sans" w:cs="IBM Plex Sans"/>
          <w:sz w:val="18"/>
          <w:szCs w:val="18"/>
        </w:rPr>
        <w:t xml:space="preserve"> dar. In den vergangenen 13 Jahren hat unser Team durch Umsetzungskompetenz, Geschwindigkeit und einen unermüdlichen Fokus auf Ergebnisse zu einem der führenden europäischen Unternehmen im Bereich Großsolaranlagen und Energiespeicher aufgebaut. Mit Blackstone als Partner werden wir unsere Expansion in ganz Europa beschleunigen und selektiv neue Märkte </w:t>
      </w:r>
      <w:r w:rsidRPr="00383D87">
        <w:rPr>
          <w:rFonts w:ascii="IBM Plex Sans" w:eastAsia="IBM Plex Sans" w:hAnsi="IBM Plex Sans" w:cs="IBM Plex Sans"/>
          <w:sz w:val="18"/>
          <w:szCs w:val="18"/>
        </w:rPr>
        <w:lastRenderedPageBreak/>
        <w:t>erschließen. In einer Zeit, in der die Energiewende eine schnellere Umsetzung von erneuerbaren Energien, Batteriespeichern und der dazugehörigen Netzinfrastruktur erfordert, verschafft uns diese Partnerschaft zusätzliche Kapazitäten, um im großen Maßstab zu liefern.“</w:t>
      </w:r>
    </w:p>
    <w:p w14:paraId="23FE82E4" w14:textId="77777777" w:rsidR="00383D87" w:rsidRPr="00383D87" w:rsidRDefault="00383D87" w:rsidP="00383D87">
      <w:pPr>
        <w:ind w:right="1984"/>
        <w:rPr>
          <w:rFonts w:ascii="IBM Plex Sans" w:eastAsia="IBM Plex Sans" w:hAnsi="IBM Plex Sans" w:cs="IBM Plex Sans"/>
          <w:sz w:val="18"/>
          <w:szCs w:val="18"/>
        </w:rPr>
      </w:pPr>
    </w:p>
    <w:p w14:paraId="75F02D22" w14:textId="77777777" w:rsidR="00383D87" w:rsidRPr="00383D87" w:rsidRDefault="00383D87" w:rsidP="00383D87">
      <w:pPr>
        <w:ind w:right="1984"/>
        <w:rPr>
          <w:rFonts w:ascii="IBM Plex Sans" w:eastAsia="IBM Plex Sans" w:hAnsi="IBM Plex Sans" w:cs="IBM Plex Sans"/>
          <w:b/>
          <w:bCs/>
          <w:sz w:val="18"/>
          <w:szCs w:val="18"/>
          <w:lang w:val="en-GB"/>
        </w:rPr>
      </w:pPr>
      <w:r w:rsidRPr="00383D87">
        <w:rPr>
          <w:rFonts w:ascii="IBM Plex Sans" w:eastAsia="IBM Plex Sans" w:hAnsi="IBM Plex Sans" w:cs="IBM Plex Sans"/>
          <w:b/>
          <w:bCs/>
          <w:sz w:val="18"/>
          <w:szCs w:val="18"/>
          <w:lang w:val="en-GB"/>
        </w:rPr>
        <w:t xml:space="preserve">Amer Khatoun, Senior Managing Director, Blackstone Tactical Opportunities, </w:t>
      </w:r>
      <w:proofErr w:type="spellStart"/>
      <w:r w:rsidRPr="00383D87">
        <w:rPr>
          <w:rFonts w:ascii="IBM Plex Sans" w:eastAsia="IBM Plex Sans" w:hAnsi="IBM Plex Sans" w:cs="IBM Plex Sans"/>
          <w:b/>
          <w:bCs/>
          <w:sz w:val="18"/>
          <w:szCs w:val="18"/>
          <w:lang w:val="en-GB"/>
        </w:rPr>
        <w:t>sagte</w:t>
      </w:r>
      <w:proofErr w:type="spellEnd"/>
      <w:r w:rsidRPr="00383D87">
        <w:rPr>
          <w:rFonts w:ascii="IBM Plex Sans" w:eastAsia="IBM Plex Sans" w:hAnsi="IBM Plex Sans" w:cs="IBM Plex Sans"/>
          <w:b/>
          <w:bCs/>
          <w:sz w:val="18"/>
          <w:szCs w:val="18"/>
          <w:lang w:val="en-GB"/>
        </w:rPr>
        <w:t>:</w:t>
      </w:r>
    </w:p>
    <w:p w14:paraId="1A00560F" w14:textId="77777777" w:rsidR="00383D87" w:rsidRPr="00383D87" w:rsidRDefault="00383D87" w:rsidP="00383D87">
      <w:pPr>
        <w:ind w:right="1984"/>
        <w:rPr>
          <w:rFonts w:ascii="IBM Plex Sans" w:eastAsia="IBM Plex Sans" w:hAnsi="IBM Plex Sans" w:cs="IBM Plex Sans"/>
          <w:sz w:val="18"/>
          <w:szCs w:val="18"/>
          <w:lang w:val="en-GB"/>
        </w:rPr>
      </w:pPr>
    </w:p>
    <w:p w14:paraId="19F235B9" w14:textId="77777777" w:rsidR="00383D87" w:rsidRPr="00383D87" w:rsidRDefault="00383D87" w:rsidP="00383D87">
      <w:pPr>
        <w:ind w:right="1984"/>
        <w:rPr>
          <w:rFonts w:ascii="IBM Plex Sans" w:eastAsia="IBM Plex Sans" w:hAnsi="IBM Plex Sans" w:cs="IBM Plex Sans"/>
          <w:sz w:val="18"/>
          <w:szCs w:val="18"/>
        </w:rPr>
      </w:pPr>
      <w:r w:rsidRPr="00383D87">
        <w:rPr>
          <w:rFonts w:ascii="IBM Plex Sans" w:eastAsia="IBM Plex Sans" w:hAnsi="IBM Plex Sans" w:cs="IBM Plex Sans"/>
          <w:sz w:val="18"/>
          <w:szCs w:val="18"/>
        </w:rPr>
        <w:t>„</w:t>
      </w:r>
      <w:proofErr w:type="spellStart"/>
      <w:r w:rsidRPr="00383D87">
        <w:rPr>
          <w:rFonts w:ascii="IBM Plex Sans" w:eastAsia="IBM Plex Sans" w:hAnsi="IBM Plex Sans" w:cs="IBM Plex Sans"/>
          <w:sz w:val="18"/>
          <w:szCs w:val="18"/>
        </w:rPr>
        <w:t>Sunotec</w:t>
      </w:r>
      <w:proofErr w:type="spellEnd"/>
      <w:r w:rsidRPr="00383D87">
        <w:rPr>
          <w:rFonts w:ascii="IBM Plex Sans" w:eastAsia="IBM Plex Sans" w:hAnsi="IBM Plex Sans" w:cs="IBM Plex Sans"/>
          <w:sz w:val="18"/>
          <w:szCs w:val="18"/>
        </w:rPr>
        <w:t xml:space="preserve"> hat sich bei der Realisierung und dem Betrieb von Solar- und Batteriespeicherprojekten im Großmaßstab einen hervorragenden Ruf erarbeitet. Wir freuen uns sehr über die Partnerschaft mit dem Unternehmen, das seine integrierte Plattform weiter ausbaut, seinen Bestand an Betriebsanlagen erweitert und seine Kompetenzen im Bereich der Netzinfrastruktur vertieft.“</w:t>
      </w:r>
    </w:p>
    <w:p w14:paraId="7C03BD7D" w14:textId="77777777" w:rsidR="00383D87" w:rsidRPr="00383D87" w:rsidRDefault="00383D87" w:rsidP="00383D87">
      <w:pPr>
        <w:ind w:right="1984"/>
        <w:rPr>
          <w:rFonts w:ascii="IBM Plex Sans" w:eastAsia="IBM Plex Sans" w:hAnsi="IBM Plex Sans" w:cs="IBM Plex Sans"/>
          <w:sz w:val="18"/>
          <w:szCs w:val="18"/>
        </w:rPr>
      </w:pPr>
    </w:p>
    <w:p w14:paraId="368968F6" w14:textId="77777777" w:rsidR="00383D87" w:rsidRPr="00383D87" w:rsidRDefault="00383D87" w:rsidP="00383D87">
      <w:pPr>
        <w:ind w:right="1984"/>
        <w:rPr>
          <w:rFonts w:ascii="IBM Plex Sans" w:eastAsia="IBM Plex Sans" w:hAnsi="IBM Plex Sans" w:cs="IBM Plex Sans"/>
          <w:sz w:val="18"/>
          <w:szCs w:val="18"/>
        </w:rPr>
      </w:pPr>
      <w:r w:rsidRPr="00383D87">
        <w:rPr>
          <w:rFonts w:ascii="IBM Plex Sans" w:eastAsia="IBM Plex Sans" w:hAnsi="IBM Plex Sans" w:cs="IBM Plex Sans"/>
          <w:sz w:val="18"/>
          <w:szCs w:val="18"/>
        </w:rPr>
        <w:t xml:space="preserve">J.P. Morgan SE fungierte als exklusiver Finanzberater und Sole-Placement-Agent für </w:t>
      </w:r>
      <w:proofErr w:type="spellStart"/>
      <w:r w:rsidRPr="00383D87">
        <w:rPr>
          <w:rFonts w:ascii="IBM Plex Sans" w:eastAsia="IBM Plex Sans" w:hAnsi="IBM Plex Sans" w:cs="IBM Plex Sans"/>
          <w:sz w:val="18"/>
          <w:szCs w:val="18"/>
        </w:rPr>
        <w:t>Sunotec</w:t>
      </w:r>
      <w:proofErr w:type="spellEnd"/>
      <w:r w:rsidRPr="00383D87">
        <w:rPr>
          <w:rFonts w:ascii="IBM Plex Sans" w:eastAsia="IBM Plex Sans" w:hAnsi="IBM Plex Sans" w:cs="IBM Plex Sans"/>
          <w:sz w:val="18"/>
          <w:szCs w:val="18"/>
        </w:rPr>
        <w:t>, während Linklaters und DGKV als Rechtsberater tätig waren.</w:t>
      </w:r>
    </w:p>
    <w:p w14:paraId="508C6548" w14:textId="77777777" w:rsidR="00383D87" w:rsidRPr="00383D87" w:rsidRDefault="00383D87" w:rsidP="00383D87">
      <w:pPr>
        <w:ind w:right="1984"/>
        <w:rPr>
          <w:rFonts w:ascii="IBM Plex Sans" w:eastAsia="IBM Plex Sans" w:hAnsi="IBM Plex Sans" w:cs="IBM Plex Sans"/>
          <w:sz w:val="18"/>
          <w:szCs w:val="18"/>
        </w:rPr>
      </w:pPr>
    </w:p>
    <w:p w14:paraId="351652AC" w14:textId="77777777" w:rsidR="00383D87" w:rsidRPr="00383D87" w:rsidRDefault="00383D87" w:rsidP="00383D87">
      <w:pPr>
        <w:ind w:right="1984"/>
        <w:rPr>
          <w:rFonts w:ascii="IBM Plex Sans" w:eastAsia="IBM Plex Sans" w:hAnsi="IBM Plex Sans" w:cs="IBM Plex Sans"/>
          <w:sz w:val="18"/>
          <w:szCs w:val="18"/>
        </w:rPr>
      </w:pPr>
      <w:r w:rsidRPr="00383D87">
        <w:rPr>
          <w:rFonts w:ascii="IBM Plex Sans" w:eastAsia="IBM Plex Sans" w:hAnsi="IBM Plex Sans" w:cs="IBM Plex Sans"/>
          <w:sz w:val="18"/>
          <w:szCs w:val="18"/>
        </w:rPr>
        <w:t xml:space="preserve">Nomura </w:t>
      </w:r>
      <w:proofErr w:type="spellStart"/>
      <w:r w:rsidRPr="00383D87">
        <w:rPr>
          <w:rFonts w:ascii="IBM Plex Sans" w:eastAsia="IBM Plex Sans" w:hAnsi="IBM Plex Sans" w:cs="IBM Plex Sans"/>
          <w:sz w:val="18"/>
          <w:szCs w:val="18"/>
        </w:rPr>
        <w:t>Greentech</w:t>
      </w:r>
      <w:proofErr w:type="spellEnd"/>
      <w:r w:rsidRPr="00383D87">
        <w:rPr>
          <w:rFonts w:ascii="IBM Plex Sans" w:eastAsia="IBM Plex Sans" w:hAnsi="IBM Plex Sans" w:cs="IBM Plex Sans"/>
          <w:sz w:val="18"/>
          <w:szCs w:val="18"/>
        </w:rPr>
        <w:t xml:space="preserve"> fungierte als M&amp;A-Berater für Blackstone, während Kirkland &amp; Ellis LLP als Rechtsberater der Gesellschaft tätig war.</w:t>
      </w:r>
    </w:p>
    <w:p w14:paraId="346E7052" w14:textId="77777777" w:rsidR="00383D87" w:rsidRPr="00383D87" w:rsidRDefault="00383D87" w:rsidP="00383D87">
      <w:pPr>
        <w:ind w:right="1984"/>
        <w:rPr>
          <w:rFonts w:ascii="IBM Plex Sans" w:eastAsia="IBM Plex Sans" w:hAnsi="IBM Plex Sans" w:cs="IBM Plex Sans"/>
          <w:sz w:val="18"/>
          <w:szCs w:val="18"/>
        </w:rPr>
      </w:pPr>
    </w:p>
    <w:p w14:paraId="0BD7B97B" w14:textId="77777777" w:rsidR="00383D87" w:rsidRPr="00383D87" w:rsidRDefault="00383D87" w:rsidP="00383D87">
      <w:pPr>
        <w:ind w:right="1984"/>
        <w:rPr>
          <w:rFonts w:ascii="IBM Plex Sans" w:eastAsia="IBM Plex Sans" w:hAnsi="IBM Plex Sans" w:cs="IBM Plex Sans"/>
          <w:sz w:val="18"/>
          <w:szCs w:val="18"/>
        </w:rPr>
      </w:pPr>
      <w:r w:rsidRPr="00383D87">
        <w:rPr>
          <w:rFonts w:ascii="IBM Plex Sans" w:eastAsia="IBM Plex Sans" w:hAnsi="IBM Plex Sans" w:cs="IBM Plex Sans"/>
          <w:sz w:val="18"/>
          <w:szCs w:val="18"/>
        </w:rPr>
        <w:t>Die Transaktion steht unter dem Vorbehalt regulatorischer Genehmigungen und wird voraussichtlich im ersten Halbjahr 2026 abgeschlossen sein.</w:t>
      </w:r>
    </w:p>
    <w:p w14:paraId="48416726" w14:textId="77777777" w:rsidR="00383D87" w:rsidRDefault="00383D87" w:rsidP="00383D87">
      <w:pPr>
        <w:ind w:right="1984"/>
        <w:rPr>
          <w:rFonts w:ascii="IBM Plex Sans" w:eastAsia="IBM Plex Sans" w:hAnsi="IBM Plex Sans" w:cs="IBM Plex Sans"/>
          <w:sz w:val="18"/>
          <w:szCs w:val="18"/>
        </w:rPr>
      </w:pPr>
    </w:p>
    <w:p w14:paraId="220F7D42" w14:textId="77777777" w:rsidR="00425B70" w:rsidRDefault="00425B70" w:rsidP="00383D87">
      <w:pPr>
        <w:ind w:right="1984"/>
        <w:rPr>
          <w:rFonts w:ascii="IBM Plex Sans" w:eastAsia="IBM Plex Sans" w:hAnsi="IBM Plex Sans" w:cs="IBM Plex Sans"/>
          <w:sz w:val="18"/>
          <w:szCs w:val="18"/>
        </w:rPr>
      </w:pPr>
    </w:p>
    <w:p w14:paraId="0EFFFF96" w14:textId="77777777" w:rsidR="00383D87" w:rsidRPr="00383D87" w:rsidRDefault="00383D87" w:rsidP="00383D87">
      <w:pPr>
        <w:ind w:right="1984"/>
        <w:rPr>
          <w:rFonts w:ascii="IBM Plex Sans" w:eastAsia="IBM Plex Sans" w:hAnsi="IBM Plex Sans" w:cs="IBM Plex Sans"/>
          <w:sz w:val="18"/>
          <w:szCs w:val="18"/>
        </w:rPr>
      </w:pPr>
    </w:p>
    <w:p w14:paraId="2963CEFB" w14:textId="77777777" w:rsidR="00383D87" w:rsidRPr="00383D87" w:rsidRDefault="00383D87" w:rsidP="00383D87">
      <w:pPr>
        <w:ind w:right="1984"/>
        <w:rPr>
          <w:rFonts w:ascii="IBM Plex Sans" w:eastAsia="IBM Plex Sans" w:hAnsi="IBM Plex Sans" w:cs="IBM Plex Sans"/>
          <w:b/>
          <w:bCs/>
          <w:sz w:val="18"/>
          <w:szCs w:val="18"/>
        </w:rPr>
      </w:pPr>
      <w:r w:rsidRPr="00383D87">
        <w:rPr>
          <w:rFonts w:ascii="IBM Plex Sans" w:eastAsia="IBM Plex Sans" w:hAnsi="IBM Plex Sans" w:cs="IBM Plex Sans"/>
          <w:b/>
          <w:bCs/>
          <w:sz w:val="18"/>
          <w:szCs w:val="18"/>
        </w:rPr>
        <w:t>Über SUNOTEC</w:t>
      </w:r>
    </w:p>
    <w:p w14:paraId="7508405B" w14:textId="77777777" w:rsidR="00383D87" w:rsidRPr="00383D87" w:rsidRDefault="00383D87" w:rsidP="00383D87">
      <w:pPr>
        <w:ind w:right="1984"/>
        <w:rPr>
          <w:rFonts w:ascii="IBM Plex Sans" w:eastAsia="IBM Plex Sans" w:hAnsi="IBM Plex Sans" w:cs="IBM Plex Sans"/>
          <w:sz w:val="18"/>
          <w:szCs w:val="18"/>
        </w:rPr>
      </w:pPr>
    </w:p>
    <w:p w14:paraId="5899E6B5" w14:textId="77777777" w:rsidR="00383D87" w:rsidRPr="00383D87" w:rsidRDefault="00383D87" w:rsidP="00383D87">
      <w:pPr>
        <w:ind w:right="1984"/>
        <w:rPr>
          <w:rFonts w:ascii="IBM Plex Sans" w:eastAsia="IBM Plex Sans" w:hAnsi="IBM Plex Sans" w:cs="IBM Plex Sans"/>
          <w:sz w:val="18"/>
          <w:szCs w:val="18"/>
        </w:rPr>
      </w:pPr>
      <w:r w:rsidRPr="00383D87">
        <w:rPr>
          <w:rFonts w:ascii="IBM Plex Sans" w:eastAsia="IBM Plex Sans" w:hAnsi="IBM Plex Sans" w:cs="IBM Plex Sans"/>
          <w:sz w:val="18"/>
          <w:szCs w:val="18"/>
        </w:rPr>
        <w:t xml:space="preserve">SUNOTEC ist ein internationaler Systemintegrator für </w:t>
      </w:r>
      <w:proofErr w:type="spellStart"/>
      <w:r w:rsidRPr="00383D87">
        <w:rPr>
          <w:rFonts w:ascii="IBM Plex Sans" w:eastAsia="IBM Plex Sans" w:hAnsi="IBM Plex Sans" w:cs="IBM Plex Sans"/>
          <w:sz w:val="18"/>
          <w:szCs w:val="18"/>
        </w:rPr>
        <w:t>großskalige</w:t>
      </w:r>
      <w:proofErr w:type="spellEnd"/>
      <w:r w:rsidRPr="00383D87">
        <w:rPr>
          <w:rFonts w:ascii="IBM Plex Sans" w:eastAsia="IBM Plex Sans" w:hAnsi="IBM Plex Sans" w:cs="IBM Plex Sans"/>
          <w:sz w:val="18"/>
          <w:szCs w:val="18"/>
        </w:rPr>
        <w:t xml:space="preserve"> erneuerbare Energieinfrastruktur und spezialisiert auf die Planung und Umsetzung integrierter Energiesysteme. Das Unternehmen kombiniert Energieerzeugung, Speicherung, Netzinfrastruktur und Lifecycle-Expertise, um zuverlässige und zukunftsfähige Energielösungen zu schaffen.</w:t>
      </w:r>
    </w:p>
    <w:p w14:paraId="23348D24" w14:textId="77777777" w:rsidR="00383D87" w:rsidRPr="00383D87" w:rsidRDefault="00383D87" w:rsidP="00383D87">
      <w:pPr>
        <w:ind w:right="1984"/>
        <w:rPr>
          <w:rFonts w:ascii="IBM Plex Sans" w:eastAsia="IBM Plex Sans" w:hAnsi="IBM Plex Sans" w:cs="IBM Plex Sans"/>
          <w:sz w:val="18"/>
          <w:szCs w:val="18"/>
        </w:rPr>
      </w:pPr>
    </w:p>
    <w:p w14:paraId="32175A52" w14:textId="77777777" w:rsidR="00383D87" w:rsidRDefault="00383D87" w:rsidP="00383D87">
      <w:pPr>
        <w:ind w:right="1984"/>
        <w:rPr>
          <w:rFonts w:ascii="IBM Plex Sans" w:eastAsia="IBM Plex Sans" w:hAnsi="IBM Plex Sans" w:cs="IBM Plex Sans"/>
          <w:sz w:val="18"/>
          <w:szCs w:val="18"/>
        </w:rPr>
      </w:pPr>
      <w:r w:rsidRPr="00383D87">
        <w:rPr>
          <w:rFonts w:ascii="IBM Plex Sans" w:eastAsia="IBM Plex Sans" w:hAnsi="IBM Plex Sans" w:cs="IBM Plex Sans"/>
          <w:sz w:val="18"/>
          <w:szCs w:val="18"/>
        </w:rPr>
        <w:t>SUNOTEC wurde 2012 gegründet und hat mehr als 680 Photovoltaikanlagen mit über 15 Gigawatt installierter Leistung sowie 5 GWh-Batteriespeicherprojekte in Europa realisiert. Mit Hauptsitz in Sofia, Bulgarien, und weiteren Standorten in Deutschland und dem Vereinigten Königreich verbindet das Unternehmen internationale Expertise mit lokaler Umsetzungskompetenz. SUNOTEC beschäftigt weltweit über 2.000 Mitarbeitende und expandiert weiter in neue Märkte durch strategische Partnerschaften und Joint Ventures.</w:t>
      </w:r>
    </w:p>
    <w:p w14:paraId="16F99492" w14:textId="77777777" w:rsidR="00383D87" w:rsidRPr="00383D87" w:rsidRDefault="00383D87" w:rsidP="00383D87">
      <w:pPr>
        <w:ind w:right="1984"/>
        <w:rPr>
          <w:rFonts w:ascii="IBM Plex Sans" w:eastAsia="IBM Plex Sans" w:hAnsi="IBM Plex Sans" w:cs="IBM Plex Sans"/>
          <w:sz w:val="18"/>
          <w:szCs w:val="18"/>
        </w:rPr>
      </w:pPr>
    </w:p>
    <w:p w14:paraId="44F0D720" w14:textId="77777777" w:rsidR="00383D87" w:rsidRPr="00383D87" w:rsidRDefault="00383D87" w:rsidP="00383D87">
      <w:pPr>
        <w:ind w:right="1984"/>
        <w:rPr>
          <w:rFonts w:ascii="IBM Plex Sans" w:eastAsia="IBM Plex Sans" w:hAnsi="IBM Plex Sans" w:cs="IBM Plex Sans"/>
          <w:sz w:val="18"/>
          <w:szCs w:val="18"/>
        </w:rPr>
      </w:pPr>
    </w:p>
    <w:p w14:paraId="6679D092" w14:textId="77777777" w:rsidR="00383D87" w:rsidRPr="00383D87" w:rsidRDefault="00383D87" w:rsidP="00383D87">
      <w:pPr>
        <w:ind w:right="1984"/>
        <w:rPr>
          <w:rFonts w:ascii="IBM Plex Sans" w:eastAsia="IBM Plex Sans" w:hAnsi="IBM Plex Sans" w:cs="IBM Plex Sans"/>
          <w:b/>
          <w:bCs/>
          <w:sz w:val="18"/>
          <w:szCs w:val="18"/>
        </w:rPr>
      </w:pPr>
      <w:r w:rsidRPr="00383D87">
        <w:rPr>
          <w:rFonts w:ascii="IBM Plex Sans" w:eastAsia="IBM Plex Sans" w:hAnsi="IBM Plex Sans" w:cs="IBM Plex Sans"/>
          <w:b/>
          <w:bCs/>
          <w:sz w:val="18"/>
          <w:szCs w:val="18"/>
        </w:rPr>
        <w:t>Über Blackstone</w:t>
      </w:r>
    </w:p>
    <w:p w14:paraId="6A436B18" w14:textId="77777777" w:rsidR="00383D87" w:rsidRPr="00383D87" w:rsidRDefault="00383D87" w:rsidP="00383D87">
      <w:pPr>
        <w:ind w:right="1984"/>
        <w:rPr>
          <w:rFonts w:ascii="IBM Plex Sans" w:eastAsia="IBM Plex Sans" w:hAnsi="IBM Plex Sans" w:cs="IBM Plex Sans"/>
          <w:sz w:val="18"/>
          <w:szCs w:val="18"/>
        </w:rPr>
      </w:pPr>
    </w:p>
    <w:p w14:paraId="2860A801" w14:textId="377073CD" w:rsidR="009C54FE" w:rsidRPr="00383D87" w:rsidRDefault="00383D87" w:rsidP="00383D87">
      <w:pPr>
        <w:ind w:right="1984"/>
        <w:rPr>
          <w:rFonts w:ascii="IBM Plex Sans" w:hAnsi="IBM Plex Sans"/>
          <w:sz w:val="18"/>
          <w:szCs w:val="18"/>
        </w:rPr>
      </w:pPr>
      <w:r w:rsidRPr="00383D87">
        <w:rPr>
          <w:rFonts w:ascii="IBM Plex Sans" w:eastAsia="IBM Plex Sans" w:hAnsi="IBM Plex Sans" w:cs="IBM Plex Sans"/>
          <w:sz w:val="18"/>
          <w:szCs w:val="18"/>
        </w:rPr>
        <w:t xml:space="preserve">Blackstone ist der weltweit größte Alternative-Investment-Manager. Blackstone verfolgt das Ziel, attraktive Renditen für institutionelle und private Investoren zu erzielen, indem es die Firmen, in die es investiert, stärkt und weiterentwickelt. Die rund 1,3 Billionen US-Dollar verwalteten Vermögenswerte umfassen globale Anlagestrategien mit Fokus auf Immobilien, Private Equity, Kredit, Infrastruktur, Life Sciences, Growth Equity, </w:t>
      </w:r>
      <w:proofErr w:type="spellStart"/>
      <w:r w:rsidRPr="00383D87">
        <w:rPr>
          <w:rFonts w:ascii="IBM Plex Sans" w:eastAsia="IBM Plex Sans" w:hAnsi="IBM Plex Sans" w:cs="IBM Plex Sans"/>
          <w:sz w:val="18"/>
          <w:szCs w:val="18"/>
        </w:rPr>
        <w:t>Secondaries</w:t>
      </w:r>
      <w:proofErr w:type="spellEnd"/>
      <w:r w:rsidRPr="00383D87">
        <w:rPr>
          <w:rFonts w:ascii="IBM Plex Sans" w:eastAsia="IBM Plex Sans" w:hAnsi="IBM Plex Sans" w:cs="IBM Plex Sans"/>
          <w:sz w:val="18"/>
          <w:szCs w:val="18"/>
        </w:rPr>
        <w:t xml:space="preserve"> und Hedgefonds. Weitere Informationen finden Sie unter www.blackstone.com. Folgen Sie @blackstone auf LinkedIn, X (Twitter) und Instagram.</w:t>
      </w:r>
    </w:p>
    <w:p w14:paraId="1F19FDA4" w14:textId="77777777" w:rsidR="009C54FE" w:rsidRPr="00383D87" w:rsidRDefault="009C54FE">
      <w:pPr>
        <w:tabs>
          <w:tab w:val="left" w:pos="4253"/>
          <w:tab w:val="left" w:pos="4678"/>
        </w:tabs>
        <w:rPr>
          <w:rFonts w:ascii="IBM Plex Sans" w:hAnsi="IBM Plex Sans"/>
          <w:sz w:val="18"/>
          <w:szCs w:val="18"/>
        </w:rPr>
      </w:pPr>
    </w:p>
    <w:p w14:paraId="432436CC" w14:textId="77777777" w:rsidR="67135285" w:rsidRDefault="67135285" w:rsidP="67135285">
      <w:pPr>
        <w:tabs>
          <w:tab w:val="left" w:pos="4253"/>
          <w:tab w:val="left" w:pos="4678"/>
        </w:tabs>
        <w:rPr>
          <w:rFonts w:ascii="IBM Plex Sans" w:hAnsi="IBM Plex Sans"/>
          <w:sz w:val="18"/>
          <w:szCs w:val="18"/>
        </w:rPr>
      </w:pPr>
    </w:p>
    <w:p w14:paraId="18952793" w14:textId="77777777" w:rsidR="00425B70" w:rsidRPr="00383D87" w:rsidRDefault="00425B70" w:rsidP="67135285">
      <w:pPr>
        <w:tabs>
          <w:tab w:val="left" w:pos="4253"/>
          <w:tab w:val="left" w:pos="4678"/>
        </w:tabs>
        <w:rPr>
          <w:rFonts w:ascii="IBM Plex Sans" w:hAnsi="IBM Plex Sans"/>
          <w:sz w:val="18"/>
          <w:szCs w:val="18"/>
        </w:rPr>
      </w:pPr>
    </w:p>
    <w:p w14:paraId="5F570F1E" w14:textId="77777777" w:rsidR="009C54FE" w:rsidRPr="006565D3" w:rsidRDefault="00240480">
      <w:pPr>
        <w:ind w:right="1984"/>
        <w:rPr>
          <w:rFonts w:ascii="IBM Plex Sans" w:hAnsi="IBM Plex Sans"/>
          <w:b/>
          <w:bCs/>
          <w:sz w:val="18"/>
          <w:szCs w:val="18"/>
          <w:lang w:val="en-GB"/>
        </w:rPr>
      </w:pPr>
      <w:r w:rsidRPr="006565D3">
        <w:rPr>
          <w:rFonts w:ascii="IBM Plex Sans" w:hAnsi="IBM Plex Sans"/>
          <w:b/>
          <w:bCs/>
          <w:sz w:val="18"/>
          <w:szCs w:val="18"/>
          <w:lang w:val="en-GB"/>
        </w:rPr>
        <w:lastRenderedPageBreak/>
        <w:t>PRESS CONTACT</w:t>
      </w:r>
    </w:p>
    <w:p w14:paraId="29EBD807" w14:textId="77777777" w:rsidR="009C54FE" w:rsidRPr="006565D3" w:rsidRDefault="009C54FE">
      <w:pPr>
        <w:ind w:right="1984"/>
        <w:rPr>
          <w:rFonts w:ascii="IBM Plex Sans" w:hAnsi="IBM Plex Sans"/>
          <w:sz w:val="18"/>
          <w:szCs w:val="18"/>
          <w:lang w:val="en-GB"/>
        </w:rPr>
      </w:pPr>
    </w:p>
    <w:p w14:paraId="57CB4E1F" w14:textId="3196149E" w:rsidR="266AE069" w:rsidRPr="00346DE0" w:rsidRDefault="00383D87" w:rsidP="67135285">
      <w:pPr>
        <w:ind w:right="1984"/>
        <w:rPr>
          <w:rFonts w:ascii="IBM Plex Sans" w:hAnsi="IBM Plex Sans"/>
          <w:sz w:val="18"/>
          <w:szCs w:val="18"/>
          <w:lang w:val="en-ZA"/>
        </w:rPr>
      </w:pPr>
      <w:r>
        <w:rPr>
          <w:rFonts w:ascii="IBM Plex Sans" w:hAnsi="IBM Plex Sans"/>
          <w:sz w:val="18"/>
          <w:szCs w:val="18"/>
          <w:lang w:val="en-ZA"/>
        </w:rPr>
        <w:t>SUNOTEC P</w:t>
      </w:r>
      <w:r w:rsidR="008C0D17">
        <w:rPr>
          <w:rFonts w:ascii="IBM Plex Sans" w:hAnsi="IBM Plex Sans"/>
          <w:sz w:val="18"/>
          <w:szCs w:val="18"/>
          <w:lang w:val="en-ZA"/>
        </w:rPr>
        <w:t>r</w:t>
      </w:r>
      <w:r>
        <w:rPr>
          <w:rFonts w:ascii="IBM Plex Sans" w:hAnsi="IBM Plex Sans"/>
          <w:sz w:val="18"/>
          <w:szCs w:val="18"/>
          <w:lang w:val="en-ZA"/>
        </w:rPr>
        <w:t>ess</w:t>
      </w:r>
      <w:r w:rsidR="00705C2A">
        <w:rPr>
          <w:rFonts w:ascii="IBM Plex Sans" w:hAnsi="IBM Plex Sans"/>
          <w:sz w:val="18"/>
          <w:szCs w:val="18"/>
          <w:lang w:val="en-ZA"/>
        </w:rPr>
        <w:t xml:space="preserve"> Office</w:t>
      </w:r>
    </w:p>
    <w:p w14:paraId="47B1FE4C" w14:textId="60B59E40" w:rsidR="009C54FE" w:rsidRPr="006565D3" w:rsidRDefault="266AE069">
      <w:pPr>
        <w:ind w:right="1984"/>
        <w:rPr>
          <w:sz w:val="18"/>
          <w:szCs w:val="18"/>
        </w:rPr>
      </w:pPr>
      <w:proofErr w:type="spellStart"/>
      <w:r w:rsidRPr="006565D3">
        <w:rPr>
          <w:rFonts w:ascii="IBM Plex Sans" w:hAnsi="IBM Plex Sans"/>
          <w:sz w:val="18"/>
          <w:szCs w:val="18"/>
        </w:rPr>
        <w:t>E-mail</w:t>
      </w:r>
      <w:proofErr w:type="spellEnd"/>
      <w:r w:rsidRPr="006565D3">
        <w:rPr>
          <w:rFonts w:ascii="IBM Plex Sans" w:hAnsi="IBM Plex Sans"/>
          <w:sz w:val="18"/>
          <w:szCs w:val="18"/>
        </w:rPr>
        <w:t xml:space="preserve">: </w:t>
      </w:r>
      <w:hyperlink r:id="rId10" w:history="1">
        <w:r w:rsidR="006565D3" w:rsidRPr="006565D3">
          <w:rPr>
            <w:rStyle w:val="Hyperlink"/>
            <w:rFonts w:ascii="IBM Plex Sans" w:hAnsi="IBM Plex Sans"/>
            <w:sz w:val="18"/>
            <w:szCs w:val="18"/>
          </w:rPr>
          <w:t>press@sunotec-group.com</w:t>
        </w:r>
      </w:hyperlink>
    </w:p>
    <w:sectPr w:rsidR="009C54FE" w:rsidRPr="006565D3">
      <w:headerReference w:type="default" r:id="rId11"/>
      <w:footerReference w:type="default" r:id="rId12"/>
      <w:pgSz w:w="11906" w:h="16838"/>
      <w:pgMar w:top="2694" w:right="1417" w:bottom="1170" w:left="1417" w:header="1135"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9BFAD" w14:textId="77777777" w:rsidR="0076599B" w:rsidRDefault="0076599B">
      <w:r>
        <w:separator/>
      </w:r>
    </w:p>
  </w:endnote>
  <w:endnote w:type="continuationSeparator" w:id="0">
    <w:p w14:paraId="172F50AA" w14:textId="77777777" w:rsidR="0076599B" w:rsidRDefault="00765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Sans">
    <w:panose1 w:val="020B0602030504020204"/>
    <w:charset w:val="4D"/>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BM Plex Sans">
    <w:panose1 w:val="020B0503050203000203"/>
    <w:charset w:val="00"/>
    <w:family w:val="swiss"/>
    <w:pitch w:val="variable"/>
    <w:sig w:usb0="A00002EF" w:usb1="5000207B" w:usb2="00000000" w:usb3="00000000" w:csb0="0000019F"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C30B7" w14:textId="77777777" w:rsidR="009D57E0" w:rsidRDefault="009D57E0">
    <w:pPr>
      <w:pStyle w:val="scfFu1-4"/>
      <w:jc w:val="center"/>
      <w:rPr>
        <w:rFonts w:ascii="Tahoma" w:hAnsi="Tahoma" w:cs="Tahoma"/>
        <w:b/>
        <w:lang w:val="en-GB"/>
      </w:rPr>
    </w:pPr>
  </w:p>
  <w:p w14:paraId="5505DC28" w14:textId="4ABD0966" w:rsidR="67135285" w:rsidRDefault="67135285" w:rsidP="67135285">
    <w:pPr>
      <w:pStyle w:val="scfFu1-4"/>
      <w:rPr>
        <w:rFonts w:ascii="IBM Plex Sans" w:hAnsi="IBM Plex Sans" w:cs="Tahoma"/>
        <w:b/>
        <w:bCs/>
        <w:lang w:val="en-GB"/>
      </w:rPr>
    </w:pPr>
    <w:r w:rsidRPr="67135285">
      <w:rPr>
        <w:rFonts w:ascii="IBM Plex Sans" w:hAnsi="IBM Plex Sans" w:cs="Tahoma"/>
        <w:b/>
        <w:bCs/>
        <w:lang w:val="en-GB"/>
      </w:rPr>
      <w:t xml:space="preserve">SUNOTEC | </w:t>
    </w:r>
    <w:bookmarkStart w:id="0" w:name="scf_Fuss11"/>
    <w:bookmarkEnd w:id="0"/>
    <w:r w:rsidR="006565D3">
      <w:rPr>
        <w:rFonts w:ascii="IBM Plex Sans" w:hAnsi="IBM Plex Sans" w:cs="Tahoma"/>
        <w:b/>
        <w:bCs/>
        <w:lang w:val="en-GB"/>
      </w:rPr>
      <w:t>ENERGY AS A SYSTEM</w:t>
    </w:r>
  </w:p>
  <w:p w14:paraId="7900200A" w14:textId="1BBC5E11" w:rsidR="009D57E0" w:rsidRDefault="009D57E0">
    <w:pPr>
      <w:pStyle w:val="Footer"/>
      <w:jc w:val="center"/>
      <w:rPr>
        <w:rFonts w:ascii="Calibri" w:hAnsi="Calibri" w:cs="Calibri"/>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92B85" w14:textId="77777777" w:rsidR="0076599B" w:rsidRDefault="0076599B">
      <w:r>
        <w:rPr>
          <w:color w:val="000000"/>
        </w:rPr>
        <w:separator/>
      </w:r>
    </w:p>
  </w:footnote>
  <w:footnote w:type="continuationSeparator" w:id="0">
    <w:p w14:paraId="1C5610BB" w14:textId="77777777" w:rsidR="0076599B" w:rsidRDefault="00765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D4C19" w14:textId="77777777" w:rsidR="009D57E0" w:rsidRDefault="00240480">
    <w:pPr>
      <w:pStyle w:val="Header"/>
      <w:tabs>
        <w:tab w:val="clear" w:pos="4536"/>
        <w:tab w:val="center" w:pos="6120"/>
      </w:tabs>
    </w:pPr>
    <w:r>
      <w:rPr>
        <w:noProof/>
      </w:rPr>
      <w:drawing>
        <wp:anchor distT="0" distB="0" distL="114300" distR="114300" simplePos="0" relativeHeight="251658240" behindDoc="0" locked="0" layoutInCell="1" allowOverlap="1" wp14:anchorId="18068D9B" wp14:editId="4E7343DB">
          <wp:simplePos x="0" y="0"/>
          <wp:positionH relativeFrom="margin">
            <wp:posOffset>4199894</wp:posOffset>
          </wp:positionH>
          <wp:positionV relativeFrom="paragraph">
            <wp:posOffset>-255529</wp:posOffset>
          </wp:positionV>
          <wp:extent cx="1627503" cy="356231"/>
          <wp:effectExtent l="0" t="0" r="0" b="0"/>
          <wp:wrapTight wrapText="bothSides">
            <wp:wrapPolygon edited="0">
              <wp:start x="0" y="0"/>
              <wp:lineTo x="0" y="20792"/>
              <wp:lineTo x="6068" y="20792"/>
              <wp:lineTo x="21406" y="16941"/>
              <wp:lineTo x="21406" y="12321"/>
              <wp:lineTo x="20395" y="12321"/>
              <wp:lineTo x="21406" y="8471"/>
              <wp:lineTo x="21406" y="4620"/>
              <wp:lineTo x="6068" y="0"/>
              <wp:lineTo x="0" y="0"/>
            </wp:wrapPolygon>
          </wp:wrapTight>
          <wp:docPr id="1967390553" name="Picture 18309359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627503" cy="356231"/>
                  </a:xfrm>
                  <a:prstGeom prst="rect">
                    <a:avLst/>
                  </a:prstGeom>
                  <a:noFill/>
                  <a:ln>
                    <a:noFill/>
                    <a:prstDash/>
                  </a:ln>
                </pic:spPr>
              </pic:pic>
            </a:graphicData>
          </a:graphic>
        </wp:anchor>
      </w:drawing>
    </w:r>
  </w:p>
  <w:p w14:paraId="5F3D4B53" w14:textId="77777777" w:rsidR="009D57E0" w:rsidRDefault="009D57E0">
    <w:pPr>
      <w:pStyle w:val="Header"/>
      <w:tabs>
        <w:tab w:val="clear" w:pos="4536"/>
        <w:tab w:val="center" w:pos="6120"/>
      </w:tabs>
      <w:jc w:val="right"/>
      <w:rPr>
        <w:rFonts w:ascii="IBM Plex Sans" w:hAnsi="IBM Plex Sans"/>
        <w:sz w:val="16"/>
        <w:szCs w:val="16"/>
      </w:rPr>
    </w:pPr>
  </w:p>
  <w:p w14:paraId="4D7F8CBD" w14:textId="77777777" w:rsidR="009D57E0" w:rsidRDefault="00240480">
    <w:pPr>
      <w:pStyle w:val="Header"/>
      <w:tabs>
        <w:tab w:val="clear" w:pos="4536"/>
        <w:tab w:val="center" w:pos="6120"/>
      </w:tabs>
      <w:jc w:val="right"/>
    </w:pPr>
    <w:r>
      <w:rPr>
        <w:rFonts w:ascii="IBM Plex Sans" w:hAnsi="IBM Plex Sans"/>
        <w:sz w:val="16"/>
        <w:szCs w:val="16"/>
      </w:rPr>
      <w:t xml:space="preserve">Page </w:t>
    </w:r>
    <w:r>
      <w:rPr>
        <w:rFonts w:ascii="IBM Plex Sans" w:hAnsi="IBM Plex Sans"/>
        <w:sz w:val="16"/>
        <w:szCs w:val="16"/>
      </w:rPr>
      <w:fldChar w:fldCharType="begin"/>
    </w:r>
    <w:r>
      <w:rPr>
        <w:rFonts w:ascii="IBM Plex Sans" w:hAnsi="IBM Plex Sans"/>
        <w:sz w:val="16"/>
        <w:szCs w:val="16"/>
      </w:rPr>
      <w:instrText xml:space="preserve"> PAGE </w:instrText>
    </w:r>
    <w:r>
      <w:rPr>
        <w:rFonts w:ascii="IBM Plex Sans" w:hAnsi="IBM Plex Sans"/>
        <w:sz w:val="16"/>
        <w:szCs w:val="16"/>
      </w:rPr>
      <w:fldChar w:fldCharType="separate"/>
    </w:r>
    <w:r>
      <w:rPr>
        <w:rFonts w:ascii="IBM Plex Sans" w:hAnsi="IBM Plex Sans"/>
        <w:sz w:val="16"/>
        <w:szCs w:val="16"/>
      </w:rPr>
      <w:t>1</w:t>
    </w:r>
    <w:r>
      <w:rPr>
        <w:rFonts w:ascii="IBM Plex Sans" w:hAnsi="IBM Plex Sans"/>
        <w:sz w:val="16"/>
        <w:szCs w:val="16"/>
      </w:rPr>
      <w:fldChar w:fldCharType="end"/>
    </w:r>
    <w:r>
      <w:rPr>
        <w:rFonts w:ascii="IBM Plex Sans" w:hAnsi="IBM Plex Sans"/>
        <w:sz w:val="16"/>
        <w:szCs w:val="16"/>
      </w:rPr>
      <w:t>/2</w:t>
    </w:r>
  </w:p>
  <w:p w14:paraId="3147037B" w14:textId="77777777" w:rsidR="009D57E0" w:rsidRDefault="009D57E0">
    <w:pPr>
      <w:pStyle w:val="Header"/>
      <w:tabs>
        <w:tab w:val="clear" w:pos="4536"/>
        <w:tab w:val="center" w:pos="6120"/>
      </w:tabs>
      <w:jc w:val="right"/>
    </w:pPr>
  </w:p>
  <w:p w14:paraId="0C5D50D7" w14:textId="77777777" w:rsidR="009D57E0" w:rsidRDefault="00240480">
    <w:pPr>
      <w:pStyle w:val="Header"/>
      <w:tabs>
        <w:tab w:val="clear" w:pos="4536"/>
        <w:tab w:val="center" w:pos="6120"/>
      </w:tabs>
      <w:rPr>
        <w:rFonts w:ascii="IBM Plex Sans" w:hAnsi="IBM Plex Sans"/>
        <w:b/>
        <w:bCs/>
        <w:sz w:val="32"/>
        <w:szCs w:val="32"/>
      </w:rPr>
    </w:pPr>
    <w:r>
      <w:rPr>
        <w:rFonts w:ascii="IBM Plex Sans" w:hAnsi="IBM Plex Sans"/>
        <w:b/>
        <w:bCs/>
        <w:sz w:val="32"/>
        <w:szCs w:val="32"/>
      </w:rPr>
      <w:t>Press Release</w:t>
    </w:r>
  </w:p>
  <w:p w14:paraId="72F302B2" w14:textId="77777777" w:rsidR="009D57E0" w:rsidRDefault="009D57E0">
    <w:pPr>
      <w:pStyle w:val="Header"/>
      <w:tabs>
        <w:tab w:val="clear" w:pos="4536"/>
        <w:tab w:val="center" w:pos="6120"/>
      </w:tabs>
    </w:pPr>
  </w:p>
  <w:p w14:paraId="6FBB6883" w14:textId="77777777" w:rsidR="009D57E0" w:rsidRDefault="009D57E0">
    <w:pPr>
      <w:pStyle w:val="Header"/>
      <w:tabs>
        <w:tab w:val="clear" w:pos="4536"/>
        <w:tab w:val="center" w:pos="612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B2931"/>
    <w:multiLevelType w:val="hybridMultilevel"/>
    <w:tmpl w:val="855C9E1C"/>
    <w:lvl w:ilvl="0" w:tplc="305479CC">
      <w:start w:val="1"/>
      <w:numFmt w:val="bullet"/>
      <w:lvlText w:val=""/>
      <w:lvlJc w:val="left"/>
      <w:pPr>
        <w:ind w:left="720" w:hanging="360"/>
      </w:pPr>
      <w:rPr>
        <w:rFonts w:ascii="Symbol" w:hAnsi="Symbol" w:hint="default"/>
      </w:rPr>
    </w:lvl>
    <w:lvl w:ilvl="1" w:tplc="1500F360">
      <w:start w:val="1"/>
      <w:numFmt w:val="bullet"/>
      <w:lvlText w:val="o"/>
      <w:lvlJc w:val="left"/>
      <w:pPr>
        <w:ind w:left="1440" w:hanging="360"/>
      </w:pPr>
      <w:rPr>
        <w:rFonts w:ascii="Courier New" w:hAnsi="Courier New" w:hint="default"/>
      </w:rPr>
    </w:lvl>
    <w:lvl w:ilvl="2" w:tplc="5A225F68">
      <w:start w:val="1"/>
      <w:numFmt w:val="bullet"/>
      <w:lvlText w:val=""/>
      <w:lvlJc w:val="left"/>
      <w:pPr>
        <w:ind w:left="2160" w:hanging="360"/>
      </w:pPr>
      <w:rPr>
        <w:rFonts w:ascii="Wingdings" w:hAnsi="Wingdings" w:hint="default"/>
      </w:rPr>
    </w:lvl>
    <w:lvl w:ilvl="3" w:tplc="AA18F59C">
      <w:start w:val="1"/>
      <w:numFmt w:val="bullet"/>
      <w:lvlText w:val=""/>
      <w:lvlJc w:val="left"/>
      <w:pPr>
        <w:ind w:left="2880" w:hanging="360"/>
      </w:pPr>
      <w:rPr>
        <w:rFonts w:ascii="Symbol" w:hAnsi="Symbol" w:hint="default"/>
      </w:rPr>
    </w:lvl>
    <w:lvl w:ilvl="4" w:tplc="08F2754C">
      <w:start w:val="1"/>
      <w:numFmt w:val="bullet"/>
      <w:lvlText w:val="o"/>
      <w:lvlJc w:val="left"/>
      <w:pPr>
        <w:ind w:left="3600" w:hanging="360"/>
      </w:pPr>
      <w:rPr>
        <w:rFonts w:ascii="Courier New" w:hAnsi="Courier New" w:hint="default"/>
      </w:rPr>
    </w:lvl>
    <w:lvl w:ilvl="5" w:tplc="7D5C9968">
      <w:start w:val="1"/>
      <w:numFmt w:val="bullet"/>
      <w:lvlText w:val=""/>
      <w:lvlJc w:val="left"/>
      <w:pPr>
        <w:ind w:left="4320" w:hanging="360"/>
      </w:pPr>
      <w:rPr>
        <w:rFonts w:ascii="Wingdings" w:hAnsi="Wingdings" w:hint="default"/>
      </w:rPr>
    </w:lvl>
    <w:lvl w:ilvl="6" w:tplc="AD3C60B6">
      <w:start w:val="1"/>
      <w:numFmt w:val="bullet"/>
      <w:lvlText w:val=""/>
      <w:lvlJc w:val="left"/>
      <w:pPr>
        <w:ind w:left="5040" w:hanging="360"/>
      </w:pPr>
      <w:rPr>
        <w:rFonts w:ascii="Symbol" w:hAnsi="Symbol" w:hint="default"/>
      </w:rPr>
    </w:lvl>
    <w:lvl w:ilvl="7" w:tplc="A51CA5A0">
      <w:start w:val="1"/>
      <w:numFmt w:val="bullet"/>
      <w:lvlText w:val="o"/>
      <w:lvlJc w:val="left"/>
      <w:pPr>
        <w:ind w:left="5760" w:hanging="360"/>
      </w:pPr>
      <w:rPr>
        <w:rFonts w:ascii="Courier New" w:hAnsi="Courier New" w:hint="default"/>
      </w:rPr>
    </w:lvl>
    <w:lvl w:ilvl="8" w:tplc="93105B1E">
      <w:start w:val="1"/>
      <w:numFmt w:val="bullet"/>
      <w:lvlText w:val=""/>
      <w:lvlJc w:val="left"/>
      <w:pPr>
        <w:ind w:left="6480" w:hanging="360"/>
      </w:pPr>
      <w:rPr>
        <w:rFonts w:ascii="Wingdings" w:hAnsi="Wingdings" w:hint="default"/>
      </w:rPr>
    </w:lvl>
  </w:abstractNum>
  <w:num w:numId="1" w16cid:durableId="2112625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attachedTemplate r:id="rId1"/>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4E4"/>
    <w:rsid w:val="00017C18"/>
    <w:rsid w:val="0011792A"/>
    <w:rsid w:val="0019411C"/>
    <w:rsid w:val="001A2D2A"/>
    <w:rsid w:val="00240480"/>
    <w:rsid w:val="003444E4"/>
    <w:rsid w:val="00346DE0"/>
    <w:rsid w:val="00383D87"/>
    <w:rsid w:val="003866A5"/>
    <w:rsid w:val="00425B70"/>
    <w:rsid w:val="004A1607"/>
    <w:rsid w:val="004B17BD"/>
    <w:rsid w:val="006565D3"/>
    <w:rsid w:val="00705C2A"/>
    <w:rsid w:val="0076599B"/>
    <w:rsid w:val="00831404"/>
    <w:rsid w:val="008B950E"/>
    <w:rsid w:val="008C0D17"/>
    <w:rsid w:val="008F1875"/>
    <w:rsid w:val="009C54FE"/>
    <w:rsid w:val="009D57E0"/>
    <w:rsid w:val="00A17150"/>
    <w:rsid w:val="00C535F7"/>
    <w:rsid w:val="00D91500"/>
    <w:rsid w:val="00E17865"/>
    <w:rsid w:val="00ED28F8"/>
    <w:rsid w:val="00FE1E17"/>
    <w:rsid w:val="018EBF59"/>
    <w:rsid w:val="018FA779"/>
    <w:rsid w:val="01BEE667"/>
    <w:rsid w:val="030F753D"/>
    <w:rsid w:val="04A31482"/>
    <w:rsid w:val="0575DBA3"/>
    <w:rsid w:val="07C026EE"/>
    <w:rsid w:val="0AC65FB2"/>
    <w:rsid w:val="0D5111C5"/>
    <w:rsid w:val="0F3EAA3D"/>
    <w:rsid w:val="109FA23B"/>
    <w:rsid w:val="10C2F055"/>
    <w:rsid w:val="16B402E2"/>
    <w:rsid w:val="17452970"/>
    <w:rsid w:val="1862B070"/>
    <w:rsid w:val="18DBA5BB"/>
    <w:rsid w:val="1AF5C12A"/>
    <w:rsid w:val="1B07F0D7"/>
    <w:rsid w:val="1BA7AF39"/>
    <w:rsid w:val="1BBE71F2"/>
    <w:rsid w:val="1C0C4489"/>
    <w:rsid w:val="1DBDA5AE"/>
    <w:rsid w:val="1DF83672"/>
    <w:rsid w:val="20695601"/>
    <w:rsid w:val="207E6F0D"/>
    <w:rsid w:val="22C3F094"/>
    <w:rsid w:val="22DB75E0"/>
    <w:rsid w:val="23537DE6"/>
    <w:rsid w:val="266AE069"/>
    <w:rsid w:val="2733609D"/>
    <w:rsid w:val="276D4193"/>
    <w:rsid w:val="27708CC8"/>
    <w:rsid w:val="29CE0EC9"/>
    <w:rsid w:val="2C5E2889"/>
    <w:rsid w:val="2EB7A6D4"/>
    <w:rsid w:val="304AE03F"/>
    <w:rsid w:val="31527A32"/>
    <w:rsid w:val="316DC1AF"/>
    <w:rsid w:val="33131DC2"/>
    <w:rsid w:val="335F99FC"/>
    <w:rsid w:val="361C2D45"/>
    <w:rsid w:val="3730A46B"/>
    <w:rsid w:val="373E96D6"/>
    <w:rsid w:val="3844FE18"/>
    <w:rsid w:val="3B9E64B8"/>
    <w:rsid w:val="3D427A02"/>
    <w:rsid w:val="3D78AFC2"/>
    <w:rsid w:val="3DC538E8"/>
    <w:rsid w:val="42C3F5C9"/>
    <w:rsid w:val="447FEC1C"/>
    <w:rsid w:val="45F7EDE7"/>
    <w:rsid w:val="464E7EAB"/>
    <w:rsid w:val="49E67DAC"/>
    <w:rsid w:val="49FB4222"/>
    <w:rsid w:val="4B9541AC"/>
    <w:rsid w:val="4B9D138E"/>
    <w:rsid w:val="4E0CCD44"/>
    <w:rsid w:val="4FF44C1F"/>
    <w:rsid w:val="50B2DB67"/>
    <w:rsid w:val="5135A94C"/>
    <w:rsid w:val="5543B26D"/>
    <w:rsid w:val="5674AA0D"/>
    <w:rsid w:val="5D30D34B"/>
    <w:rsid w:val="63EFA440"/>
    <w:rsid w:val="650276BB"/>
    <w:rsid w:val="6625245C"/>
    <w:rsid w:val="67135285"/>
    <w:rsid w:val="68EFFB3A"/>
    <w:rsid w:val="69BCA86F"/>
    <w:rsid w:val="6A60B2DF"/>
    <w:rsid w:val="6C015EF6"/>
    <w:rsid w:val="6EFD0815"/>
    <w:rsid w:val="6FBC7204"/>
    <w:rsid w:val="70D20596"/>
    <w:rsid w:val="71ACAB2B"/>
    <w:rsid w:val="746D4AE2"/>
    <w:rsid w:val="748BF0FF"/>
    <w:rsid w:val="76442E16"/>
    <w:rsid w:val="777A8F17"/>
    <w:rsid w:val="778C2258"/>
    <w:rsid w:val="79AEFF49"/>
    <w:rsid w:val="7C4AA4A2"/>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3EE25"/>
  <w15:docId w15:val="{06A953EB-F9D8-CA44-BA01-76B746F59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ucida Sans" w:hAnsi="Lucida Sans"/>
    </w:rPr>
  </w:style>
  <w:style w:type="paragraph" w:styleId="Heading1">
    <w:name w:val="heading 1"/>
    <w:basedOn w:val="Normal"/>
    <w:next w:val="Normal"/>
    <w:uiPriority w:val="9"/>
    <w:qFormat/>
    <w:pPr>
      <w:keepNext/>
      <w:keepLines/>
      <w:spacing w:before="240"/>
      <w:outlineLvl w:val="0"/>
    </w:pPr>
    <w:rPr>
      <w:rFonts w:ascii="Cambria" w:eastAsia="MS Gothic" w:hAnsi="Cambria"/>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rPr>
      <w:rFonts w:ascii="Tahoma" w:hAnsi="Tahoma" w:cs="Tahoma"/>
      <w:sz w:val="16"/>
      <w:szCs w:val="16"/>
    </w:rPr>
  </w:style>
  <w:style w:type="character" w:customStyle="1" w:styleId="FooterChar">
    <w:name w:val="Footer Char"/>
    <w:rPr>
      <w:rFonts w:ascii="Lucida Sans" w:hAnsi="Lucida Sans"/>
    </w:rPr>
  </w:style>
  <w:style w:type="paragraph" w:styleId="ListParagraph">
    <w:name w:val="List Paragraph"/>
    <w:basedOn w:val="Normal"/>
    <w:pPr>
      <w:ind w:left="720"/>
    </w:pPr>
  </w:style>
  <w:style w:type="paragraph" w:customStyle="1" w:styleId="scfFu1-4">
    <w:name w:val="scfFuß1-4"/>
    <w:basedOn w:val="Normal"/>
    <w:pPr>
      <w:spacing w:line="160" w:lineRule="exact"/>
    </w:pPr>
    <w:rPr>
      <w:rFonts w:ascii="Arial" w:hAnsi="Arial"/>
      <w:sz w:val="14"/>
      <w:lang w:val="en-US"/>
    </w:rPr>
  </w:style>
  <w:style w:type="character" w:customStyle="1" w:styleId="Heading1Char">
    <w:name w:val="Heading 1 Char"/>
    <w:basedOn w:val="DefaultParagraphFont"/>
    <w:rPr>
      <w:rFonts w:ascii="Cambria" w:eastAsia="MS Gothic" w:hAnsi="Cambria" w:cs="Times New Roman"/>
      <w:color w:val="365F91"/>
      <w:sz w:val="32"/>
      <w:szCs w:val="32"/>
    </w:rPr>
  </w:style>
  <w:style w:type="character" w:styleId="Emphasis">
    <w:name w:val="Emphasis"/>
    <w:basedOn w:val="DefaultParagraphFont"/>
    <w:uiPriority w:val="20"/>
    <w:qFormat/>
    <w:rPr>
      <w:i/>
      <w:iCs/>
    </w:rPr>
  </w:style>
  <w:style w:type="paragraph" w:styleId="EndnoteText">
    <w:name w:val="endnote text"/>
    <w:basedOn w:val="Normal"/>
  </w:style>
  <w:style w:type="character" w:customStyle="1" w:styleId="EndnoteTextChar">
    <w:name w:val="Endnote Text Char"/>
    <w:basedOn w:val="DefaultParagraphFont"/>
    <w:rPr>
      <w:rFonts w:ascii="Lucida Sans" w:hAnsi="Lucida Sans"/>
    </w:rPr>
  </w:style>
  <w:style w:type="character" w:styleId="EndnoteReference">
    <w:name w:val="endnote reference"/>
    <w:basedOn w:val="DefaultParagraphFont"/>
    <w:rPr>
      <w:position w:val="0"/>
      <w:vertAlign w:val="superscript"/>
    </w:rPr>
  </w:style>
  <w:style w:type="character" w:styleId="UnresolvedMention">
    <w:name w:val="Unresolved Mention"/>
    <w:basedOn w:val="DefaultParagraphFont"/>
    <w:rPr>
      <w:color w:val="605E5C"/>
      <w:shd w:val="clear" w:color="auto" w:fill="E1DFDD"/>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rFonts w:ascii="Lucida Sans" w:hAnsi="Lucida San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Lucida Sans" w:hAnsi="Lucida Sans"/>
      <w:b/>
      <w:bCs/>
    </w:rPr>
  </w:style>
  <w:style w:type="paragraph" w:styleId="Revision">
    <w:name w:val="Revision"/>
    <w:pPr>
      <w:suppressAutoHyphens/>
    </w:pPr>
    <w:rPr>
      <w:rFonts w:ascii="Lucida Sans" w:hAnsi="Lucida Sans"/>
    </w:rPr>
  </w:style>
  <w:style w:type="paragraph" w:styleId="FootnoteText">
    <w:name w:val="footnote text"/>
    <w:basedOn w:val="Normal"/>
  </w:style>
  <w:style w:type="character" w:customStyle="1" w:styleId="FootnoteTextChar">
    <w:name w:val="Footnote Text Char"/>
    <w:basedOn w:val="DefaultParagraphFont"/>
    <w:rPr>
      <w:rFonts w:ascii="Lucida Sans" w:hAnsi="Lucida Sans"/>
    </w:rPr>
  </w:style>
  <w:style w:type="character" w:styleId="FootnoteReference">
    <w:name w:val="footnote reference"/>
    <w:basedOn w:val="DefaultParagraphFont"/>
    <w:rPr>
      <w:position w:val="0"/>
      <w:vertAlign w:val="superscript"/>
    </w:rPr>
  </w:style>
  <w:style w:type="character" w:customStyle="1" w:styleId="HeaderChar">
    <w:name w:val="Header Char"/>
    <w:basedOn w:val="DefaultParagraphFont"/>
    <w:rPr>
      <w:rFonts w:ascii="Lucida Sans" w:hAnsi="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ress@sunotec-group.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nabelsuchland1/Downloads/PR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4261A982303C4587467DABFC30E8C4" ma:contentTypeVersion="16" ma:contentTypeDescription="Create a new document." ma:contentTypeScope="" ma:versionID="8fd6be318a923463b75ea24063d80b04">
  <xsd:schema xmlns:xsd="http://www.w3.org/2001/XMLSchema" xmlns:xs="http://www.w3.org/2001/XMLSchema" xmlns:p="http://schemas.microsoft.com/office/2006/metadata/properties" xmlns:ns2="2a9ab623-0bb2-4654-8a54-a50fb8a5f838" xmlns:ns3="4e5f8c8b-0b8f-4823-98c9-0093b1e74204" targetNamespace="http://schemas.microsoft.com/office/2006/metadata/properties" ma:root="true" ma:fieldsID="32a453b2f37028280885c466e366bc66" ns2:_="" ns3:_="">
    <xsd:import namespace="2a9ab623-0bb2-4654-8a54-a50fb8a5f838"/>
    <xsd:import namespace="4e5f8c8b-0b8f-4823-98c9-0093b1e742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9ab623-0bb2-4654-8a54-a50fb8a5f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0e0357d-4383-42a7-b419-904d389272e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5f8c8b-0b8f-4823-98c9-0093b1e7420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c9e13c-6115-4a25-8fb2-4aac544c17d5}" ma:internalName="TaxCatchAll" ma:showField="CatchAllData" ma:web="4e5f8c8b-0b8f-4823-98c9-0093b1e742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9ab623-0bb2-4654-8a54-a50fb8a5f838">
      <Terms xmlns="http://schemas.microsoft.com/office/infopath/2007/PartnerControls"/>
    </lcf76f155ced4ddcb4097134ff3c332f>
    <TaxCatchAll xmlns="4e5f8c8b-0b8f-4823-98c9-0093b1e74204" xsi:nil="true"/>
  </documentManagement>
</p:properties>
</file>

<file path=customXml/itemProps1.xml><?xml version="1.0" encoding="utf-8"?>
<ds:datastoreItem xmlns:ds="http://schemas.openxmlformats.org/officeDocument/2006/customXml" ds:itemID="{52C055E5-F5B3-487E-87B1-2BA9B867B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9ab623-0bb2-4654-8a54-a50fb8a5f838"/>
    <ds:schemaRef ds:uri="4e5f8c8b-0b8f-4823-98c9-0093b1e74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F03B24-03FF-403B-9F8C-50A4E533B47D}">
  <ds:schemaRefs>
    <ds:schemaRef ds:uri="http://schemas.microsoft.com/sharepoint/v3/contenttype/forms"/>
  </ds:schemaRefs>
</ds:datastoreItem>
</file>

<file path=customXml/itemProps3.xml><?xml version="1.0" encoding="utf-8"?>
<ds:datastoreItem xmlns:ds="http://schemas.openxmlformats.org/officeDocument/2006/customXml" ds:itemID="{574DCB69-2F67-49DA-8063-9AC765DBC9C7}">
  <ds:schemaRefs>
    <ds:schemaRef ds:uri="http://schemas.microsoft.com/office/2006/metadata/properties"/>
    <ds:schemaRef ds:uri="http://schemas.microsoft.com/office/infopath/2007/PartnerControls"/>
    <ds:schemaRef ds:uri="2a9ab623-0bb2-4654-8a54-a50fb8a5f838"/>
    <ds:schemaRef ds:uri="4e5f8c8b-0b8f-4823-98c9-0093b1e74204"/>
  </ds:schemaRefs>
</ds:datastoreItem>
</file>

<file path=docProps/app.xml><?xml version="1.0" encoding="utf-8"?>
<Properties xmlns="http://schemas.openxmlformats.org/officeDocument/2006/extended-properties" xmlns:vt="http://schemas.openxmlformats.org/officeDocument/2006/docPropsVTypes">
  <Template>TEMPLATE.dotx</Template>
  <TotalTime>0</TotalTime>
  <Pages>3</Pages>
  <Words>839</Words>
  <Characters>4787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Annabel Suchland | Sunotec-Group</cp:lastModifiedBy>
  <cp:revision>4</cp:revision>
  <dcterms:created xsi:type="dcterms:W3CDTF">2026-04-06T11:15:00Z</dcterms:created>
  <dcterms:modified xsi:type="dcterms:W3CDTF">2026-04-07T05:42:00Z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0x010100DC4261A982303C4587467DABFC30E8C4</vt:lpwstr>
  </property>
  <property fmtid="{D5CDD505-2E9C-101B-9397-08002B2CF9AE}" pid="3" name="Order">
    <vt:r8>137800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