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088" w:rsidRDefault="007744B6">
      <w:pPr>
        <w:pStyle w:val="Rubrik1"/>
      </w:pPr>
      <w:bookmarkStart w:id="0" w:name="_GoBack"/>
      <w:bookmarkEnd w:id="0"/>
      <w:r>
        <w:t>Veckans m</w:t>
      </w:r>
      <w:r w:rsidR="00A52189">
        <w:t>arknadskommentar 2016-</w:t>
      </w:r>
      <w:r w:rsidR="00F5493F">
        <w:t>1</w:t>
      </w:r>
      <w:r w:rsidR="00C80C72">
        <w:t>1-03</w:t>
      </w:r>
    </w:p>
    <w:p w:rsidR="00A93612" w:rsidRPr="00A93612" w:rsidRDefault="00C80C72" w:rsidP="00A93612">
      <w:pPr>
        <w:pStyle w:val="Solidar-Huvudrubrik"/>
      </w:pPr>
      <w:r>
        <w:t>I väntan på det amerikanska presidentvalet som nu går in på sin sista vecka</w:t>
      </w:r>
    </w:p>
    <w:p w:rsidR="00C80C72" w:rsidRPr="00C80C72" w:rsidRDefault="00A93612" w:rsidP="00C80C72">
      <w:pPr>
        <w:pStyle w:val="Brdtext"/>
        <w:rPr>
          <w:i/>
        </w:rPr>
      </w:pPr>
      <w:r>
        <w:rPr>
          <w:i/>
        </w:rPr>
        <w:br/>
      </w:r>
      <w:r w:rsidR="00C80C72" w:rsidRPr="00C80C72">
        <w:rPr>
          <w:i/>
        </w:rPr>
        <w:t xml:space="preserve">Nu är det valspurt inför det amerikanska </w:t>
      </w:r>
      <w:r w:rsidR="00C80C72">
        <w:rPr>
          <w:i/>
        </w:rPr>
        <w:t>president</w:t>
      </w:r>
      <w:r w:rsidR="00C80C72" w:rsidRPr="00C80C72">
        <w:rPr>
          <w:i/>
        </w:rPr>
        <w:t xml:space="preserve">valet som går av stapeln den 8 november. Marknaden väntar och spänningen är </w:t>
      </w:r>
      <w:r w:rsidR="00E54E05">
        <w:rPr>
          <w:i/>
        </w:rPr>
        <w:t xml:space="preserve">enorm. </w:t>
      </w:r>
      <w:r w:rsidR="00C80C72">
        <w:rPr>
          <w:i/>
        </w:rPr>
        <w:t>Rörelsen på akti</w:t>
      </w:r>
      <w:r w:rsidR="00E54E05">
        <w:rPr>
          <w:i/>
        </w:rPr>
        <w:t>emarknaderna har inte varit stor denna vecka</w:t>
      </w:r>
      <w:r w:rsidR="00C80C72">
        <w:rPr>
          <w:i/>
        </w:rPr>
        <w:t>.</w:t>
      </w:r>
    </w:p>
    <w:p w:rsidR="00DB2927" w:rsidRPr="00DB2927" w:rsidRDefault="00DB2927" w:rsidP="00C80C72">
      <w:pPr>
        <w:pStyle w:val="Brdtext"/>
        <w:rPr>
          <w:b/>
        </w:rPr>
      </w:pPr>
      <w:r>
        <w:rPr>
          <w:b/>
        </w:rPr>
        <w:t>Amerikanska presidentvalet i fokus och l</w:t>
      </w:r>
      <w:r w:rsidRPr="00DB2927">
        <w:rPr>
          <w:b/>
        </w:rPr>
        <w:t>åg aktivitet på aktiemarknade</w:t>
      </w:r>
      <w:r>
        <w:rPr>
          <w:b/>
        </w:rPr>
        <w:t>rna</w:t>
      </w:r>
    </w:p>
    <w:p w:rsidR="00C80C72" w:rsidRDefault="00C80C72" w:rsidP="00C80C72">
      <w:pPr>
        <w:pStyle w:val="Brdtext"/>
      </w:pPr>
      <w:r>
        <w:t xml:space="preserve">Det </w:t>
      </w:r>
      <w:r w:rsidR="00DB2927">
        <w:t xml:space="preserve">amerikanska valet dominerar medieflödet och det </w:t>
      </w:r>
      <w:r>
        <w:t xml:space="preserve">är otroligt svårt att sia om valresultatet. </w:t>
      </w:r>
      <w:r w:rsidRPr="00C80C72">
        <w:t>Opinionsundersökningarna</w:t>
      </w:r>
      <w:r w:rsidR="00DB2927">
        <w:t xml:space="preserve"> </w:t>
      </w:r>
      <w:r w:rsidRPr="00C80C72">
        <w:t xml:space="preserve">pekar fortsatt på en seger för Hillary Clinton men avståndet har </w:t>
      </w:r>
      <w:r>
        <w:t>krympt påtagligt sista veckan</w:t>
      </w:r>
      <w:r w:rsidR="00DB2927">
        <w:t>, och frågan är om man kan lita på opinionsundersökningarna?</w:t>
      </w:r>
      <w:r>
        <w:t xml:space="preserve"> </w:t>
      </w:r>
      <w:r w:rsidRPr="00C80C72">
        <w:t>Valet verkar ligga som en våt filt över marknaderna och rörelserna har inte varit stora på akti</w:t>
      </w:r>
      <w:r>
        <w:t>emarknaderna den senaste tiden.</w:t>
      </w:r>
    </w:p>
    <w:p w:rsidR="00DB2927" w:rsidRPr="00DB2927" w:rsidRDefault="00DB2927" w:rsidP="00C80C72">
      <w:pPr>
        <w:pStyle w:val="Brdtext"/>
        <w:rPr>
          <w:b/>
        </w:rPr>
      </w:pPr>
      <w:r w:rsidRPr="00DB2927">
        <w:rPr>
          <w:b/>
        </w:rPr>
        <w:t>Svenska kronan har fortsatt att försvagas</w:t>
      </w:r>
    </w:p>
    <w:p w:rsidR="00C80C72" w:rsidRPr="00C80C72" w:rsidRDefault="00C80C72" w:rsidP="00C80C72">
      <w:pPr>
        <w:pStyle w:val="Brdtext"/>
      </w:pPr>
      <w:r w:rsidRPr="00C80C72">
        <w:t>I valutamarknaden har den amerikanska dollarn, USD, fortsatt att stärkas. Den svenska kronan har fortsatt att försvagas i skenet av lägre inflationssiffror än väntat. Enligt Riksbankschefen Stefan Ingves är ” Sannolikheten större för en räntesänkning än en höjning” Från botten i maj så har kronan försvagats med nära 12</w:t>
      </w:r>
      <w:r w:rsidR="00DB2927">
        <w:t xml:space="preserve"> procent</w:t>
      </w:r>
      <w:r w:rsidRPr="00C80C72">
        <w:t xml:space="preserve"> till dags dato.</w:t>
      </w:r>
    </w:p>
    <w:p w:rsidR="00DB2927" w:rsidRPr="00DB2927" w:rsidRDefault="00DB2927" w:rsidP="00C80C72">
      <w:pPr>
        <w:spacing w:line="276" w:lineRule="auto"/>
        <w:rPr>
          <w:rFonts w:ascii="Georgia" w:hAnsi="Georgia"/>
          <w:b/>
          <w:sz w:val="22"/>
          <w:szCs w:val="22"/>
        </w:rPr>
      </w:pPr>
      <w:r w:rsidRPr="00DB2927">
        <w:rPr>
          <w:rFonts w:ascii="Georgia" w:hAnsi="Georgia"/>
          <w:b/>
          <w:sz w:val="22"/>
          <w:szCs w:val="22"/>
        </w:rPr>
        <w:t>Ekonomiska statistiken</w:t>
      </w:r>
    </w:p>
    <w:p w:rsidR="00C80C72" w:rsidRDefault="00C80C72" w:rsidP="00C80C72">
      <w:pPr>
        <w:spacing w:line="276" w:lineRule="auto"/>
        <w:rPr>
          <w:rFonts w:ascii="Georgia" w:hAnsi="Georgia"/>
          <w:sz w:val="22"/>
          <w:szCs w:val="22"/>
        </w:rPr>
      </w:pPr>
      <w:r w:rsidRPr="00C80C72">
        <w:rPr>
          <w:rFonts w:ascii="Georgia" w:hAnsi="Georgia"/>
          <w:sz w:val="22"/>
          <w:szCs w:val="22"/>
        </w:rPr>
        <w:t>Den ekonomiska statistiken har varit omfattande under veckan som gått.</w:t>
      </w:r>
      <w:r w:rsidR="00DB2927">
        <w:rPr>
          <w:rFonts w:ascii="Georgia" w:hAnsi="Georgia"/>
          <w:sz w:val="22"/>
          <w:szCs w:val="22"/>
        </w:rPr>
        <w:t xml:space="preserve"> Ekonomiska och monetära unionen (EMU) </w:t>
      </w:r>
      <w:r w:rsidRPr="00C80C72">
        <w:rPr>
          <w:rFonts w:ascii="Georgia" w:hAnsi="Georgia"/>
          <w:sz w:val="22"/>
          <w:szCs w:val="22"/>
        </w:rPr>
        <w:t>området växte med 0,5</w:t>
      </w:r>
      <w:r w:rsidR="00DB2927">
        <w:rPr>
          <w:rFonts w:ascii="Georgia" w:hAnsi="Georgia"/>
          <w:sz w:val="22"/>
          <w:szCs w:val="22"/>
        </w:rPr>
        <w:t xml:space="preserve"> procent</w:t>
      </w:r>
      <w:r w:rsidRPr="00C80C72">
        <w:rPr>
          <w:rFonts w:ascii="Georgia" w:hAnsi="Georgia"/>
          <w:sz w:val="22"/>
          <w:szCs w:val="22"/>
        </w:rPr>
        <w:t xml:space="preserve"> under det tredje kvartalet </w:t>
      </w:r>
      <w:r w:rsidR="00DB2927">
        <w:rPr>
          <w:rFonts w:ascii="Georgia" w:hAnsi="Georgia"/>
          <w:sz w:val="22"/>
          <w:szCs w:val="22"/>
        </w:rPr>
        <w:t xml:space="preserve">2016 </w:t>
      </w:r>
      <w:r w:rsidRPr="00C80C72">
        <w:rPr>
          <w:rFonts w:ascii="Georgia" w:hAnsi="Georgia"/>
          <w:sz w:val="22"/>
          <w:szCs w:val="22"/>
        </w:rPr>
        <w:t xml:space="preserve">och den amerikanska ekonomin </w:t>
      </w:r>
      <w:r w:rsidR="00DB2927">
        <w:rPr>
          <w:rFonts w:ascii="Georgia" w:hAnsi="Georgia"/>
          <w:sz w:val="22"/>
          <w:szCs w:val="22"/>
        </w:rPr>
        <w:t xml:space="preserve">växte </w:t>
      </w:r>
      <w:r w:rsidRPr="00C80C72">
        <w:rPr>
          <w:rFonts w:ascii="Georgia" w:hAnsi="Georgia"/>
          <w:sz w:val="22"/>
          <w:szCs w:val="22"/>
        </w:rPr>
        <w:t>med 2,9</w:t>
      </w:r>
      <w:r w:rsidR="00DB2927">
        <w:rPr>
          <w:rFonts w:ascii="Georgia" w:hAnsi="Georgia"/>
          <w:sz w:val="22"/>
          <w:szCs w:val="22"/>
        </w:rPr>
        <w:t xml:space="preserve"> procent. </w:t>
      </w:r>
      <w:r w:rsidRPr="00C80C72">
        <w:rPr>
          <w:rFonts w:ascii="Georgia" w:hAnsi="Georgia"/>
          <w:sz w:val="22"/>
          <w:szCs w:val="22"/>
        </w:rPr>
        <w:t>Inköpschefsindex</w:t>
      </w:r>
      <w:r w:rsidR="00DB2927">
        <w:rPr>
          <w:rFonts w:ascii="Georgia" w:hAnsi="Georgia"/>
          <w:sz w:val="22"/>
          <w:szCs w:val="22"/>
        </w:rPr>
        <w:t>,</w:t>
      </w:r>
      <w:r w:rsidRPr="00C80C72">
        <w:rPr>
          <w:rFonts w:ascii="Georgia" w:hAnsi="Georgia"/>
          <w:sz w:val="22"/>
          <w:szCs w:val="22"/>
        </w:rPr>
        <w:t xml:space="preserve"> det så kallade</w:t>
      </w:r>
      <w:r w:rsidR="00DB2927">
        <w:rPr>
          <w:rFonts w:ascii="Georgia" w:hAnsi="Georgia"/>
          <w:sz w:val="22"/>
          <w:szCs w:val="22"/>
        </w:rPr>
        <w:t xml:space="preserve"> PMI, </w:t>
      </w:r>
      <w:r w:rsidRPr="00C80C72">
        <w:rPr>
          <w:rFonts w:ascii="Georgia" w:hAnsi="Georgia"/>
          <w:sz w:val="22"/>
          <w:szCs w:val="22"/>
        </w:rPr>
        <w:t xml:space="preserve">visar på bättre siffror både i Kina, Europa, Sverige, Japan samt USA. </w:t>
      </w:r>
      <w:proofErr w:type="spellStart"/>
      <w:r w:rsidRPr="00C80C72">
        <w:rPr>
          <w:rFonts w:ascii="Georgia" w:hAnsi="Georgia"/>
          <w:sz w:val="22"/>
          <w:szCs w:val="22"/>
        </w:rPr>
        <w:t>Solidars</w:t>
      </w:r>
      <w:proofErr w:type="spellEnd"/>
      <w:r w:rsidRPr="00C80C72">
        <w:rPr>
          <w:rFonts w:ascii="Georgia" w:hAnsi="Georgia"/>
          <w:sz w:val="22"/>
          <w:szCs w:val="22"/>
        </w:rPr>
        <w:t xml:space="preserve"> analys har gett vid handen att vi ska få se bättre siffror under det andra halvåret när de negativa effekterna av oljeprisfallet och den starka amerikanska dollarn börjar klinga av. Just nu ser det ut att infrias. Oljepriset har dock fallit tillbaka senaste dagarna sedan OPEC verkar ha svårt att hålla i produktionsbegränsningar.</w:t>
      </w:r>
    </w:p>
    <w:p w:rsidR="00DB2927" w:rsidRPr="00C80C72" w:rsidRDefault="00DB2927" w:rsidP="00C80C72">
      <w:pPr>
        <w:spacing w:line="276" w:lineRule="auto"/>
        <w:rPr>
          <w:rFonts w:ascii="Georgia" w:hAnsi="Georgia"/>
          <w:sz w:val="22"/>
          <w:szCs w:val="22"/>
        </w:rPr>
      </w:pPr>
    </w:p>
    <w:p w:rsidR="00DB2927" w:rsidRPr="00DB2927" w:rsidRDefault="005E0415" w:rsidP="00C80C72">
      <w:pPr>
        <w:spacing w:line="276" w:lineRule="auto"/>
        <w:rPr>
          <w:rFonts w:ascii="Georgia" w:hAnsi="Georgia"/>
          <w:b/>
          <w:sz w:val="22"/>
          <w:szCs w:val="22"/>
        </w:rPr>
      </w:pPr>
      <w:r>
        <w:rPr>
          <w:rFonts w:ascii="Georgia" w:hAnsi="Georgia"/>
          <w:b/>
          <w:sz w:val="22"/>
          <w:szCs w:val="22"/>
        </w:rPr>
        <w:t>Solidar bevakar utvecklingen kring v</w:t>
      </w:r>
      <w:r w:rsidR="00C80C72" w:rsidRPr="00DB2927">
        <w:rPr>
          <w:rFonts w:ascii="Georgia" w:hAnsi="Georgia"/>
          <w:b/>
          <w:sz w:val="22"/>
          <w:szCs w:val="22"/>
        </w:rPr>
        <w:t xml:space="preserve">em </w:t>
      </w:r>
      <w:r>
        <w:rPr>
          <w:rFonts w:ascii="Georgia" w:hAnsi="Georgia"/>
          <w:b/>
          <w:sz w:val="22"/>
          <w:szCs w:val="22"/>
        </w:rPr>
        <w:t xml:space="preserve">som </w:t>
      </w:r>
      <w:r w:rsidR="00C80C72" w:rsidRPr="00DB2927">
        <w:rPr>
          <w:rFonts w:ascii="Georgia" w:hAnsi="Georgia"/>
          <w:b/>
          <w:sz w:val="22"/>
          <w:szCs w:val="22"/>
        </w:rPr>
        <w:t>blir president i USA oc</w:t>
      </w:r>
      <w:r w:rsidR="00DB2927" w:rsidRPr="00DB2927">
        <w:rPr>
          <w:rFonts w:ascii="Georgia" w:hAnsi="Georgia"/>
          <w:b/>
          <w:sz w:val="22"/>
          <w:szCs w:val="22"/>
        </w:rPr>
        <w:t xml:space="preserve">h hur </w:t>
      </w:r>
      <w:r>
        <w:rPr>
          <w:rFonts w:ascii="Georgia" w:hAnsi="Georgia"/>
          <w:b/>
          <w:sz w:val="22"/>
          <w:szCs w:val="22"/>
        </w:rPr>
        <w:t>det påverkar marknaderna</w:t>
      </w:r>
    </w:p>
    <w:p w:rsidR="00C80C72" w:rsidRDefault="00C80C72" w:rsidP="00C80C72">
      <w:pPr>
        <w:spacing w:line="276" w:lineRule="auto"/>
        <w:rPr>
          <w:rFonts w:ascii="Georgia" w:hAnsi="Georgia"/>
          <w:sz w:val="22"/>
          <w:szCs w:val="22"/>
        </w:rPr>
      </w:pPr>
      <w:r w:rsidRPr="00C80C72">
        <w:rPr>
          <w:rFonts w:ascii="Georgia" w:hAnsi="Georgia"/>
          <w:sz w:val="22"/>
          <w:szCs w:val="22"/>
        </w:rPr>
        <w:t xml:space="preserve">Spänningen är olidlig och spekulationerna </w:t>
      </w:r>
      <w:r w:rsidR="005E0415">
        <w:rPr>
          <w:rFonts w:ascii="Georgia" w:hAnsi="Georgia"/>
          <w:sz w:val="22"/>
          <w:szCs w:val="22"/>
        </w:rPr>
        <w:t xml:space="preserve">är </w:t>
      </w:r>
      <w:r w:rsidRPr="00C80C72">
        <w:rPr>
          <w:rFonts w:ascii="Georgia" w:hAnsi="Georgia"/>
          <w:sz w:val="22"/>
          <w:szCs w:val="22"/>
        </w:rPr>
        <w:t xml:space="preserve">oändliga </w:t>
      </w:r>
      <w:r w:rsidR="005E0415">
        <w:rPr>
          <w:rFonts w:ascii="Georgia" w:hAnsi="Georgia"/>
          <w:sz w:val="22"/>
          <w:szCs w:val="22"/>
        </w:rPr>
        <w:t xml:space="preserve">kring </w:t>
      </w:r>
      <w:r w:rsidRPr="00C80C72">
        <w:rPr>
          <w:rFonts w:ascii="Georgia" w:hAnsi="Georgia"/>
          <w:sz w:val="22"/>
          <w:szCs w:val="22"/>
        </w:rPr>
        <w:t xml:space="preserve">vad som ska hända om </w:t>
      </w:r>
      <w:r w:rsidR="005E0415">
        <w:rPr>
          <w:rFonts w:ascii="Georgia" w:hAnsi="Georgia"/>
          <w:sz w:val="22"/>
          <w:szCs w:val="22"/>
        </w:rPr>
        <w:t xml:space="preserve">Clinton eller </w:t>
      </w:r>
      <w:proofErr w:type="spellStart"/>
      <w:r w:rsidR="005E0415">
        <w:rPr>
          <w:rFonts w:ascii="Georgia" w:hAnsi="Georgia"/>
          <w:sz w:val="22"/>
          <w:szCs w:val="22"/>
        </w:rPr>
        <w:t>Trump</w:t>
      </w:r>
      <w:proofErr w:type="spellEnd"/>
      <w:r w:rsidR="005E0415">
        <w:rPr>
          <w:rFonts w:ascii="Georgia" w:hAnsi="Georgia"/>
          <w:sz w:val="22"/>
          <w:szCs w:val="22"/>
        </w:rPr>
        <w:t xml:space="preserve"> vinner valet.</w:t>
      </w:r>
      <w:r w:rsidRPr="00C80C72">
        <w:rPr>
          <w:rFonts w:ascii="Georgia" w:hAnsi="Georgia"/>
          <w:sz w:val="22"/>
          <w:szCs w:val="22"/>
        </w:rPr>
        <w:t xml:space="preserve"> Kampanjerna har varit hetsiga och oavsett resultat så kommer det att ta tid att ena splittrade partier och organisationer samt ett delat samhälle i övrigt. Det viktiga är att fokusera på de långsiktiga effekterna även om de kortsiktiga svängningarna på marknaderna kan vara nog så dramatiska. Solidar bevakar utvecklingen.</w:t>
      </w:r>
    </w:p>
    <w:p w:rsidR="005E0415" w:rsidRPr="00C80C72" w:rsidRDefault="005E0415" w:rsidP="00C80C72">
      <w:pPr>
        <w:spacing w:line="276" w:lineRule="auto"/>
        <w:rPr>
          <w:rFonts w:ascii="Georgia" w:hAnsi="Georgia"/>
          <w:sz w:val="22"/>
          <w:szCs w:val="22"/>
        </w:rPr>
      </w:pPr>
    </w:p>
    <w:p w:rsidR="005E0415" w:rsidRPr="005E0415" w:rsidRDefault="005E0415" w:rsidP="00C80C72">
      <w:pPr>
        <w:spacing w:line="276" w:lineRule="auto"/>
        <w:rPr>
          <w:rFonts w:ascii="Georgia" w:hAnsi="Georgia"/>
          <w:b/>
          <w:sz w:val="22"/>
          <w:szCs w:val="22"/>
        </w:rPr>
      </w:pPr>
      <w:r w:rsidRPr="005E0415">
        <w:rPr>
          <w:rFonts w:ascii="Georgia" w:hAnsi="Georgia"/>
          <w:b/>
          <w:sz w:val="22"/>
          <w:szCs w:val="22"/>
        </w:rPr>
        <w:t>Centralbankerna har legat lågt i veckan</w:t>
      </w:r>
      <w:r>
        <w:rPr>
          <w:rFonts w:ascii="Georgia" w:hAnsi="Georgia"/>
          <w:b/>
          <w:sz w:val="22"/>
          <w:szCs w:val="22"/>
        </w:rPr>
        <w:t xml:space="preserve"> och låg ränta består</w:t>
      </w:r>
    </w:p>
    <w:p w:rsidR="00C80C72" w:rsidRPr="00C80C72" w:rsidRDefault="00C80C72" w:rsidP="00C80C72">
      <w:pPr>
        <w:spacing w:line="276" w:lineRule="auto"/>
        <w:rPr>
          <w:rFonts w:ascii="Georgia" w:hAnsi="Georgia"/>
          <w:sz w:val="22"/>
          <w:szCs w:val="22"/>
        </w:rPr>
      </w:pPr>
      <w:r w:rsidRPr="00C80C72">
        <w:rPr>
          <w:rFonts w:ascii="Georgia" w:hAnsi="Georgia"/>
          <w:sz w:val="22"/>
          <w:szCs w:val="22"/>
        </w:rPr>
        <w:t>Centralbankerna har i stort lämnat sina styrräntor och övriga stimulansåtgärder oförändrade under veckan. Inflationsmålen i Japan och EMU området verkar fortsatt ligga långt bort vilket tyder på att den ex</w:t>
      </w:r>
      <w:r w:rsidR="005E0415">
        <w:rPr>
          <w:rFonts w:ascii="Georgia" w:hAnsi="Georgia"/>
          <w:sz w:val="22"/>
          <w:szCs w:val="22"/>
        </w:rPr>
        <w:t>c</w:t>
      </w:r>
      <w:r w:rsidRPr="00C80C72">
        <w:rPr>
          <w:rFonts w:ascii="Georgia" w:hAnsi="Georgia"/>
          <w:sz w:val="22"/>
          <w:szCs w:val="22"/>
        </w:rPr>
        <w:t>eptionella lågräntemiljön kommer att bestå under lång tid framöver.</w:t>
      </w:r>
    </w:p>
    <w:p w:rsidR="006D6729" w:rsidRPr="006D6729" w:rsidRDefault="006D6729" w:rsidP="00C80C72">
      <w:pPr>
        <w:spacing w:line="276" w:lineRule="auto"/>
        <w:rPr>
          <w:rFonts w:ascii="Georgia" w:hAnsi="Georgia"/>
          <w:b/>
          <w:sz w:val="22"/>
          <w:szCs w:val="22"/>
        </w:rPr>
      </w:pPr>
      <w:r w:rsidRPr="006D6729">
        <w:rPr>
          <w:rFonts w:ascii="Georgia" w:hAnsi="Georgia"/>
          <w:b/>
          <w:sz w:val="22"/>
          <w:szCs w:val="22"/>
        </w:rPr>
        <w:lastRenderedPageBreak/>
        <w:t xml:space="preserve">Solidar tror </w:t>
      </w:r>
      <w:r>
        <w:rPr>
          <w:rFonts w:ascii="Georgia" w:hAnsi="Georgia"/>
          <w:b/>
          <w:sz w:val="22"/>
          <w:szCs w:val="22"/>
        </w:rPr>
        <w:t xml:space="preserve">fortsatt </w:t>
      </w:r>
      <w:r w:rsidRPr="006D6729">
        <w:rPr>
          <w:rFonts w:ascii="Georgia" w:hAnsi="Georgia"/>
          <w:b/>
          <w:sz w:val="22"/>
          <w:szCs w:val="22"/>
        </w:rPr>
        <w:t xml:space="preserve">på aktier och köper råvarubolagskorg </w:t>
      </w:r>
    </w:p>
    <w:p w:rsidR="00C80C72" w:rsidRDefault="00C80C72" w:rsidP="00C80C72">
      <w:pPr>
        <w:spacing w:line="276" w:lineRule="auto"/>
        <w:rPr>
          <w:rFonts w:ascii="Georgia" w:hAnsi="Georgia"/>
          <w:sz w:val="22"/>
          <w:szCs w:val="22"/>
        </w:rPr>
      </w:pPr>
      <w:r w:rsidRPr="00C80C72">
        <w:rPr>
          <w:rFonts w:ascii="Georgia" w:hAnsi="Georgia"/>
          <w:sz w:val="22"/>
          <w:szCs w:val="22"/>
        </w:rPr>
        <w:t>Solidar anser fortsatt att aktier är det mest attraktiva tillgångsslaget i rådande lågräntemiljö och har ökat exponeringen marginellt genom köp av en råvarubolagskorg. Exponeringen i grundportföljen är nu 110</w:t>
      </w:r>
      <w:r w:rsidR="005E0415">
        <w:rPr>
          <w:rFonts w:ascii="Georgia" w:hAnsi="Georgia"/>
          <w:sz w:val="22"/>
          <w:szCs w:val="22"/>
        </w:rPr>
        <w:t xml:space="preserve"> procent</w:t>
      </w:r>
      <w:r w:rsidRPr="00C80C72">
        <w:rPr>
          <w:rFonts w:ascii="Georgia" w:hAnsi="Georgia"/>
          <w:sz w:val="22"/>
          <w:szCs w:val="22"/>
        </w:rPr>
        <w:t xml:space="preserve"> mot aktiemarknaderna. Fokus är fortsatt på tillväxtmarknader (Indien, Kina, Brasilien) Sverige samt USA. Undervikt i Europa då vi tror att de långsiktiga effekterna av Storbritanniens utträde ur EU kommer att ge mycket negativa effekter för båda sidor på sikt. </w:t>
      </w:r>
      <w:r w:rsidR="006D6729">
        <w:rPr>
          <w:rFonts w:ascii="Georgia" w:hAnsi="Georgia"/>
          <w:sz w:val="22"/>
          <w:szCs w:val="22"/>
        </w:rPr>
        <w:t xml:space="preserve">Storbritannien startar sin </w:t>
      </w:r>
      <w:proofErr w:type="spellStart"/>
      <w:r w:rsidR="006D6729">
        <w:rPr>
          <w:rFonts w:ascii="Georgia" w:hAnsi="Georgia"/>
          <w:sz w:val="22"/>
          <w:szCs w:val="22"/>
        </w:rPr>
        <w:t>brexitp</w:t>
      </w:r>
      <w:r w:rsidRPr="00C80C72">
        <w:rPr>
          <w:rFonts w:ascii="Georgia" w:hAnsi="Georgia"/>
          <w:sz w:val="22"/>
          <w:szCs w:val="22"/>
        </w:rPr>
        <w:t>rocess</w:t>
      </w:r>
      <w:proofErr w:type="spellEnd"/>
      <w:r w:rsidRPr="00C80C72">
        <w:rPr>
          <w:rFonts w:ascii="Georgia" w:hAnsi="Georgia"/>
          <w:sz w:val="22"/>
          <w:szCs w:val="22"/>
        </w:rPr>
        <w:t xml:space="preserve"> i slutet av mars </w:t>
      </w:r>
      <w:r w:rsidR="006D6729">
        <w:rPr>
          <w:rFonts w:ascii="Georgia" w:hAnsi="Georgia"/>
          <w:sz w:val="22"/>
          <w:szCs w:val="22"/>
        </w:rPr>
        <w:t>2017</w:t>
      </w:r>
      <w:r w:rsidRPr="00C80C72">
        <w:rPr>
          <w:rFonts w:ascii="Georgia" w:hAnsi="Georgia"/>
          <w:sz w:val="22"/>
          <w:szCs w:val="22"/>
        </w:rPr>
        <w:t>.</w:t>
      </w:r>
    </w:p>
    <w:p w:rsidR="00D7488F" w:rsidRDefault="00D7488F" w:rsidP="00C418CF">
      <w:pPr>
        <w:pStyle w:val="Brdtext"/>
      </w:pPr>
    </w:p>
    <w:p w:rsidR="00D7488F" w:rsidRDefault="00D7488F" w:rsidP="00D7488F">
      <w:pPr>
        <w:pStyle w:val="Brdtext"/>
      </w:pPr>
      <w:r>
        <w:t>För ytterligare information, kontakta:</w:t>
      </w:r>
      <w:r>
        <w:rPr>
          <w:rFonts w:ascii="Arial Unicode MS" w:hAnsi="Arial Unicode MS"/>
        </w:rPr>
        <w:br/>
      </w:r>
      <w:r>
        <w:t>Per Ström, Analyschef Solidar, 070-607 19 20</w:t>
      </w:r>
    </w:p>
    <w:sectPr w:rsidR="00D7488F">
      <w:headerReference w:type="default" r:id="rId6"/>
      <w:footerReference w:type="default" r:id="rId7"/>
      <w:headerReference w:type="first" r:id="rId8"/>
      <w:footerReference w:type="first" r:id="rId9"/>
      <w:pgSz w:w="11900" w:h="16840"/>
      <w:pgMar w:top="2381" w:right="1134" w:bottom="1134" w:left="1418" w:header="397" w:footer="96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383" w:rsidRDefault="00A52189">
      <w:r>
        <w:separator/>
      </w:r>
    </w:p>
  </w:endnote>
  <w:endnote w:type="continuationSeparator" w:id="0">
    <w:p w:rsidR="002F3383" w:rsidRDefault="00A52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088" w:rsidRDefault="00892088">
    <w:pPr>
      <w:pStyle w:val="Sidhuvudoch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088" w:rsidRDefault="0089208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383" w:rsidRDefault="00A52189">
      <w:r>
        <w:separator/>
      </w:r>
    </w:p>
  </w:footnote>
  <w:footnote w:type="continuationSeparator" w:id="0">
    <w:p w:rsidR="002F3383" w:rsidRDefault="00A521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088" w:rsidRDefault="00A52189">
    <w:pPr>
      <w:pStyle w:val="Sidhuvudfrstasida"/>
      <w:spacing w:before="140"/>
      <w:jc w:val="right"/>
      <w:rPr>
        <w:rStyle w:val="Inget"/>
      </w:rPr>
    </w:pPr>
    <w:r>
      <w:rPr>
        <w:noProof/>
      </w:rPr>
      <w:drawing>
        <wp:inline distT="0" distB="0" distL="0" distR="0">
          <wp:extent cx="1252675" cy="30310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1">
                    <a:extLst/>
                  </a:blip>
                  <a:stretch>
                    <a:fillRect/>
                  </a:stretch>
                </pic:blipFill>
                <pic:spPr>
                  <a:xfrm>
                    <a:off x="0" y="0"/>
                    <a:ext cx="1252675" cy="303101"/>
                  </a:xfrm>
                  <a:prstGeom prst="rect">
                    <a:avLst/>
                  </a:prstGeom>
                  <a:ln w="12700" cap="flat">
                    <a:noFill/>
                    <a:miter lim="400000"/>
                  </a:ln>
                  <a:effectLst/>
                </pic:spPr>
              </pic:pic>
            </a:graphicData>
          </a:graphic>
        </wp:inline>
      </w:drawing>
    </w:r>
    <w:r>
      <w:tab/>
    </w:r>
    <w:r>
      <w:tab/>
    </w:r>
    <w:r>
      <w:rPr>
        <w:rStyle w:val="Inget"/>
      </w:rPr>
      <w:fldChar w:fldCharType="begin"/>
    </w:r>
    <w:r>
      <w:rPr>
        <w:rStyle w:val="Inget"/>
      </w:rPr>
      <w:instrText xml:space="preserve"> PAGE </w:instrText>
    </w:r>
    <w:r>
      <w:rPr>
        <w:rStyle w:val="Inget"/>
      </w:rPr>
      <w:fldChar w:fldCharType="separate"/>
    </w:r>
    <w:r w:rsidR="00FA5C34">
      <w:rPr>
        <w:rStyle w:val="Inget"/>
        <w:noProof/>
      </w:rPr>
      <w:t>2</w:t>
    </w:r>
    <w:r>
      <w:rPr>
        <w:rStyle w:val="Inget"/>
      </w:rPr>
      <w:fldChar w:fldCharType="end"/>
    </w:r>
    <w:r>
      <w:rPr>
        <w:rStyle w:val="Inget"/>
      </w:rPr>
      <w:t>(</w:t>
    </w:r>
    <w:r>
      <w:rPr>
        <w:rStyle w:val="Inget"/>
      </w:rPr>
      <w:fldChar w:fldCharType="begin"/>
    </w:r>
    <w:r>
      <w:rPr>
        <w:rStyle w:val="Inget"/>
      </w:rPr>
      <w:instrText xml:space="preserve"> NUMPAGES </w:instrText>
    </w:r>
    <w:r>
      <w:rPr>
        <w:rStyle w:val="Inget"/>
      </w:rPr>
      <w:fldChar w:fldCharType="separate"/>
    </w:r>
    <w:r w:rsidR="00FA5C34">
      <w:rPr>
        <w:rStyle w:val="Inget"/>
        <w:noProof/>
      </w:rPr>
      <w:t>2</w:t>
    </w:r>
    <w:r>
      <w:rPr>
        <w:rStyle w:val="Inget"/>
      </w:rPr>
      <w:fldChar w:fldCharType="end"/>
    </w:r>
    <w:r>
      <w:rPr>
        <w:rStyle w:val="Inget"/>
      </w:rPr>
      <w:t>)</w:t>
    </w:r>
  </w:p>
  <w:p w:rsidR="00892088" w:rsidRDefault="00A52189">
    <w:pPr>
      <w:pStyle w:val="Sidhuvudfrstasida"/>
      <w:jc w:val="right"/>
      <w:rPr>
        <w:rStyle w:val="Inget"/>
      </w:rPr>
    </w:pPr>
    <w:r>
      <w:rPr>
        <w:rStyle w:val="Inget"/>
      </w:rPr>
      <w:tab/>
    </w:r>
    <w:r>
      <w:rPr>
        <w:rStyle w:val="Inget"/>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088" w:rsidRDefault="00A52189">
    <w:pPr>
      <w:pStyle w:val="Sidhuvudfrstasida"/>
      <w:spacing w:before="140"/>
      <w:jc w:val="right"/>
      <w:rPr>
        <w:rStyle w:val="Inget"/>
      </w:rPr>
    </w:pPr>
    <w:r>
      <w:rPr>
        <w:noProof/>
      </w:rPr>
      <w:drawing>
        <wp:inline distT="0" distB="0" distL="0" distR="0">
          <wp:extent cx="1252675" cy="303101"/>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jpeg"/>
                  <pic:cNvPicPr>
                    <a:picLocks noChangeAspect="1"/>
                  </pic:cNvPicPr>
                </pic:nvPicPr>
                <pic:blipFill>
                  <a:blip r:embed="rId1">
                    <a:extLst/>
                  </a:blip>
                  <a:stretch>
                    <a:fillRect/>
                  </a:stretch>
                </pic:blipFill>
                <pic:spPr>
                  <a:xfrm>
                    <a:off x="0" y="0"/>
                    <a:ext cx="1252675" cy="303101"/>
                  </a:xfrm>
                  <a:prstGeom prst="rect">
                    <a:avLst/>
                  </a:prstGeom>
                  <a:ln w="12700" cap="flat">
                    <a:noFill/>
                    <a:miter lim="400000"/>
                  </a:ln>
                  <a:effectLst/>
                </pic:spPr>
              </pic:pic>
            </a:graphicData>
          </a:graphic>
        </wp:inline>
      </w:drawing>
    </w:r>
    <w:r>
      <w:tab/>
    </w:r>
    <w:r>
      <w:tab/>
    </w:r>
    <w:r>
      <w:rPr>
        <w:rStyle w:val="Inget"/>
      </w:rPr>
      <w:fldChar w:fldCharType="begin"/>
    </w:r>
    <w:r>
      <w:rPr>
        <w:rStyle w:val="Inget"/>
      </w:rPr>
      <w:instrText xml:space="preserve"> PAGE </w:instrText>
    </w:r>
    <w:r>
      <w:rPr>
        <w:rStyle w:val="Inget"/>
      </w:rPr>
      <w:fldChar w:fldCharType="separate"/>
    </w:r>
    <w:r w:rsidR="00FA5C34">
      <w:rPr>
        <w:rStyle w:val="Inget"/>
        <w:noProof/>
      </w:rPr>
      <w:t>1</w:t>
    </w:r>
    <w:r>
      <w:rPr>
        <w:rStyle w:val="Inget"/>
      </w:rPr>
      <w:fldChar w:fldCharType="end"/>
    </w:r>
    <w:r>
      <w:rPr>
        <w:rStyle w:val="Inget"/>
      </w:rPr>
      <w:t>(</w:t>
    </w:r>
    <w:r>
      <w:rPr>
        <w:rStyle w:val="Inget"/>
      </w:rPr>
      <w:fldChar w:fldCharType="begin"/>
    </w:r>
    <w:r>
      <w:rPr>
        <w:rStyle w:val="Inget"/>
      </w:rPr>
      <w:instrText xml:space="preserve"> NUMPAGES </w:instrText>
    </w:r>
    <w:r>
      <w:rPr>
        <w:rStyle w:val="Inget"/>
      </w:rPr>
      <w:fldChar w:fldCharType="separate"/>
    </w:r>
    <w:r w:rsidR="00FA5C34">
      <w:rPr>
        <w:rStyle w:val="Inget"/>
        <w:noProof/>
      </w:rPr>
      <w:t>2</w:t>
    </w:r>
    <w:r>
      <w:rPr>
        <w:rStyle w:val="Inget"/>
      </w:rPr>
      <w:fldChar w:fldCharType="end"/>
    </w:r>
    <w:r>
      <w:rPr>
        <w:rStyle w:val="Inget"/>
      </w:rPr>
      <w:t>)</w:t>
    </w:r>
  </w:p>
  <w:p w:rsidR="00892088" w:rsidRDefault="00A52189">
    <w:pPr>
      <w:pStyle w:val="Sidhuvudfrstasida"/>
      <w:jc w:val="right"/>
      <w:rPr>
        <w:rStyle w:val="Inget"/>
      </w:rPr>
    </w:pPr>
    <w:r>
      <w:rPr>
        <w:rStyle w:val="Inget"/>
      </w:rPr>
      <w:tab/>
    </w:r>
    <w:r>
      <w:rPr>
        <w:rStyle w:val="Inget"/>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088"/>
    <w:rsid w:val="000021BC"/>
    <w:rsid w:val="00011841"/>
    <w:rsid w:val="000402B0"/>
    <w:rsid w:val="0004062F"/>
    <w:rsid w:val="0007226B"/>
    <w:rsid w:val="000D276E"/>
    <w:rsid w:val="001065A2"/>
    <w:rsid w:val="00145AE6"/>
    <w:rsid w:val="0015132F"/>
    <w:rsid w:val="00171A1B"/>
    <w:rsid w:val="00187A8C"/>
    <w:rsid w:val="00197A26"/>
    <w:rsid w:val="001B422A"/>
    <w:rsid w:val="001C4305"/>
    <w:rsid w:val="001D3AE0"/>
    <w:rsid w:val="001E3F52"/>
    <w:rsid w:val="001F02CF"/>
    <w:rsid w:val="0027062A"/>
    <w:rsid w:val="00271C7F"/>
    <w:rsid w:val="002B419C"/>
    <w:rsid w:val="002F2169"/>
    <w:rsid w:val="002F3383"/>
    <w:rsid w:val="002F5074"/>
    <w:rsid w:val="003136A5"/>
    <w:rsid w:val="003161B6"/>
    <w:rsid w:val="00323816"/>
    <w:rsid w:val="00350FDE"/>
    <w:rsid w:val="00370911"/>
    <w:rsid w:val="003A6502"/>
    <w:rsid w:val="003B2981"/>
    <w:rsid w:val="003D1780"/>
    <w:rsid w:val="004525EC"/>
    <w:rsid w:val="004B1291"/>
    <w:rsid w:val="004F74A3"/>
    <w:rsid w:val="00513D59"/>
    <w:rsid w:val="00514725"/>
    <w:rsid w:val="00526DAE"/>
    <w:rsid w:val="00530BB8"/>
    <w:rsid w:val="00555C4D"/>
    <w:rsid w:val="00567D6C"/>
    <w:rsid w:val="00567D7F"/>
    <w:rsid w:val="005775DC"/>
    <w:rsid w:val="00580E9D"/>
    <w:rsid w:val="00587D84"/>
    <w:rsid w:val="005A51F3"/>
    <w:rsid w:val="005C2F16"/>
    <w:rsid w:val="005D7006"/>
    <w:rsid w:val="005E0415"/>
    <w:rsid w:val="00612D97"/>
    <w:rsid w:val="00636C8D"/>
    <w:rsid w:val="00645C7F"/>
    <w:rsid w:val="00665622"/>
    <w:rsid w:val="006857B8"/>
    <w:rsid w:val="006A66EF"/>
    <w:rsid w:val="006C043B"/>
    <w:rsid w:val="006D6729"/>
    <w:rsid w:val="006E2052"/>
    <w:rsid w:val="006F3F8B"/>
    <w:rsid w:val="00737C48"/>
    <w:rsid w:val="007707CF"/>
    <w:rsid w:val="007744B6"/>
    <w:rsid w:val="007A6615"/>
    <w:rsid w:val="007B09CE"/>
    <w:rsid w:val="007B60E1"/>
    <w:rsid w:val="007E36CB"/>
    <w:rsid w:val="007F50BF"/>
    <w:rsid w:val="00815739"/>
    <w:rsid w:val="008304FB"/>
    <w:rsid w:val="008571DC"/>
    <w:rsid w:val="00887AC6"/>
    <w:rsid w:val="00891391"/>
    <w:rsid w:val="00892088"/>
    <w:rsid w:val="00893372"/>
    <w:rsid w:val="00896313"/>
    <w:rsid w:val="008A2A15"/>
    <w:rsid w:val="008A5793"/>
    <w:rsid w:val="008C5BA0"/>
    <w:rsid w:val="008C5C06"/>
    <w:rsid w:val="008E12EA"/>
    <w:rsid w:val="0093610D"/>
    <w:rsid w:val="0097600C"/>
    <w:rsid w:val="009857B6"/>
    <w:rsid w:val="009A5DB0"/>
    <w:rsid w:val="009B79D7"/>
    <w:rsid w:val="009E0615"/>
    <w:rsid w:val="009E1BD8"/>
    <w:rsid w:val="009F1EDB"/>
    <w:rsid w:val="00A35477"/>
    <w:rsid w:val="00A429F3"/>
    <w:rsid w:val="00A52189"/>
    <w:rsid w:val="00A813F5"/>
    <w:rsid w:val="00A83AA5"/>
    <w:rsid w:val="00A93612"/>
    <w:rsid w:val="00B01863"/>
    <w:rsid w:val="00B057EC"/>
    <w:rsid w:val="00B56F02"/>
    <w:rsid w:val="00B93C3D"/>
    <w:rsid w:val="00BC0B89"/>
    <w:rsid w:val="00BC2814"/>
    <w:rsid w:val="00BD4952"/>
    <w:rsid w:val="00BF0883"/>
    <w:rsid w:val="00C22C6D"/>
    <w:rsid w:val="00C24067"/>
    <w:rsid w:val="00C365C8"/>
    <w:rsid w:val="00C37BEE"/>
    <w:rsid w:val="00C418CF"/>
    <w:rsid w:val="00C80C72"/>
    <w:rsid w:val="00CB4DE0"/>
    <w:rsid w:val="00CC5D7D"/>
    <w:rsid w:val="00CD1AA9"/>
    <w:rsid w:val="00D47F0E"/>
    <w:rsid w:val="00D57632"/>
    <w:rsid w:val="00D7488F"/>
    <w:rsid w:val="00D8298A"/>
    <w:rsid w:val="00D95B4F"/>
    <w:rsid w:val="00DB2927"/>
    <w:rsid w:val="00E54E05"/>
    <w:rsid w:val="00E85D3D"/>
    <w:rsid w:val="00ED1054"/>
    <w:rsid w:val="00ED7445"/>
    <w:rsid w:val="00F02A9D"/>
    <w:rsid w:val="00F27DF6"/>
    <w:rsid w:val="00F50532"/>
    <w:rsid w:val="00F5493F"/>
    <w:rsid w:val="00F70646"/>
    <w:rsid w:val="00FA5C34"/>
    <w:rsid w:val="00FA6461"/>
    <w:rsid w:val="00FB5FB8"/>
    <w:rsid w:val="00FD0EC7"/>
    <w:rsid w:val="00FD3282"/>
    <w:rsid w:val="00FE6A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3016C9-25A2-41F3-9300-DE07A38CD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paragraph" w:styleId="Rubrik1">
    <w:name w:val="heading 1"/>
    <w:next w:val="Brdtext"/>
    <w:pPr>
      <w:keepNext/>
      <w:spacing w:before="280"/>
      <w:outlineLvl w:val="0"/>
    </w:pPr>
    <w:rPr>
      <w:rFonts w:ascii="Arial" w:hAnsi="Arial" w:cs="Arial Unicode MS"/>
      <w:b/>
      <w:bCs/>
      <w:color w:val="4BAA32"/>
      <w:sz w:val="22"/>
      <w:szCs w:val="22"/>
      <w:u w:color="4BAA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huvudfrstasida">
    <w:name w:val="Sidhuvud förstasida"/>
    <w:pPr>
      <w:tabs>
        <w:tab w:val="center" w:pos="4536"/>
        <w:tab w:val="right" w:pos="9072"/>
      </w:tabs>
    </w:pPr>
    <w:rPr>
      <w:rFonts w:ascii="Arial" w:hAnsi="Arial" w:cs="Arial Unicode MS"/>
      <w:color w:val="000000"/>
      <w:sz w:val="18"/>
      <w:szCs w:val="18"/>
      <w:u w:color="000000"/>
    </w:rPr>
  </w:style>
  <w:style w:type="character" w:customStyle="1" w:styleId="Inget">
    <w:name w:val="Inget"/>
  </w:style>
  <w:style w:type="paragraph" w:customStyle="1" w:styleId="Sidhuvudochsidfot">
    <w:name w:val="Sidhuvud och sidfot"/>
    <w:pPr>
      <w:tabs>
        <w:tab w:val="right" w:pos="9020"/>
      </w:tabs>
    </w:pPr>
    <w:rPr>
      <w:rFonts w:ascii="Helvetica" w:eastAsia="Helvetica" w:hAnsi="Helvetica" w:cs="Helvetica"/>
      <w:color w:val="000000"/>
      <w:sz w:val="24"/>
      <w:szCs w:val="24"/>
    </w:rPr>
  </w:style>
  <w:style w:type="paragraph" w:styleId="Sidfot">
    <w:name w:val="footer"/>
    <w:pPr>
      <w:tabs>
        <w:tab w:val="center" w:pos="4536"/>
        <w:tab w:val="right" w:pos="9072"/>
      </w:tabs>
      <w:jc w:val="center"/>
    </w:pPr>
    <w:rPr>
      <w:rFonts w:ascii="Arial" w:eastAsia="Arial" w:hAnsi="Arial" w:cs="Arial"/>
      <w:color w:val="000000"/>
      <w:sz w:val="12"/>
      <w:szCs w:val="12"/>
      <w:u w:color="000000"/>
    </w:rPr>
  </w:style>
  <w:style w:type="paragraph" w:styleId="Brdtext">
    <w:name w:val="Body Text"/>
    <w:pPr>
      <w:spacing w:after="160" w:line="259" w:lineRule="auto"/>
    </w:pPr>
    <w:rPr>
      <w:rFonts w:ascii="Georgia" w:hAnsi="Georgia" w:cs="Arial Unicode MS"/>
      <w:color w:val="000000"/>
      <w:sz w:val="22"/>
      <w:szCs w:val="22"/>
      <w:u w:color="000000"/>
    </w:rPr>
  </w:style>
  <w:style w:type="paragraph" w:customStyle="1" w:styleId="Solidar-Huvudrubrik">
    <w:name w:val="Solidar - Huvudrubrik"/>
    <w:pPr>
      <w:spacing w:before="480" w:after="60" w:line="280" w:lineRule="atLeast"/>
    </w:pPr>
    <w:rPr>
      <w:rFonts w:ascii="Arial" w:hAnsi="Arial" w:cs="Arial Unicode MS"/>
      <w:b/>
      <w:bCs/>
      <w:color w:val="4BAA32"/>
      <w:sz w:val="40"/>
      <w:szCs w:val="40"/>
      <w:u w:color="4BAA32"/>
    </w:rPr>
  </w:style>
  <w:style w:type="character" w:styleId="Betoning">
    <w:name w:val="Emphasis"/>
    <w:basedOn w:val="Standardstycketeckensnitt"/>
    <w:uiPriority w:val="20"/>
    <w:qFormat/>
    <w:rsid w:val="009E1BD8"/>
    <w:rPr>
      <w:i/>
      <w:iCs/>
    </w:rPr>
  </w:style>
  <w:style w:type="character" w:customStyle="1" w:styleId="apple-converted-space">
    <w:name w:val="apple-converted-space"/>
    <w:basedOn w:val="Standardstycketeckensnitt"/>
    <w:rsid w:val="009E1BD8"/>
  </w:style>
  <w:style w:type="paragraph" w:styleId="Ingetavstnd">
    <w:name w:val="No Spacing"/>
    <w:uiPriority w:val="1"/>
    <w:qFormat/>
    <w:rsid w:val="007A6615"/>
    <w:rPr>
      <w:sz w:val="24"/>
      <w:szCs w:val="24"/>
      <w:lang w:eastAsia="en-US"/>
    </w:rPr>
  </w:style>
  <w:style w:type="character" w:styleId="Stark">
    <w:name w:val="Strong"/>
    <w:basedOn w:val="Standardstycketeckensnitt"/>
    <w:uiPriority w:val="22"/>
    <w:qFormat/>
    <w:rsid w:val="00CD1A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96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tema">
      <a:dk1>
        <a:srgbClr val="000000"/>
      </a:dk1>
      <a:lt1>
        <a:srgbClr val="FFFFFF"/>
      </a:lt1>
      <a:dk2>
        <a:srgbClr val="A7A7A7"/>
      </a:dk2>
      <a:lt2>
        <a:srgbClr val="535353"/>
      </a:lt2>
      <a:accent1>
        <a:srgbClr val="4BAA32"/>
      </a:accent1>
      <a:accent2>
        <a:srgbClr val="FFD100"/>
      </a:accent2>
      <a:accent3>
        <a:srgbClr val="F58220"/>
      </a:accent3>
      <a:accent4>
        <a:srgbClr val="9ACAEB"/>
      </a:accent4>
      <a:accent5>
        <a:srgbClr val="86786F"/>
      </a:accent5>
      <a:accent6>
        <a:srgbClr val="BBB2AD"/>
      </a:accent6>
      <a:hlink>
        <a:srgbClr val="0000FF"/>
      </a:hlink>
      <a:folHlink>
        <a:srgbClr val="FF00FF"/>
      </a:folHlink>
    </a:clrScheme>
    <a:fontScheme name="Office-tema">
      <a:majorFont>
        <a:latin typeface="Helvetica"/>
        <a:ea typeface="Helvetica"/>
        <a:cs typeface="Helvetica"/>
      </a:majorFont>
      <a:minorFont>
        <a:latin typeface="Helvetica"/>
        <a:ea typeface="Helvetica"/>
        <a:cs typeface="Helvetica"/>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eorgia"/>
            <a:ea typeface="Georgia"/>
            <a:cs typeface="Georgia"/>
            <a:sym typeface="Georg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eorgia"/>
            <a:ea typeface="Georgia"/>
            <a:cs typeface="Georgia"/>
            <a:sym typeface="Georg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543</Words>
  <Characters>2882</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Lindén</dc:creator>
  <cp:lastModifiedBy>Marie Lindén</cp:lastModifiedBy>
  <cp:revision>6</cp:revision>
  <dcterms:created xsi:type="dcterms:W3CDTF">2016-11-03T07:20:00Z</dcterms:created>
  <dcterms:modified xsi:type="dcterms:W3CDTF">2016-11-03T08:48:00Z</dcterms:modified>
</cp:coreProperties>
</file>