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32" w:tblpY="1606"/>
        <w:tblW w:w="0" w:type="auto"/>
        <w:tblLook w:val="00BF"/>
      </w:tblPr>
      <w:tblGrid>
        <w:gridCol w:w="3561"/>
      </w:tblGrid>
      <w:tr w:rsidR="009E3F7C" w:rsidRPr="009E3F7C" w:rsidTr="0024327B">
        <w:tc>
          <w:tcPr>
            <w:tcW w:w="356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4327B">
        <w:tc>
          <w:tcPr>
            <w:tcW w:w="356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bookmarkEnd w:id="1"/>
      <w:tr w:rsidR="00B22B6E" w:rsidRPr="009E3F7C" w:rsidTr="0024327B">
        <w:tc>
          <w:tcPr>
            <w:tcW w:w="3561" w:type="dxa"/>
          </w:tcPr>
          <w:p w:rsidR="00B22B6E" w:rsidRPr="0072798A" w:rsidRDefault="00B22B6E" w:rsidP="00F84FED">
            <w:pPr>
              <w:spacing w:after="80"/>
              <w:ind w:right="141"/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  <w:tr w:rsidR="00B22B6E" w:rsidRPr="009E3F7C" w:rsidTr="0024327B">
        <w:tc>
          <w:tcPr>
            <w:tcW w:w="356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9039" w:type="dxa"/>
        <w:tblLook w:val="00BF"/>
      </w:tblPr>
      <w:tblGrid>
        <w:gridCol w:w="9039"/>
      </w:tblGrid>
      <w:tr w:rsidR="00B22B6E" w:rsidRPr="00B22B6E" w:rsidTr="006057E9">
        <w:trPr>
          <w:trHeight w:val="851"/>
        </w:trPr>
        <w:tc>
          <w:tcPr>
            <w:tcW w:w="9039" w:type="dxa"/>
          </w:tcPr>
          <w:p w:rsidR="00B22B6E" w:rsidRPr="005616BC" w:rsidRDefault="00B22B6E" w:rsidP="003678E6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5616BC"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3678E6">
              <w:rPr>
                <w:rFonts w:ascii="Arial" w:hAnsi="Arial" w:cs="Arial"/>
                <w:sz w:val="24"/>
                <w:szCs w:val="24"/>
              </w:rPr>
              <w:t>29 augusti</w:t>
            </w:r>
            <w:r w:rsidR="00256F97">
              <w:rPr>
                <w:rFonts w:ascii="Arial" w:hAnsi="Arial" w:cs="Arial"/>
                <w:sz w:val="24"/>
                <w:szCs w:val="24"/>
              </w:rPr>
              <w:t xml:space="preserve"> 2013</w:t>
            </w:r>
          </w:p>
        </w:tc>
      </w:tr>
    </w:tbl>
    <w:p w:rsidR="00B22B6E" w:rsidRPr="00B22B6E" w:rsidRDefault="00135ADE" w:rsidP="00F84FED">
      <w:pPr>
        <w:ind w:right="141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noProof/>
          <w:sz w:val="34"/>
          <w:szCs w:val="34"/>
          <w:lang w:eastAsia="sv-SE"/>
        </w:rPr>
        <w:t>SveaReal gör ett bra första halvår</w:t>
      </w:r>
    </w:p>
    <w:p w:rsidR="005C151B" w:rsidRPr="005C151B" w:rsidRDefault="005C151B" w:rsidP="005C151B">
      <w:pPr>
        <w:tabs>
          <w:tab w:val="clear" w:pos="284"/>
        </w:tabs>
        <w:autoSpaceDE w:val="0"/>
        <w:autoSpaceDN w:val="0"/>
        <w:rPr>
          <w:rFonts w:ascii="Arial" w:hAnsi="Arial" w:cs="Arial"/>
          <w:sz w:val="20"/>
        </w:rPr>
      </w:pPr>
    </w:p>
    <w:p w:rsidR="00163DE3" w:rsidRPr="003678E6" w:rsidRDefault="00927390" w:rsidP="007973E1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69215</wp:posOffset>
            </wp:positionV>
            <wp:extent cx="1194435" cy="1833880"/>
            <wp:effectExtent l="19050" t="0" r="5715" b="0"/>
            <wp:wrapTight wrapText="bothSides">
              <wp:wrapPolygon edited="0">
                <wp:start x="-344" y="0"/>
                <wp:lineTo x="-344" y="21316"/>
                <wp:lineTo x="21703" y="21316"/>
                <wp:lineTo x="21703" y="0"/>
                <wp:lineTo x="-344" y="0"/>
              </wp:wrapPolygon>
            </wp:wrapTight>
            <wp:docPr id="3" name="fc13f572-8f6d-4021-be6a-c02a8185d9a2" descr="cid:987BF5F3-CB47-424D-88A0-4F4CC84FEF7E@start.priv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13f572-8f6d-4021-be6a-c02a8185d9a2" descr="cid:987BF5F3-CB47-424D-88A0-4F4CC84FEF7E@start.priv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ADE" w:rsidRPr="003678E6">
        <w:rPr>
          <w:rFonts w:ascii="Arial" w:hAnsi="Arial" w:cs="Arial"/>
          <w:sz w:val="26"/>
          <w:szCs w:val="26"/>
        </w:rPr>
        <w:t>Trots lite blandade signaler från marknaden, visar de flesta siffrorna för SveaReal åt rätt håll</w:t>
      </w:r>
      <w:r w:rsidR="002E1DFF" w:rsidRPr="003678E6">
        <w:rPr>
          <w:rFonts w:ascii="Arial" w:hAnsi="Arial" w:cs="Arial"/>
          <w:sz w:val="26"/>
          <w:szCs w:val="26"/>
        </w:rPr>
        <w:t xml:space="preserve"> med ett förbättrat förvaltningsresultat och resultat efter skatt.</w:t>
      </w:r>
      <w:r w:rsidR="00333554" w:rsidRPr="00333554">
        <w:rPr>
          <w:rFonts w:ascii="Arial" w:hAnsi="Arial" w:cs="Arial"/>
          <w:b/>
          <w:noProof/>
          <w:sz w:val="34"/>
          <w:szCs w:val="34"/>
          <w:lang w:eastAsia="sv-SE"/>
        </w:rPr>
        <w:t xml:space="preserve"> </w:t>
      </w:r>
    </w:p>
    <w:p w:rsidR="00163DE3" w:rsidRDefault="00163DE3" w:rsidP="007973E1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sz w:val="24"/>
          <w:szCs w:val="24"/>
        </w:rPr>
      </w:pPr>
    </w:p>
    <w:p w:rsidR="004C4946" w:rsidRDefault="002E1DFF" w:rsidP="007973E1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szCs w:val="22"/>
        </w:rPr>
      </w:pPr>
      <w:r w:rsidRPr="003678E6">
        <w:rPr>
          <w:rFonts w:ascii="Arial" w:hAnsi="Arial" w:cs="Arial"/>
          <w:szCs w:val="22"/>
        </w:rPr>
        <w:t>SveaReal har det senaste året både förvärvat och avyttrat fastigheter, vilket påverkar siffrorna. Dock har förvaltnings</w:t>
      </w:r>
      <w:r w:rsidR="003678E6">
        <w:rPr>
          <w:rFonts w:ascii="Arial" w:hAnsi="Arial" w:cs="Arial"/>
          <w:szCs w:val="22"/>
        </w:rPr>
        <w:t>-</w:t>
      </w:r>
      <w:r w:rsidRPr="003678E6">
        <w:rPr>
          <w:rFonts w:ascii="Arial" w:hAnsi="Arial" w:cs="Arial"/>
          <w:szCs w:val="22"/>
        </w:rPr>
        <w:t>resultatet per halvårsskiftet ökat till 59 MSEK (54 MSEK) liksom resultatet före skatt som uppgick till 239 MSEK (52 MSEK).</w:t>
      </w:r>
      <w:r w:rsidR="00862EE3">
        <w:rPr>
          <w:rFonts w:ascii="Arial" w:hAnsi="Arial" w:cs="Arial"/>
          <w:szCs w:val="22"/>
        </w:rPr>
        <w:br/>
      </w:r>
    </w:p>
    <w:p w:rsidR="002E1DFF" w:rsidRPr="003678E6" w:rsidRDefault="004C4946" w:rsidP="007973E1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</w:t>
      </w:r>
      <w:r w:rsidR="00862EE3">
        <w:rPr>
          <w:rFonts w:ascii="Arial" w:hAnsi="Arial" w:cs="Arial"/>
          <w:szCs w:val="22"/>
        </w:rPr>
        <w:t>Direktavkastningen är något lägre, 6,6 % (7,4 %) som en följd av förvärvet då vår portfölj omviktades med en större andel kontorsfastigheter som har lägre avkastning än genomsnittet i vår tidigare portfölj.</w:t>
      </w:r>
    </w:p>
    <w:p w:rsidR="002E1DFF" w:rsidRPr="003678E6" w:rsidRDefault="002E1DFF" w:rsidP="007973E1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i/>
          <w:szCs w:val="22"/>
        </w:rPr>
      </w:pPr>
    </w:p>
    <w:p w:rsidR="00494C51" w:rsidRPr="003678E6" w:rsidRDefault="00F70947" w:rsidP="00862EE3">
      <w:pPr>
        <w:tabs>
          <w:tab w:val="clear" w:pos="284"/>
        </w:tabs>
        <w:autoSpaceDE w:val="0"/>
        <w:autoSpaceDN w:val="0"/>
        <w:ind w:right="566"/>
        <w:rPr>
          <w:rFonts w:ascii="Arial" w:hAnsi="Arial" w:cs="Arial"/>
          <w:szCs w:val="22"/>
        </w:rPr>
      </w:pPr>
      <w:proofErr w:type="gramStart"/>
      <w:r w:rsidRPr="003678E6">
        <w:rPr>
          <w:rFonts w:ascii="Arial" w:hAnsi="Arial" w:cs="Arial"/>
          <w:i/>
          <w:szCs w:val="22"/>
        </w:rPr>
        <w:t>-</w:t>
      </w:r>
      <w:proofErr w:type="gramEnd"/>
      <w:r w:rsidRPr="003678E6">
        <w:rPr>
          <w:rFonts w:ascii="Arial" w:hAnsi="Arial" w:cs="Arial"/>
          <w:i/>
          <w:szCs w:val="22"/>
        </w:rPr>
        <w:t xml:space="preserve"> </w:t>
      </w:r>
      <w:r w:rsidR="002E1DFF" w:rsidRPr="003678E6">
        <w:rPr>
          <w:rFonts w:ascii="Arial" w:hAnsi="Arial" w:cs="Arial"/>
          <w:i/>
          <w:szCs w:val="22"/>
        </w:rPr>
        <w:t xml:space="preserve">Det nya och betydligt större beståndet har </w:t>
      </w:r>
      <w:r w:rsidR="00862EE3">
        <w:rPr>
          <w:rFonts w:ascii="Arial" w:hAnsi="Arial" w:cs="Arial"/>
          <w:i/>
          <w:szCs w:val="22"/>
        </w:rPr>
        <w:t xml:space="preserve">gett oss nya utmaningar </w:t>
      </w:r>
      <w:r w:rsidR="002E1DFF" w:rsidRPr="003678E6">
        <w:rPr>
          <w:rFonts w:ascii="Arial" w:hAnsi="Arial" w:cs="Arial"/>
          <w:i/>
          <w:szCs w:val="22"/>
        </w:rPr>
        <w:t>på SveaReal. Vi har organiserat om till två lokala marknadsområden för att komma närmare våra kunder. Vi har även förstärkt organisationen med ytterligare medarbetare</w:t>
      </w:r>
      <w:r w:rsidRPr="003678E6">
        <w:rPr>
          <w:rFonts w:ascii="Arial" w:hAnsi="Arial" w:cs="Arial"/>
          <w:szCs w:val="22"/>
        </w:rPr>
        <w:t xml:space="preserve">, </w:t>
      </w:r>
      <w:r w:rsidRPr="003678E6">
        <w:rPr>
          <w:rFonts w:ascii="Arial" w:hAnsi="Arial" w:cs="Arial"/>
          <w:color w:val="000000" w:themeColor="text1"/>
          <w:szCs w:val="22"/>
        </w:rPr>
        <w:t>säger VD Claes Malmkvist.</w:t>
      </w:r>
      <w:r w:rsidR="007973E1" w:rsidRPr="003678E6">
        <w:rPr>
          <w:rFonts w:ascii="Arial" w:hAnsi="Arial" w:cs="Arial"/>
          <w:szCs w:val="22"/>
        </w:rPr>
        <w:t xml:space="preserve"> </w:t>
      </w:r>
    </w:p>
    <w:p w:rsidR="001B464A" w:rsidRPr="003678E6" w:rsidRDefault="00CE1CF4" w:rsidP="00CE1CF4">
      <w:pPr>
        <w:tabs>
          <w:tab w:val="clear" w:pos="284"/>
        </w:tabs>
        <w:autoSpaceDE w:val="0"/>
        <w:autoSpaceDN w:val="0"/>
        <w:ind w:right="424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br/>
      </w:r>
      <w:r w:rsidR="003678E6" w:rsidRPr="003678E6">
        <w:rPr>
          <w:rFonts w:ascii="Arial" w:hAnsi="Arial" w:cs="Arial"/>
          <w:szCs w:val="22"/>
        </w:rPr>
        <w:t xml:space="preserve">Vakansgraden för SveaReals fastighetsbestånd </w:t>
      </w:r>
      <w:r w:rsidR="00862EE3">
        <w:rPr>
          <w:rFonts w:ascii="Arial" w:hAnsi="Arial" w:cs="Arial"/>
          <w:szCs w:val="22"/>
        </w:rPr>
        <w:t>låg</w:t>
      </w:r>
      <w:r w:rsidR="003678E6" w:rsidRPr="003678E6">
        <w:rPr>
          <w:rFonts w:ascii="Arial" w:hAnsi="Arial" w:cs="Arial"/>
          <w:szCs w:val="22"/>
        </w:rPr>
        <w:t xml:space="preserve"> </w:t>
      </w:r>
      <w:r w:rsidR="00862EE3">
        <w:rPr>
          <w:rFonts w:ascii="Arial" w:hAnsi="Arial" w:cs="Arial"/>
          <w:szCs w:val="22"/>
        </w:rPr>
        <w:t>tidigare</w:t>
      </w:r>
      <w:r w:rsidR="003678E6" w:rsidRPr="003678E6">
        <w:rPr>
          <w:rFonts w:ascii="Arial" w:hAnsi="Arial" w:cs="Arial"/>
          <w:szCs w:val="22"/>
        </w:rPr>
        <w:t xml:space="preserve"> mycket lågt (under 4 %) men i samband med förvärvet </w:t>
      </w:r>
      <w:r w:rsidR="00862EE3">
        <w:rPr>
          <w:rFonts w:ascii="Arial" w:hAnsi="Arial" w:cs="Arial"/>
          <w:szCs w:val="22"/>
        </w:rPr>
        <w:t>av</w:t>
      </w:r>
      <w:r w:rsidR="003678E6" w:rsidRPr="003678E6">
        <w:rPr>
          <w:rFonts w:ascii="Arial" w:hAnsi="Arial" w:cs="Arial"/>
          <w:szCs w:val="22"/>
        </w:rPr>
        <w:t xml:space="preserve"> fastigheterna i Kista har denna ökat till 11,3 %.</w:t>
      </w:r>
      <w:r w:rsidR="00862EE3">
        <w:rPr>
          <w:rFonts w:ascii="Arial" w:hAnsi="Arial" w:cs="Arial"/>
          <w:szCs w:val="22"/>
        </w:rPr>
        <w:br/>
      </w:r>
      <w:proofErr w:type="gramStart"/>
      <w:r w:rsidR="00FD5B9A" w:rsidRPr="003678E6">
        <w:rPr>
          <w:rFonts w:ascii="Arial" w:hAnsi="Arial" w:cs="Arial"/>
          <w:i/>
          <w:color w:val="000000" w:themeColor="text1"/>
          <w:szCs w:val="22"/>
        </w:rPr>
        <w:t>-</w:t>
      </w:r>
      <w:proofErr w:type="gramEnd"/>
      <w:r w:rsidR="00FD5B9A" w:rsidRPr="003678E6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="003678E6" w:rsidRPr="003678E6">
        <w:rPr>
          <w:rFonts w:ascii="Arial" w:hAnsi="Arial" w:cs="Arial"/>
          <w:i/>
          <w:color w:val="000000" w:themeColor="text1"/>
          <w:szCs w:val="22"/>
        </w:rPr>
        <w:t>Jag känner mig trygg trots detta då det i stället utmanar oss att skapa tryck på vår uthyrning så att vi återigen landar runt 4 %</w:t>
      </w:r>
      <w:r w:rsidR="00862EE3">
        <w:rPr>
          <w:rFonts w:ascii="Arial" w:hAnsi="Arial" w:cs="Arial"/>
          <w:i/>
          <w:color w:val="000000" w:themeColor="text1"/>
          <w:szCs w:val="22"/>
        </w:rPr>
        <w:t>-nivån</w:t>
      </w:r>
      <w:r w:rsidR="00C870D3" w:rsidRPr="003678E6">
        <w:rPr>
          <w:rFonts w:ascii="Arial" w:hAnsi="Arial" w:cs="Arial"/>
          <w:i/>
          <w:color w:val="000000" w:themeColor="text1"/>
          <w:szCs w:val="22"/>
        </w:rPr>
        <w:t>,</w:t>
      </w:r>
      <w:r w:rsidR="001B464A" w:rsidRPr="003678E6">
        <w:rPr>
          <w:rFonts w:ascii="Arial" w:hAnsi="Arial" w:cs="Arial"/>
          <w:color w:val="000000" w:themeColor="text1"/>
          <w:szCs w:val="22"/>
        </w:rPr>
        <w:t xml:space="preserve"> avslutar </w:t>
      </w:r>
      <w:r w:rsidR="00FD5B9A" w:rsidRPr="003678E6">
        <w:rPr>
          <w:rFonts w:ascii="Arial" w:hAnsi="Arial" w:cs="Arial"/>
          <w:color w:val="000000" w:themeColor="text1"/>
          <w:szCs w:val="22"/>
        </w:rPr>
        <w:t xml:space="preserve">VD </w:t>
      </w:r>
      <w:r w:rsidR="001B464A" w:rsidRPr="003678E6">
        <w:rPr>
          <w:rFonts w:ascii="Arial" w:hAnsi="Arial" w:cs="Arial"/>
          <w:color w:val="000000" w:themeColor="text1"/>
          <w:szCs w:val="22"/>
        </w:rPr>
        <w:t>Claes Malmkvist</w:t>
      </w:r>
      <w:r w:rsidR="00FD5B9A" w:rsidRPr="003678E6">
        <w:rPr>
          <w:rFonts w:ascii="Arial" w:hAnsi="Arial" w:cs="Arial"/>
          <w:color w:val="000000" w:themeColor="text1"/>
          <w:szCs w:val="22"/>
        </w:rPr>
        <w:t>.</w:t>
      </w:r>
    </w:p>
    <w:p w:rsidR="00B22B6E" w:rsidRPr="003678E6" w:rsidRDefault="001B0256" w:rsidP="00D277AD">
      <w:pPr>
        <w:tabs>
          <w:tab w:val="clear" w:pos="284"/>
          <w:tab w:val="left" w:pos="0"/>
        </w:tabs>
        <w:spacing w:after="240"/>
        <w:ind w:right="141"/>
        <w:rPr>
          <w:rFonts w:ascii="Arial" w:hAnsi="Arial" w:cs="Arial"/>
          <w:szCs w:val="22"/>
        </w:rPr>
      </w:pPr>
      <w:r w:rsidRPr="003678E6">
        <w:rPr>
          <w:rFonts w:ascii="Arial" w:hAnsi="Arial" w:cs="Arial"/>
          <w:color w:val="000000" w:themeColor="text1"/>
          <w:szCs w:val="22"/>
        </w:rPr>
        <w:br/>
      </w:r>
      <w:r w:rsidR="00B22B6E" w:rsidRPr="003678E6">
        <w:rPr>
          <w:rFonts w:ascii="Arial" w:hAnsi="Arial" w:cs="Arial"/>
          <w:szCs w:val="22"/>
        </w:rPr>
        <w:t xml:space="preserve">För vidare frågor kontakta </w:t>
      </w:r>
      <w:r w:rsidR="00127CCF" w:rsidRPr="003678E6">
        <w:rPr>
          <w:rFonts w:ascii="Arial" w:hAnsi="Arial" w:cs="Arial"/>
          <w:szCs w:val="22"/>
        </w:rPr>
        <w:t xml:space="preserve">SveaReals </w:t>
      </w:r>
      <w:r w:rsidR="00D04679" w:rsidRPr="003678E6">
        <w:rPr>
          <w:rFonts w:ascii="Arial" w:hAnsi="Arial" w:cs="Arial"/>
          <w:szCs w:val="22"/>
        </w:rPr>
        <w:t>V</w:t>
      </w:r>
      <w:r w:rsidR="00945B64" w:rsidRPr="003678E6">
        <w:rPr>
          <w:rFonts w:ascii="Arial" w:hAnsi="Arial" w:cs="Arial"/>
          <w:szCs w:val="22"/>
        </w:rPr>
        <w:t>D Claes Malmkvist, 031-63 65 90.</w:t>
      </w:r>
    </w:p>
    <w:sectPr w:rsidR="00B22B6E" w:rsidRPr="003678E6" w:rsidSect="00115096">
      <w:headerReference w:type="default" r:id="rId8"/>
      <w:headerReference w:type="first" r:id="rId9"/>
      <w:footerReference w:type="first" r:id="rId10"/>
      <w:type w:val="continuous"/>
      <w:pgSz w:w="11907" w:h="16840" w:code="9"/>
      <w:pgMar w:top="567" w:right="1134" w:bottom="851" w:left="1418" w:header="284" w:footer="17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E6" w:rsidRDefault="003678E6">
      <w:r>
        <w:separator/>
      </w:r>
    </w:p>
  </w:endnote>
  <w:endnote w:type="continuationSeparator" w:id="0">
    <w:p w:rsidR="003678E6" w:rsidRDefault="00367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E6" w:rsidRPr="009E3F7C" w:rsidRDefault="003678E6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3678E6" w:rsidRPr="00862EE3" w:rsidRDefault="00A17952" w:rsidP="00862EE3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862EE3"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="00862EE3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cirka 8</w:t>
    </w:r>
    <w:r w:rsidR="00862EE3"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="00862EE3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0 000 kvm. Bolaget omsätter 700 MSEK och har </w:t>
    </w:r>
    <w:r w:rsidR="00862EE3">
      <w:rPr>
        <w:rFonts w:ascii="Arial" w:hAnsi="Arial" w:cs="Arial"/>
        <w:b/>
        <w:color w:val="808080" w:themeColor="background1" w:themeShade="80"/>
        <w:sz w:val="18"/>
        <w:szCs w:val="18"/>
      </w:rPr>
      <w:t>24</w:t>
    </w:r>
    <w:r w:rsidR="00862EE3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="00862EE3"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r w:rsidR="00862EE3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>SveaReals</w:t>
    </w:r>
    <w:bookmarkStart w:id="2" w:name="_GoBack"/>
    <w:bookmarkEnd w:id="2"/>
    <w:r w:rsidR="00862EE3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 aktieägare består i första hand av norska institutionella kapitalplacerare, privata bolag och privatpersoner. </w:t>
    </w:r>
    <w:r w:rsidR="00862EE3"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862EE3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862EE3"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862EE3">
      <w:rPr>
        <w:rFonts w:ascii="Arial" w:hAnsi="Arial" w:cs="Arial"/>
        <w:b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E6" w:rsidRDefault="003678E6">
      <w:r>
        <w:separator/>
      </w:r>
    </w:p>
  </w:footnote>
  <w:footnote w:type="continuationSeparator" w:id="0">
    <w:p w:rsidR="003678E6" w:rsidRDefault="00367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3306"/>
      <w:gridCol w:w="2684"/>
      <w:gridCol w:w="3049"/>
    </w:tblGrid>
    <w:tr w:rsidR="003678E6">
      <w:tc>
        <w:tcPr>
          <w:tcW w:w="2881" w:type="dxa"/>
        </w:tcPr>
        <w:p w:rsidR="003678E6" w:rsidRDefault="003678E6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3678E6" w:rsidRDefault="003678E6">
          <w:pPr>
            <w:pStyle w:val="Sidhuvud"/>
            <w:jc w:val="center"/>
          </w:pPr>
        </w:p>
      </w:tc>
      <w:tc>
        <w:tcPr>
          <w:tcW w:w="3276" w:type="dxa"/>
        </w:tcPr>
        <w:p w:rsidR="003678E6" w:rsidRDefault="003678E6">
          <w:pPr>
            <w:pStyle w:val="Sidhuvud"/>
            <w:jc w:val="right"/>
          </w:pPr>
        </w:p>
      </w:tc>
    </w:tr>
  </w:tbl>
  <w:p w:rsidR="003678E6" w:rsidRDefault="003678E6">
    <w:pPr>
      <w:pStyle w:val="Sidhuvud"/>
    </w:pPr>
  </w:p>
  <w:p w:rsidR="003678E6" w:rsidRDefault="003678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2866"/>
      <w:gridCol w:w="2867"/>
      <w:gridCol w:w="3306"/>
    </w:tblGrid>
    <w:tr w:rsidR="003678E6" w:rsidTr="007A30AC">
      <w:trPr>
        <w:trHeight w:val="537"/>
      </w:trPr>
      <w:tc>
        <w:tcPr>
          <w:tcW w:w="2866" w:type="dxa"/>
        </w:tcPr>
        <w:p w:rsidR="003678E6" w:rsidRDefault="003678E6">
          <w:pPr>
            <w:pStyle w:val="Sidhuvud"/>
          </w:pPr>
        </w:p>
      </w:tc>
      <w:tc>
        <w:tcPr>
          <w:tcW w:w="2867" w:type="dxa"/>
        </w:tcPr>
        <w:p w:rsidR="003678E6" w:rsidRDefault="003678E6">
          <w:pPr>
            <w:pStyle w:val="Sidhuvud"/>
            <w:jc w:val="center"/>
          </w:pPr>
        </w:p>
      </w:tc>
      <w:tc>
        <w:tcPr>
          <w:tcW w:w="3306" w:type="dxa"/>
        </w:tcPr>
        <w:p w:rsidR="003678E6" w:rsidRDefault="003678E6">
          <w:pPr>
            <w:pStyle w:val="Sidhuvud"/>
            <w:jc w:val="right"/>
          </w:pPr>
        </w:p>
      </w:tc>
    </w:tr>
  </w:tbl>
  <w:p w:rsidR="003678E6" w:rsidRDefault="003678E6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04188"/>
    <w:multiLevelType w:val="hybridMultilevel"/>
    <w:tmpl w:val="A8EE45E0"/>
    <w:lvl w:ilvl="0" w:tplc="ECF62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561F7"/>
    <w:multiLevelType w:val="hybridMultilevel"/>
    <w:tmpl w:val="E3FA806C"/>
    <w:lvl w:ilvl="0" w:tplc="74AC5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stylePaneFormatFilter w:val="3F0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E3F7C"/>
    <w:rsid w:val="000006BA"/>
    <w:rsid w:val="000037B0"/>
    <w:rsid w:val="00005106"/>
    <w:rsid w:val="00017E03"/>
    <w:rsid w:val="00042AD7"/>
    <w:rsid w:val="00054174"/>
    <w:rsid w:val="000607E1"/>
    <w:rsid w:val="00064A0F"/>
    <w:rsid w:val="000E5056"/>
    <w:rsid w:val="000F42E0"/>
    <w:rsid w:val="000F4848"/>
    <w:rsid w:val="00100DC0"/>
    <w:rsid w:val="00111791"/>
    <w:rsid w:val="00115096"/>
    <w:rsid w:val="00121901"/>
    <w:rsid w:val="00127CCF"/>
    <w:rsid w:val="00131045"/>
    <w:rsid w:val="00135ADE"/>
    <w:rsid w:val="0015034D"/>
    <w:rsid w:val="00155756"/>
    <w:rsid w:val="0016072C"/>
    <w:rsid w:val="00163DE3"/>
    <w:rsid w:val="00181874"/>
    <w:rsid w:val="001B0256"/>
    <w:rsid w:val="001B464A"/>
    <w:rsid w:val="001F311E"/>
    <w:rsid w:val="002017F1"/>
    <w:rsid w:val="0023201C"/>
    <w:rsid w:val="0024327B"/>
    <w:rsid w:val="00256F97"/>
    <w:rsid w:val="00277F92"/>
    <w:rsid w:val="002A4B41"/>
    <w:rsid w:val="002A739F"/>
    <w:rsid w:val="002B0A1C"/>
    <w:rsid w:val="002B7409"/>
    <w:rsid w:val="002C68CF"/>
    <w:rsid w:val="002E1DFF"/>
    <w:rsid w:val="002E3EEE"/>
    <w:rsid w:val="00313C01"/>
    <w:rsid w:val="0031481B"/>
    <w:rsid w:val="00331D30"/>
    <w:rsid w:val="00333554"/>
    <w:rsid w:val="003371BC"/>
    <w:rsid w:val="00337B8E"/>
    <w:rsid w:val="003503C3"/>
    <w:rsid w:val="00355D36"/>
    <w:rsid w:val="003678E6"/>
    <w:rsid w:val="003771E2"/>
    <w:rsid w:val="003B1F2A"/>
    <w:rsid w:val="003D4BB5"/>
    <w:rsid w:val="003F54DB"/>
    <w:rsid w:val="00402C67"/>
    <w:rsid w:val="00411B09"/>
    <w:rsid w:val="00453FC8"/>
    <w:rsid w:val="004702A5"/>
    <w:rsid w:val="00480B55"/>
    <w:rsid w:val="00487D80"/>
    <w:rsid w:val="00494C51"/>
    <w:rsid w:val="004C4946"/>
    <w:rsid w:val="00514DA5"/>
    <w:rsid w:val="005355CC"/>
    <w:rsid w:val="005616BC"/>
    <w:rsid w:val="0057135E"/>
    <w:rsid w:val="00572FB5"/>
    <w:rsid w:val="00575484"/>
    <w:rsid w:val="005941A6"/>
    <w:rsid w:val="005A34F4"/>
    <w:rsid w:val="005C151B"/>
    <w:rsid w:val="005E5F86"/>
    <w:rsid w:val="00601328"/>
    <w:rsid w:val="006057E9"/>
    <w:rsid w:val="0061717F"/>
    <w:rsid w:val="00675DAF"/>
    <w:rsid w:val="006B412B"/>
    <w:rsid w:val="007175CD"/>
    <w:rsid w:val="00726551"/>
    <w:rsid w:val="0072798A"/>
    <w:rsid w:val="007973E1"/>
    <w:rsid w:val="007A30AC"/>
    <w:rsid w:val="007C3ACC"/>
    <w:rsid w:val="007E2DBF"/>
    <w:rsid w:val="008034F5"/>
    <w:rsid w:val="00862EE3"/>
    <w:rsid w:val="008642A8"/>
    <w:rsid w:val="00865DA8"/>
    <w:rsid w:val="008939AA"/>
    <w:rsid w:val="00893FBF"/>
    <w:rsid w:val="008C5A01"/>
    <w:rsid w:val="008D1C44"/>
    <w:rsid w:val="009041AC"/>
    <w:rsid w:val="009200B0"/>
    <w:rsid w:val="00924929"/>
    <w:rsid w:val="00927390"/>
    <w:rsid w:val="00941056"/>
    <w:rsid w:val="00945B64"/>
    <w:rsid w:val="00984F7E"/>
    <w:rsid w:val="009865E4"/>
    <w:rsid w:val="009A378D"/>
    <w:rsid w:val="009E1EA6"/>
    <w:rsid w:val="009E3F7C"/>
    <w:rsid w:val="00A004E6"/>
    <w:rsid w:val="00A17952"/>
    <w:rsid w:val="00A33283"/>
    <w:rsid w:val="00A428A4"/>
    <w:rsid w:val="00A70EE9"/>
    <w:rsid w:val="00A740BB"/>
    <w:rsid w:val="00A8391E"/>
    <w:rsid w:val="00AA195F"/>
    <w:rsid w:val="00AB6648"/>
    <w:rsid w:val="00AF1708"/>
    <w:rsid w:val="00B06EB1"/>
    <w:rsid w:val="00B22B6E"/>
    <w:rsid w:val="00B819BF"/>
    <w:rsid w:val="00BA5C0F"/>
    <w:rsid w:val="00BC2018"/>
    <w:rsid w:val="00BE000B"/>
    <w:rsid w:val="00BE17C5"/>
    <w:rsid w:val="00C30E29"/>
    <w:rsid w:val="00C33C86"/>
    <w:rsid w:val="00C3751A"/>
    <w:rsid w:val="00C4627B"/>
    <w:rsid w:val="00C53AF8"/>
    <w:rsid w:val="00C54980"/>
    <w:rsid w:val="00C870D3"/>
    <w:rsid w:val="00C923DE"/>
    <w:rsid w:val="00C96F1E"/>
    <w:rsid w:val="00CA4702"/>
    <w:rsid w:val="00CB44C5"/>
    <w:rsid w:val="00CE1CF4"/>
    <w:rsid w:val="00D04679"/>
    <w:rsid w:val="00D2373C"/>
    <w:rsid w:val="00D277AD"/>
    <w:rsid w:val="00D3461C"/>
    <w:rsid w:val="00D40BE8"/>
    <w:rsid w:val="00D51688"/>
    <w:rsid w:val="00D600BE"/>
    <w:rsid w:val="00D661BB"/>
    <w:rsid w:val="00D90FC3"/>
    <w:rsid w:val="00DB662C"/>
    <w:rsid w:val="00DF3435"/>
    <w:rsid w:val="00E1451C"/>
    <w:rsid w:val="00E4753E"/>
    <w:rsid w:val="00E908EC"/>
    <w:rsid w:val="00E92C41"/>
    <w:rsid w:val="00EA5A95"/>
    <w:rsid w:val="00EA7BEC"/>
    <w:rsid w:val="00EB636B"/>
    <w:rsid w:val="00EF13A6"/>
    <w:rsid w:val="00F45473"/>
    <w:rsid w:val="00F466C1"/>
    <w:rsid w:val="00F70947"/>
    <w:rsid w:val="00F8406A"/>
    <w:rsid w:val="00F84FED"/>
    <w:rsid w:val="00FD5B9A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EB636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862E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subject/>
  <dc:creator>500001mne</dc:creator>
  <cp:keywords/>
  <dc:description/>
  <cp:lastModifiedBy>500001mne</cp:lastModifiedBy>
  <cp:revision>7</cp:revision>
  <cp:lastPrinted>2013-08-27T10:12:00Z</cp:lastPrinted>
  <dcterms:created xsi:type="dcterms:W3CDTF">2013-08-27T09:01:00Z</dcterms:created>
  <dcterms:modified xsi:type="dcterms:W3CDTF">2013-08-28T08:08:00Z</dcterms:modified>
</cp:coreProperties>
</file>