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FC" w:rsidRDefault="008C23D1" w:rsidP="002823DC">
      <w:r w:rsidRPr="00ED0DEE">
        <w:rPr>
          <w:rFonts w:ascii="Arial Narrow" w:hAnsi="Arial Narrow"/>
        </w:rPr>
        <w:t>Pressmeddelande</w:t>
      </w:r>
      <w:r w:rsidR="00BB1DDB" w:rsidRPr="00ED0DEE">
        <w:rPr>
          <w:rFonts w:ascii="Arial Narrow" w:hAnsi="Arial Narrow"/>
        </w:rPr>
        <w:t xml:space="preserve"> den </w:t>
      </w:r>
      <w:r w:rsidR="0059528E">
        <w:rPr>
          <w:rFonts w:ascii="Arial Narrow" w:hAnsi="Arial Narrow"/>
        </w:rPr>
        <w:t>2</w:t>
      </w:r>
      <w:r w:rsidR="002823DC">
        <w:rPr>
          <w:rFonts w:ascii="Arial Narrow" w:hAnsi="Arial Narrow"/>
        </w:rPr>
        <w:t>6</w:t>
      </w:r>
      <w:r w:rsidR="0059528E">
        <w:rPr>
          <w:rFonts w:ascii="Arial Narrow" w:hAnsi="Arial Narrow"/>
        </w:rPr>
        <w:t xml:space="preserve"> juni</w:t>
      </w:r>
      <w:r w:rsidR="00BB1DDB" w:rsidRPr="00ED0DEE">
        <w:rPr>
          <w:rFonts w:ascii="Arial Narrow" w:hAnsi="Arial Narrow"/>
        </w:rPr>
        <w:t>.</w:t>
      </w:r>
      <w:r>
        <w:tab/>
      </w:r>
    </w:p>
    <w:p w:rsidR="002823DC" w:rsidRDefault="002823DC" w:rsidP="002823DC">
      <w:pPr>
        <w:spacing w:after="0" w:line="240" w:lineRule="auto"/>
        <w:rPr>
          <w:rFonts w:ascii="Garamond" w:hAnsi="Garamond"/>
          <w:b/>
          <w:sz w:val="32"/>
          <w:szCs w:val="24"/>
        </w:rPr>
      </w:pPr>
    </w:p>
    <w:p w:rsidR="002823DC" w:rsidRDefault="002823DC" w:rsidP="002823DC">
      <w:pPr>
        <w:spacing w:after="0" w:line="240" w:lineRule="auto"/>
        <w:rPr>
          <w:rFonts w:ascii="Garamond" w:hAnsi="Garamond"/>
        </w:rPr>
      </w:pPr>
      <w:bookmarkStart w:id="0" w:name="_GoBack"/>
      <w:bookmarkEnd w:id="0"/>
      <w:r w:rsidRPr="00EB0C5A">
        <w:rPr>
          <w:rFonts w:ascii="Garamond" w:hAnsi="Garamond"/>
          <w:b/>
          <w:sz w:val="32"/>
          <w:szCs w:val="24"/>
        </w:rPr>
        <w:t>Fortsatt tillväxt och ett företag i förändring</w:t>
      </w:r>
      <w:r w:rsidRPr="00EB0C5A">
        <w:rPr>
          <w:rFonts w:ascii="Garamond" w:hAnsi="Garamond"/>
          <w:sz w:val="32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Pr="009F67F8">
        <w:rPr>
          <w:rFonts w:ascii="Garamond" w:hAnsi="Garamond"/>
        </w:rPr>
        <w:t xml:space="preserve">Omsättningen ökade med 17 % tack vare en stark vintersäsong och helårseffekter av de nya verksamheterna som förvärvats eller tagits över. </w:t>
      </w:r>
      <w:r>
        <w:rPr>
          <w:rFonts w:ascii="Garamond" w:hAnsi="Garamond"/>
        </w:rPr>
        <w:t>Av omsättningen föregående år utgjorde asylboende 7,5 mkr, vilket innebär att omsättningen med hänsyn tagen till den engångseffekten ökade med 22 %.</w:t>
      </w:r>
    </w:p>
    <w:p w:rsidR="002823DC" w:rsidRDefault="002823DC" w:rsidP="002823DC">
      <w:pPr>
        <w:spacing w:line="240" w:lineRule="auto"/>
        <w:rPr>
          <w:rFonts w:ascii="Garamond" w:hAnsi="Garamond"/>
        </w:rPr>
      </w:pPr>
      <w:r w:rsidRPr="009F67F8">
        <w:rPr>
          <w:rFonts w:ascii="Garamond" w:hAnsi="Garamond"/>
        </w:rPr>
        <w:t xml:space="preserve">Resultatet före </w:t>
      </w:r>
      <w:r>
        <w:rPr>
          <w:rFonts w:ascii="Garamond" w:hAnsi="Garamond"/>
        </w:rPr>
        <w:t xml:space="preserve">Goodwillavskrivningar, </w:t>
      </w:r>
      <w:r w:rsidRPr="009F67F8">
        <w:rPr>
          <w:rFonts w:ascii="Garamond" w:hAnsi="Garamond"/>
        </w:rPr>
        <w:t xml:space="preserve">bokslutsdispositioner och skatt försämrades med 18,8 Mkr under perioden jämfört med samma period föregående år. Driftskostnader för förvärvade anläggningar, Duse Udde, Sunne och </w:t>
      </w:r>
      <w:proofErr w:type="spellStart"/>
      <w:r w:rsidRPr="009F67F8">
        <w:rPr>
          <w:rFonts w:ascii="Garamond" w:hAnsi="Garamond"/>
        </w:rPr>
        <w:t>Ansia</w:t>
      </w:r>
      <w:proofErr w:type="spellEnd"/>
      <w:r w:rsidRPr="009F67F8">
        <w:rPr>
          <w:rFonts w:ascii="Garamond" w:hAnsi="Garamond"/>
        </w:rPr>
        <w:t xml:space="preserve"> belastar resultatet för perioden vilket det inte gjorde föregående år</w:t>
      </w:r>
      <w:r>
        <w:rPr>
          <w:rFonts w:ascii="Garamond" w:hAnsi="Garamond"/>
        </w:rPr>
        <w:t>, medan intäkterna till stora delar kommer under sommarsäsongen.</w:t>
      </w:r>
    </w:p>
    <w:p w:rsidR="002823DC" w:rsidRPr="00AF7BD9" w:rsidRDefault="002823DC" w:rsidP="002823DC">
      <w:pPr>
        <w:spacing w:line="240" w:lineRule="auto"/>
        <w:rPr>
          <w:rFonts w:ascii="Garamond" w:hAnsi="Garamond"/>
          <w:b/>
          <w:sz w:val="24"/>
          <w:szCs w:val="24"/>
        </w:rPr>
      </w:pPr>
      <w:r w:rsidRPr="00CC40B6">
        <w:rPr>
          <w:rFonts w:ascii="Garamond" w:hAnsi="Garamond"/>
          <w:b/>
          <w:sz w:val="24"/>
          <w:szCs w:val="24"/>
        </w:rPr>
        <w:t>Delårsrapport för koncernen 1 september 201</w:t>
      </w:r>
      <w:r>
        <w:rPr>
          <w:rFonts w:ascii="Garamond" w:hAnsi="Garamond"/>
          <w:b/>
          <w:sz w:val="24"/>
          <w:szCs w:val="24"/>
        </w:rPr>
        <w:t>6</w:t>
      </w:r>
      <w:r w:rsidRPr="00CC40B6">
        <w:rPr>
          <w:rFonts w:ascii="Garamond" w:hAnsi="Garamond"/>
          <w:b/>
          <w:sz w:val="24"/>
          <w:szCs w:val="24"/>
        </w:rPr>
        <w:t xml:space="preserve"> – 30 april 201</w:t>
      </w:r>
      <w:r>
        <w:rPr>
          <w:rFonts w:ascii="Garamond" w:hAnsi="Garamond"/>
          <w:b/>
          <w:sz w:val="24"/>
          <w:szCs w:val="24"/>
        </w:rPr>
        <w:t>7</w:t>
      </w:r>
      <w:r w:rsidRPr="00CC40B6">
        <w:rPr>
          <w:rFonts w:ascii="Garamond" w:hAnsi="Garamond"/>
          <w:b/>
          <w:sz w:val="24"/>
          <w:szCs w:val="24"/>
        </w:rPr>
        <w:t>.</w:t>
      </w:r>
    </w:p>
    <w:p w:rsidR="002823DC" w:rsidRPr="00732A1A" w:rsidRDefault="002823DC" w:rsidP="002823DC">
      <w:pPr>
        <w:pStyle w:val="Liststycke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Nettoomsättningen ökade</w:t>
      </w:r>
      <w:r w:rsidRPr="00161B30">
        <w:rPr>
          <w:rFonts w:ascii="Garamond" w:hAnsi="Garamond"/>
        </w:rPr>
        <w:t xml:space="preserve"> med 17 % (20 %), en ökning med 27</w:t>
      </w:r>
      <w:r>
        <w:rPr>
          <w:rFonts w:ascii="Garamond" w:hAnsi="Garamond"/>
        </w:rPr>
        <w:t>,2</w:t>
      </w:r>
      <w:r w:rsidRPr="00161B30">
        <w:rPr>
          <w:rFonts w:ascii="Garamond" w:hAnsi="Garamond"/>
        </w:rPr>
        <w:t xml:space="preserve"> Mkr </w:t>
      </w:r>
      <w:r>
        <w:rPr>
          <w:rFonts w:ascii="Garamond" w:hAnsi="Garamond"/>
        </w:rPr>
        <w:t xml:space="preserve">(26,9 Mkr) mot föregående år </w:t>
      </w:r>
    </w:p>
    <w:p w:rsidR="002823DC" w:rsidRPr="00732A1A" w:rsidRDefault="002823DC" w:rsidP="002823DC">
      <w:pPr>
        <w:pStyle w:val="Liststycke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732A1A">
        <w:rPr>
          <w:rFonts w:ascii="Garamond" w:hAnsi="Garamond"/>
        </w:rPr>
        <w:t xml:space="preserve">Resultat före Goodwillavskrivningar och </w:t>
      </w:r>
      <w:r w:rsidRPr="00161B30">
        <w:rPr>
          <w:rFonts w:ascii="Garamond" w:hAnsi="Garamond"/>
        </w:rPr>
        <w:t>skatt försämrades med 18,8 Mkr till – 16,8</w:t>
      </w:r>
      <w:r>
        <w:rPr>
          <w:rFonts w:ascii="Garamond" w:hAnsi="Garamond"/>
        </w:rPr>
        <w:t xml:space="preserve"> Mkr (2,0 Mkr</w:t>
      </w:r>
      <w:r w:rsidRPr="00732A1A">
        <w:rPr>
          <w:rFonts w:ascii="Garamond" w:hAnsi="Garamond"/>
        </w:rPr>
        <w:t>)</w:t>
      </w:r>
    </w:p>
    <w:p w:rsidR="002823DC" w:rsidRPr="00732A1A" w:rsidRDefault="002823DC" w:rsidP="002823DC">
      <w:pPr>
        <w:pStyle w:val="Liststycke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732A1A">
        <w:rPr>
          <w:rFonts w:ascii="Garamond" w:hAnsi="Garamond"/>
        </w:rPr>
        <w:t>So</w:t>
      </w:r>
      <w:r>
        <w:rPr>
          <w:rFonts w:ascii="Garamond" w:hAnsi="Garamond"/>
        </w:rPr>
        <w:t xml:space="preserve">liditeten är fortsatt stark </w:t>
      </w:r>
      <w:r w:rsidRPr="00161B30">
        <w:rPr>
          <w:rFonts w:ascii="Garamond" w:hAnsi="Garamond"/>
        </w:rPr>
        <w:t>43 %</w:t>
      </w:r>
      <w:r>
        <w:rPr>
          <w:rFonts w:ascii="Garamond" w:hAnsi="Garamond"/>
        </w:rPr>
        <w:t xml:space="preserve"> (48 %).</w:t>
      </w:r>
    </w:p>
    <w:p w:rsidR="002823DC" w:rsidRDefault="002823DC" w:rsidP="002823D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823DC" w:rsidRPr="00AF7BD9" w:rsidRDefault="002823DC" w:rsidP="002823DC">
      <w:pPr>
        <w:spacing w:line="240" w:lineRule="auto"/>
        <w:rPr>
          <w:rFonts w:ascii="Garamond" w:hAnsi="Garamond"/>
          <w:b/>
          <w:sz w:val="24"/>
          <w:szCs w:val="24"/>
        </w:rPr>
      </w:pPr>
      <w:r w:rsidRPr="00AF7BD9">
        <w:rPr>
          <w:rFonts w:ascii="Garamond" w:hAnsi="Garamond"/>
          <w:b/>
          <w:sz w:val="24"/>
          <w:szCs w:val="24"/>
        </w:rPr>
        <w:t>Resultatsammanställning</w:t>
      </w: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387"/>
        <w:gridCol w:w="263"/>
        <w:gridCol w:w="1240"/>
        <w:gridCol w:w="400"/>
        <w:gridCol w:w="1240"/>
        <w:gridCol w:w="400"/>
      </w:tblGrid>
      <w:tr w:rsidR="002823DC" w:rsidRPr="008C00D2" w:rsidTr="001559C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2016</w:t>
            </w:r>
            <w:r w:rsidRPr="00732A1A">
              <w:rPr>
                <w:rFonts w:ascii="Garamond" w:eastAsia="Times New Roman" w:hAnsi="Garamond" w:cs="Arial"/>
                <w:b/>
                <w:bCs/>
              </w:rPr>
              <w:t>-09-01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2015</w:t>
            </w:r>
            <w:r w:rsidRPr="00732A1A">
              <w:rPr>
                <w:rFonts w:ascii="Garamond" w:eastAsia="Times New Roman" w:hAnsi="Garamond" w:cs="Arial"/>
                <w:b/>
                <w:bCs/>
              </w:rPr>
              <w:t>-09-01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2014</w:t>
            </w:r>
            <w:r w:rsidRPr="00732A1A">
              <w:rPr>
                <w:rFonts w:ascii="Garamond" w:eastAsia="Times New Roman" w:hAnsi="Garamond" w:cs="Arial"/>
                <w:b/>
                <w:bCs/>
              </w:rPr>
              <w:t>-09-01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</w:p>
        </w:tc>
      </w:tr>
      <w:tr w:rsidR="002823DC" w:rsidRPr="008C00D2" w:rsidTr="001559C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Grönklittsgruppen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2017</w:t>
            </w:r>
            <w:r w:rsidRPr="00732A1A">
              <w:rPr>
                <w:rFonts w:ascii="Garamond" w:eastAsia="Times New Roman" w:hAnsi="Garamond" w:cs="Arial"/>
                <w:b/>
                <w:bCs/>
              </w:rPr>
              <w:t>-04-30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2016</w:t>
            </w:r>
            <w:r w:rsidRPr="00732A1A">
              <w:rPr>
                <w:rFonts w:ascii="Garamond" w:eastAsia="Times New Roman" w:hAnsi="Garamond" w:cs="Arial"/>
                <w:b/>
                <w:bCs/>
              </w:rPr>
              <w:t>-04-30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2015</w:t>
            </w:r>
            <w:r w:rsidRPr="00732A1A">
              <w:rPr>
                <w:rFonts w:ascii="Garamond" w:eastAsia="Times New Roman" w:hAnsi="Garamond" w:cs="Arial"/>
                <w:b/>
                <w:bCs/>
              </w:rPr>
              <w:t>-04-30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</w:p>
        </w:tc>
      </w:tr>
      <w:tr w:rsidR="002823DC" w:rsidRPr="008C00D2" w:rsidTr="001559C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8C00D2">
              <w:rPr>
                <w:rFonts w:ascii="Garamond" w:eastAsia="Times New Roman" w:hAnsi="Garamond" w:cs="Arial"/>
              </w:rPr>
              <w:t>Nettoomsättning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189 395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 w:rsidRPr="00732A1A">
              <w:rPr>
                <w:rFonts w:ascii="Garamond" w:eastAsia="Times New Roman" w:hAnsi="Garamond" w:cs="Arial"/>
              </w:rPr>
              <w:t>1</w:t>
            </w:r>
            <w:r>
              <w:rPr>
                <w:rFonts w:ascii="Garamond" w:eastAsia="Times New Roman" w:hAnsi="Garamond" w:cs="Arial"/>
              </w:rPr>
              <w:t>62 197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135 288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2823DC" w:rsidRPr="008C00D2" w:rsidTr="001559C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8C00D2">
              <w:rPr>
                <w:rFonts w:ascii="Garamond" w:eastAsia="Times New Roman" w:hAnsi="Garamond" w:cs="Arial"/>
              </w:rPr>
              <w:t>Rörelsens kostnader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Pr="003079B0" w:rsidRDefault="002823DC" w:rsidP="002823DC">
            <w:pPr>
              <w:pStyle w:val="Liststyck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181 700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-140 497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 w:rsidRPr="00732A1A">
              <w:rPr>
                <w:rFonts w:ascii="Garamond" w:eastAsia="Times New Roman" w:hAnsi="Garamond" w:cs="Arial"/>
              </w:rPr>
              <w:t>-</w:t>
            </w:r>
            <w:r>
              <w:rPr>
                <w:rFonts w:ascii="Garamond" w:eastAsia="Times New Roman" w:hAnsi="Garamond" w:cs="Arial"/>
              </w:rPr>
              <w:t>120 836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2823DC" w:rsidRPr="008C00D2" w:rsidTr="001559C5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8C00D2">
              <w:rPr>
                <w:rFonts w:ascii="Garamond" w:eastAsia="Times New Roman" w:hAnsi="Garamond" w:cs="Arial"/>
              </w:rPr>
              <w:t>Rörelseresultat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7 695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21 700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14 452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2823DC" w:rsidRPr="008C00D2" w:rsidTr="001559C5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8C00D2">
              <w:rPr>
                <w:rFonts w:ascii="Garamond" w:eastAsia="Times New Roman" w:hAnsi="Garamond" w:cs="Arial"/>
              </w:rPr>
              <w:t>Avskrivningar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-</w:t>
            </w:r>
            <w:proofErr w:type="gramEnd"/>
            <w:r>
              <w:rPr>
                <w:rFonts w:ascii="Garamond" w:eastAsia="Times New Roman" w:hAnsi="Garamond" w:cs="Arial"/>
              </w:rPr>
              <w:t>20 723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-</w:t>
            </w:r>
            <w:proofErr w:type="gramEnd"/>
            <w:r>
              <w:rPr>
                <w:rFonts w:ascii="Garamond" w:eastAsia="Times New Roman" w:hAnsi="Garamond" w:cs="Arial"/>
              </w:rPr>
              <w:t>17 015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-</w:t>
            </w:r>
            <w:proofErr w:type="gramEnd"/>
            <w:r>
              <w:rPr>
                <w:rFonts w:ascii="Garamond" w:eastAsia="Times New Roman" w:hAnsi="Garamond" w:cs="Arial"/>
              </w:rPr>
              <w:t>16 664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2823DC" w:rsidRPr="008C00D2" w:rsidTr="001559C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8C00D2">
              <w:rPr>
                <w:rFonts w:ascii="Garamond" w:eastAsia="Times New Roman" w:hAnsi="Garamond" w:cs="Arial"/>
              </w:rPr>
              <w:t>Finansiella poster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Pr="003079B0" w:rsidRDefault="002823DC" w:rsidP="002823DC">
            <w:pPr>
              <w:pStyle w:val="Liststyck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3 805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-</w:t>
            </w:r>
            <w:proofErr w:type="gramEnd"/>
            <w:r>
              <w:rPr>
                <w:rFonts w:ascii="Garamond" w:eastAsia="Times New Roman" w:hAnsi="Garamond" w:cs="Arial"/>
              </w:rPr>
              <w:t>2 704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-</w:t>
            </w:r>
            <w:proofErr w:type="gramEnd"/>
            <w:r>
              <w:rPr>
                <w:rFonts w:ascii="Garamond" w:eastAsia="Times New Roman" w:hAnsi="Garamond" w:cs="Arial"/>
              </w:rPr>
              <w:t>2 998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2823DC" w:rsidRPr="008C00D2" w:rsidTr="001559C5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8C00D2">
              <w:rPr>
                <w:rFonts w:ascii="Garamond" w:eastAsia="Times New Roman" w:hAnsi="Garamond" w:cs="Arial"/>
              </w:rPr>
              <w:t>Nettoresultat före Goodwillavskrivningar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823DC" w:rsidRPr="003079B0" w:rsidRDefault="002823DC" w:rsidP="002823DC">
            <w:pPr>
              <w:pStyle w:val="Liststyck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16 833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1 981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-</w:t>
            </w:r>
            <w:proofErr w:type="gramEnd"/>
            <w:r>
              <w:rPr>
                <w:rFonts w:ascii="Garamond" w:eastAsia="Times New Roman" w:hAnsi="Garamond" w:cs="Arial"/>
              </w:rPr>
              <w:t>5 210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2823DC" w:rsidRPr="008C00D2" w:rsidTr="001559C5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8C00D2">
              <w:rPr>
                <w:rFonts w:ascii="Garamond" w:eastAsia="Times New Roman" w:hAnsi="Garamond" w:cs="Arial"/>
              </w:rPr>
              <w:t>Avskrivning Goodwill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Pr="003079B0" w:rsidRDefault="002823DC" w:rsidP="002823DC">
            <w:pPr>
              <w:pStyle w:val="Liststyck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2 422 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 w:rsidRPr="00732A1A">
              <w:rPr>
                <w:rFonts w:ascii="Garamond" w:eastAsia="Times New Roman" w:hAnsi="Garamond" w:cs="Arial"/>
              </w:rPr>
              <w:t>-</w:t>
            </w:r>
            <w:proofErr w:type="gramEnd"/>
            <w:r w:rsidRPr="00732A1A">
              <w:rPr>
                <w:rFonts w:ascii="Garamond" w:eastAsia="Times New Roman" w:hAnsi="Garamond" w:cs="Arial"/>
              </w:rPr>
              <w:t>1 681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-</w:t>
            </w:r>
            <w:proofErr w:type="gramEnd"/>
            <w:r>
              <w:rPr>
                <w:rFonts w:ascii="Garamond" w:eastAsia="Times New Roman" w:hAnsi="Garamond" w:cs="Arial"/>
              </w:rPr>
              <w:t>1 681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2823DC" w:rsidRPr="008C00D2" w:rsidTr="001559C5">
        <w:trPr>
          <w:trHeight w:val="3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8C00D2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8C00D2">
              <w:rPr>
                <w:rFonts w:ascii="Garamond" w:eastAsia="Times New Roman" w:hAnsi="Garamond" w:cs="Arial"/>
              </w:rPr>
              <w:t xml:space="preserve">Nettoresultat före </w:t>
            </w:r>
            <w:proofErr w:type="spellStart"/>
            <w:r w:rsidRPr="008C00D2">
              <w:rPr>
                <w:rFonts w:ascii="Garamond" w:eastAsia="Times New Roman" w:hAnsi="Garamond" w:cs="Arial"/>
              </w:rPr>
              <w:t>bokslutsdisp</w:t>
            </w:r>
            <w:proofErr w:type="spellEnd"/>
            <w:r w:rsidRPr="008C00D2">
              <w:rPr>
                <w:rFonts w:ascii="Garamond" w:eastAsia="Times New Roman" w:hAnsi="Garamond" w:cs="Arial"/>
              </w:rPr>
              <w:t xml:space="preserve"> och skatt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823DC" w:rsidRPr="007034E1" w:rsidRDefault="002823DC" w:rsidP="002823DC">
            <w:pPr>
              <w:pStyle w:val="Liststyck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19 256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823DC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-</w:t>
            </w:r>
            <w:proofErr w:type="gramEnd"/>
            <w:r>
              <w:rPr>
                <w:rFonts w:ascii="Garamond" w:eastAsia="Times New Roman" w:hAnsi="Garamond" w:cs="Arial"/>
              </w:rPr>
              <w:t>6 891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DC" w:rsidRPr="00732A1A" w:rsidRDefault="002823DC" w:rsidP="001559C5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</w:tbl>
    <w:p w:rsidR="002823DC" w:rsidRPr="00F63F54" w:rsidRDefault="002823DC" w:rsidP="002823DC">
      <w:pPr>
        <w:pStyle w:val="Liststycke"/>
        <w:spacing w:after="0" w:line="240" w:lineRule="auto"/>
        <w:ind w:left="390"/>
        <w:rPr>
          <w:rFonts w:ascii="Garamond" w:hAnsi="Garamond"/>
        </w:rPr>
      </w:pPr>
    </w:p>
    <w:p w:rsidR="002823DC" w:rsidRPr="009F67F8" w:rsidRDefault="002823DC" w:rsidP="002823DC">
      <w:pPr>
        <w:spacing w:line="240" w:lineRule="auto"/>
        <w:rPr>
          <w:rFonts w:ascii="Garamond" w:hAnsi="Garamond"/>
        </w:rPr>
      </w:pPr>
      <w:r w:rsidRPr="009F67F8">
        <w:rPr>
          <w:rFonts w:ascii="Garamond" w:hAnsi="Garamond"/>
        </w:rPr>
        <w:t>Bokningsläget är positivt och för perioden maj till och med augusti och är 2</w:t>
      </w:r>
      <w:r>
        <w:rPr>
          <w:rFonts w:ascii="Garamond" w:hAnsi="Garamond"/>
        </w:rPr>
        <w:t>7</w:t>
      </w:r>
      <w:r w:rsidRPr="009F67F8">
        <w:rPr>
          <w:rFonts w:ascii="Garamond" w:hAnsi="Garamond"/>
        </w:rPr>
        <w:t xml:space="preserve"> % bättre än vid samma tidpunkt föregående år. Med tillförsikt ses det fram emot en sommar med fint väder och många gäster till anläggningar och parker.</w:t>
      </w:r>
    </w:p>
    <w:p w:rsidR="002823DC" w:rsidRDefault="002823DC" w:rsidP="002823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Hela delårsrapporten finns att läsa </w:t>
      </w:r>
      <w:r>
        <w:rPr>
          <w:rFonts w:ascii="Garamond" w:hAnsi="Garamond"/>
        </w:rPr>
        <w:t>på gronklittsgruppen.se.</w:t>
      </w:r>
    </w:p>
    <w:p w:rsidR="002823DC" w:rsidRDefault="002823DC" w:rsidP="002823DC">
      <w:pPr>
        <w:spacing w:after="0" w:line="240" w:lineRule="auto"/>
        <w:rPr>
          <w:rFonts w:ascii="Garamond" w:hAnsi="Garamond"/>
        </w:rPr>
      </w:pPr>
    </w:p>
    <w:p w:rsidR="002823DC" w:rsidRPr="0016118E" w:rsidRDefault="002823DC" w:rsidP="002823DC">
      <w:pPr>
        <w:spacing w:after="0" w:line="240" w:lineRule="auto"/>
        <w:rPr>
          <w:rFonts w:ascii="Garamond" w:hAnsi="Garamond"/>
          <w:b/>
        </w:rPr>
      </w:pPr>
      <w:r w:rsidRPr="0016118E">
        <w:rPr>
          <w:rFonts w:ascii="Garamond" w:hAnsi="Garamond"/>
          <w:b/>
        </w:rPr>
        <w:t>Ytterligare information lämnas av:</w:t>
      </w:r>
    </w:p>
    <w:p w:rsidR="002823DC" w:rsidRPr="00EB0C5A" w:rsidRDefault="002823DC" w:rsidP="002823DC">
      <w:pPr>
        <w:pStyle w:val="Rubrik3"/>
        <w:shd w:val="clear" w:color="auto" w:fill="FFFFFF"/>
        <w:spacing w:before="0"/>
        <w:rPr>
          <w:rFonts w:ascii="Garamond" w:eastAsiaTheme="minorEastAsia" w:hAnsi="Garamond" w:cstheme="minorBidi"/>
          <w:color w:val="auto"/>
          <w:sz w:val="22"/>
          <w:szCs w:val="22"/>
        </w:rPr>
      </w:pPr>
      <w:r w:rsidRPr="00EB0C5A">
        <w:rPr>
          <w:rFonts w:ascii="Garamond" w:eastAsiaTheme="minorEastAsia" w:hAnsi="Garamond" w:cstheme="minorBidi"/>
          <w:color w:val="auto"/>
          <w:sz w:val="22"/>
          <w:szCs w:val="22"/>
        </w:rPr>
        <w:t>Mark Baljeu, Verkställande direktör 0250-462 71</w:t>
      </w:r>
    </w:p>
    <w:p w:rsidR="002823DC" w:rsidRPr="00EB0C5A" w:rsidRDefault="002823DC" w:rsidP="002823DC">
      <w:pPr>
        <w:pStyle w:val="Rubrik3"/>
        <w:shd w:val="clear" w:color="auto" w:fill="FFFFFF"/>
        <w:spacing w:before="0"/>
        <w:rPr>
          <w:rFonts w:ascii="Garamond" w:eastAsiaTheme="minorEastAsia" w:hAnsi="Garamond" w:cstheme="minorBidi"/>
          <w:color w:val="auto"/>
          <w:sz w:val="22"/>
          <w:szCs w:val="22"/>
        </w:rPr>
      </w:pPr>
      <w:r w:rsidRPr="00EB0C5A">
        <w:rPr>
          <w:rFonts w:ascii="Garamond" w:eastAsiaTheme="minorEastAsia" w:hAnsi="Garamond" w:cstheme="minorBidi"/>
          <w:color w:val="auto"/>
          <w:sz w:val="22"/>
          <w:szCs w:val="22"/>
        </w:rPr>
        <w:t>Johanna Sammeli, Ekonomichef 0250-462 72</w:t>
      </w:r>
    </w:p>
    <w:p w:rsidR="002823DC" w:rsidRDefault="002823DC" w:rsidP="002823DC">
      <w:pPr>
        <w:spacing w:after="0" w:line="240" w:lineRule="auto"/>
        <w:rPr>
          <w:rFonts w:ascii="Garamond" w:hAnsi="Garamond"/>
        </w:rPr>
      </w:pPr>
    </w:p>
    <w:p w:rsidR="002823DC" w:rsidRPr="00EB0C5A" w:rsidRDefault="002823DC" w:rsidP="002823DC">
      <w:pPr>
        <w:spacing w:after="0" w:line="240" w:lineRule="auto"/>
        <w:rPr>
          <w:rFonts w:ascii="Garamond" w:hAnsi="Garamond"/>
          <w:b/>
        </w:rPr>
      </w:pPr>
      <w:r w:rsidRPr="00EB0C5A">
        <w:rPr>
          <w:rFonts w:ascii="Garamond" w:hAnsi="Garamond"/>
          <w:b/>
        </w:rPr>
        <w:t>Kort om Grönklittsgruppen:</w:t>
      </w:r>
    </w:p>
    <w:p w:rsidR="002823DC" w:rsidRDefault="002823DC" w:rsidP="002823DC">
      <w:pPr>
        <w:rPr>
          <w:rFonts w:ascii="Verdana" w:hAnsi="Verdana" w:cs="Calibri"/>
          <w:noProof/>
          <w:color w:val="808080"/>
          <w:sz w:val="16"/>
          <w:szCs w:val="16"/>
        </w:rPr>
      </w:pPr>
      <w:r w:rsidRPr="00EB0C5A">
        <w:rPr>
          <w:rFonts w:ascii="Garamond" w:hAnsi="Garamond"/>
        </w:rPr>
        <w:t xml:space="preserve">Grönklittsgruppen är ett av Sveriges snabbast växande turismföretag och omfattar följande anläggningar inom Camping, Temaparker och Skidanläggningar: Orsa Grönklitt, Orsa Rovdjurspark, Orsa Camping, Rättviks Camping, </w:t>
      </w:r>
      <w:proofErr w:type="spellStart"/>
      <w:r w:rsidRPr="00EB0C5A">
        <w:rPr>
          <w:rFonts w:ascii="Garamond" w:hAnsi="Garamond"/>
        </w:rPr>
        <w:t>Siljansbadets</w:t>
      </w:r>
      <w:proofErr w:type="spellEnd"/>
      <w:r w:rsidRPr="00EB0C5A">
        <w:rPr>
          <w:rFonts w:ascii="Garamond" w:hAnsi="Garamond"/>
        </w:rPr>
        <w:t xml:space="preserve"> Camping, Gränna Camping, Sagolandet Tomteland, Tänndalen, Moraparken, Säffle Duse Udde Camping, Sunne Camping &amp; Sommarland, </w:t>
      </w:r>
      <w:proofErr w:type="spellStart"/>
      <w:r w:rsidRPr="00EB0C5A">
        <w:rPr>
          <w:rFonts w:ascii="Garamond" w:hAnsi="Garamond"/>
        </w:rPr>
        <w:t>Ansia</w:t>
      </w:r>
      <w:proofErr w:type="spellEnd"/>
      <w:r w:rsidRPr="00EB0C5A">
        <w:rPr>
          <w:rFonts w:ascii="Garamond" w:hAnsi="Garamond"/>
        </w:rPr>
        <w:t xml:space="preserve"> </w:t>
      </w:r>
      <w:proofErr w:type="spellStart"/>
      <w:r w:rsidRPr="00EB0C5A">
        <w:rPr>
          <w:rFonts w:ascii="Garamond" w:hAnsi="Garamond"/>
        </w:rPr>
        <w:t>Resort</w:t>
      </w:r>
      <w:proofErr w:type="spellEnd"/>
      <w:r w:rsidRPr="00EB0C5A">
        <w:rPr>
          <w:rFonts w:ascii="Garamond" w:hAnsi="Garamond"/>
        </w:rPr>
        <w:t xml:space="preserve"> i Lycksele och </w:t>
      </w:r>
      <w:proofErr w:type="spellStart"/>
      <w:r w:rsidRPr="00EB0C5A">
        <w:rPr>
          <w:rFonts w:ascii="Garamond" w:hAnsi="Garamond"/>
        </w:rPr>
        <w:t>Ekerum</w:t>
      </w:r>
      <w:proofErr w:type="spellEnd"/>
      <w:r w:rsidRPr="00EB0C5A">
        <w:rPr>
          <w:rFonts w:ascii="Garamond" w:hAnsi="Garamond"/>
        </w:rPr>
        <w:t xml:space="preserve"> Camping.</w:t>
      </w:r>
      <w:r>
        <w:rPr>
          <w:rFonts w:ascii="Verdana" w:hAnsi="Verdana"/>
          <w:noProof/>
          <w:color w:val="808080"/>
          <w:sz w:val="16"/>
          <w:szCs w:val="16"/>
        </w:rPr>
        <w:t> </w:t>
      </w:r>
    </w:p>
    <w:sectPr w:rsidR="002823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B" w:rsidRDefault="00BB1DDB" w:rsidP="00BB1DDB">
      <w:pPr>
        <w:spacing w:after="0" w:line="240" w:lineRule="auto"/>
      </w:pPr>
      <w:r>
        <w:separator/>
      </w:r>
    </w:p>
  </w:endnote>
  <w:end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5C" w:rsidRPr="00ED0DEE" w:rsidRDefault="00CF29A3">
    <w:pPr>
      <w:pStyle w:val="Sidfot"/>
      <w:rPr>
        <w:rFonts w:ascii="Arial Narrow" w:hAnsi="Arial Narrow"/>
        <w:sz w:val="18"/>
        <w:szCs w:val="18"/>
      </w:rPr>
    </w:pPr>
    <w:r w:rsidRPr="00ED0DEE">
      <w:rPr>
        <w:rFonts w:ascii="Arial Narrow" w:hAnsi="Arial Narrow"/>
        <w:sz w:val="18"/>
        <w:szCs w:val="18"/>
      </w:rPr>
      <w:t>Grönklittsgruppen är ett av Sveriges snabbast växande turismföretag och har anläggningar inom tre huvudsakliga verksamhetsområden: skidåkning, camping och</w:t>
    </w:r>
    <w:r w:rsidR="002A005C" w:rsidRPr="00ED0DEE">
      <w:rPr>
        <w:rFonts w:ascii="Arial Narrow" w:hAnsi="Arial Narrow"/>
        <w:sz w:val="18"/>
        <w:szCs w:val="18"/>
      </w:rPr>
      <w:t xml:space="preserve"> temaparker. Tillsammans erbjuder de</w:t>
    </w:r>
    <w:r w:rsidRPr="00ED0DEE">
      <w:rPr>
        <w:rFonts w:ascii="Arial Narrow" w:hAnsi="Arial Narrow"/>
        <w:sz w:val="18"/>
        <w:szCs w:val="18"/>
      </w:rPr>
      <w:t xml:space="preserve"> ett brett utbud av upplevelser, aktiviteter och boenden för alla typer av besökare, året runt.</w:t>
    </w:r>
    <w:r w:rsidR="002A005C" w:rsidRPr="00ED0DEE">
      <w:rPr>
        <w:rFonts w:ascii="Arial Narrow" w:hAnsi="Arial Narrow"/>
        <w:sz w:val="18"/>
        <w:szCs w:val="18"/>
      </w:rPr>
      <w:br/>
    </w:r>
    <w:r w:rsidR="002A005C" w:rsidRPr="00ED0DEE">
      <w:rPr>
        <w:rFonts w:ascii="Arial Narrow" w:hAnsi="Arial Narrow"/>
        <w:sz w:val="18"/>
        <w:szCs w:val="18"/>
      </w:rPr>
      <w:br/>
    </w:r>
    <w:r w:rsidR="00ED0DEE">
      <w:rPr>
        <w:rFonts w:ascii="Arial Narrow" w:hAnsi="Arial Narrow"/>
        <w:sz w:val="18"/>
        <w:szCs w:val="18"/>
      </w:rPr>
      <w:t>Grö</w:t>
    </w:r>
    <w:r w:rsidR="002A005C" w:rsidRPr="00ED0DEE">
      <w:rPr>
        <w:rFonts w:ascii="Arial Narrow" w:hAnsi="Arial Narrow"/>
        <w:sz w:val="18"/>
        <w:szCs w:val="18"/>
      </w:rPr>
      <w:t>nklitt</w:t>
    </w:r>
    <w:r w:rsidR="00ED0DEE">
      <w:rPr>
        <w:rFonts w:ascii="Arial Narrow" w:hAnsi="Arial Narrow"/>
        <w:sz w:val="18"/>
        <w:szCs w:val="18"/>
      </w:rPr>
      <w:t>s</w:t>
    </w:r>
    <w:r w:rsidR="002A005C" w:rsidRPr="00ED0DEE">
      <w:rPr>
        <w:rFonts w:ascii="Arial Narrow" w:hAnsi="Arial Narrow"/>
        <w:sz w:val="18"/>
        <w:szCs w:val="18"/>
      </w:rPr>
      <w:t xml:space="preserve">gruppen AB, Box 133, 794 92 Orsa, </w:t>
    </w:r>
    <w:hyperlink r:id="rId1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www.gronklittsgruppen.se</w:t>
      </w:r>
    </w:hyperlink>
    <w:r w:rsidR="002A005C" w:rsidRPr="00ED0DEE">
      <w:rPr>
        <w:rFonts w:ascii="Arial Narrow" w:hAnsi="Arial Narrow"/>
        <w:sz w:val="18"/>
        <w:szCs w:val="18"/>
      </w:rPr>
      <w:t xml:space="preserve">, </w:t>
    </w:r>
    <w:hyperlink r:id="rId2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info@gronklittsgruppen.se</w:t>
      </w:r>
    </w:hyperlink>
    <w:r w:rsidR="002A005C" w:rsidRPr="00ED0DEE">
      <w:rPr>
        <w:rFonts w:ascii="Arial Narrow" w:hAnsi="Arial Narrow"/>
        <w:sz w:val="18"/>
        <w:szCs w:val="18"/>
      </w:rPr>
      <w:t>, +46(0)250 462 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B" w:rsidRDefault="00BB1DDB" w:rsidP="00BB1DDB">
      <w:pPr>
        <w:spacing w:after="0" w:line="240" w:lineRule="auto"/>
      </w:pPr>
      <w:r>
        <w:separator/>
      </w:r>
    </w:p>
  </w:footnote>
  <w:foot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DB" w:rsidRDefault="00BB1DDB">
    <w:pPr>
      <w:pStyle w:val="Sidhuvud"/>
    </w:pPr>
    <w:r>
      <w:rPr>
        <w:noProof/>
        <w:lang w:eastAsia="sv-SE"/>
      </w:rPr>
      <w:drawing>
        <wp:inline distT="0" distB="0" distL="0" distR="0">
          <wp:extent cx="2880000" cy="444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klittsgruppen_primä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DDB" w:rsidRPr="00ED0DEE" w:rsidRDefault="00BB1DDB">
    <w:pPr>
      <w:pStyle w:val="Sidhuvud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BC3"/>
    <w:multiLevelType w:val="hybridMultilevel"/>
    <w:tmpl w:val="D7B621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95436"/>
    <w:multiLevelType w:val="hybridMultilevel"/>
    <w:tmpl w:val="A6BE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67B"/>
    <w:multiLevelType w:val="hybridMultilevel"/>
    <w:tmpl w:val="C76AA8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169CE"/>
    <w:multiLevelType w:val="hybridMultilevel"/>
    <w:tmpl w:val="A17A4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521"/>
    <w:multiLevelType w:val="hybridMultilevel"/>
    <w:tmpl w:val="152A703A"/>
    <w:lvl w:ilvl="0" w:tplc="7E4ED91E">
      <w:numFmt w:val="bullet"/>
      <w:lvlText w:val="-"/>
      <w:lvlJc w:val="left"/>
      <w:pPr>
        <w:ind w:left="390" w:hanging="360"/>
      </w:pPr>
      <w:rPr>
        <w:rFonts w:ascii="Myriad Pro Cond" w:eastAsiaTheme="minorHAnsi" w:hAnsi="Myriad Pro C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65C5798"/>
    <w:multiLevelType w:val="hybridMultilevel"/>
    <w:tmpl w:val="74EE2826"/>
    <w:lvl w:ilvl="0" w:tplc="041D0001">
      <w:start w:val="1"/>
      <w:numFmt w:val="bullet"/>
      <w:lvlText w:val=""/>
      <w:lvlJc w:val="left"/>
      <w:pPr>
        <w:ind w:left="204" w:hanging="20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30EBC"/>
    <w:multiLevelType w:val="hybridMultilevel"/>
    <w:tmpl w:val="2CA6404A"/>
    <w:lvl w:ilvl="0" w:tplc="0A5AA29E">
      <w:numFmt w:val="bullet"/>
      <w:lvlText w:val=""/>
      <w:lvlJc w:val="left"/>
      <w:pPr>
        <w:ind w:left="564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3FA4"/>
    <w:multiLevelType w:val="hybridMultilevel"/>
    <w:tmpl w:val="7816572C"/>
    <w:lvl w:ilvl="0" w:tplc="0A5AA29E">
      <w:numFmt w:val="bullet"/>
      <w:lvlText w:val=""/>
      <w:lvlJc w:val="left"/>
      <w:pPr>
        <w:ind w:left="612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1"/>
    <w:rsid w:val="0009571A"/>
    <w:rsid w:val="000B1049"/>
    <w:rsid w:val="002823DC"/>
    <w:rsid w:val="00284886"/>
    <w:rsid w:val="002A005C"/>
    <w:rsid w:val="002A0A47"/>
    <w:rsid w:val="002A326F"/>
    <w:rsid w:val="002E3592"/>
    <w:rsid w:val="002E73FB"/>
    <w:rsid w:val="00310F87"/>
    <w:rsid w:val="003363DF"/>
    <w:rsid w:val="003E0423"/>
    <w:rsid w:val="0041108A"/>
    <w:rsid w:val="00456528"/>
    <w:rsid w:val="00482D51"/>
    <w:rsid w:val="004C204D"/>
    <w:rsid w:val="004D1A06"/>
    <w:rsid w:val="005673F8"/>
    <w:rsid w:val="0059528E"/>
    <w:rsid w:val="005A13FC"/>
    <w:rsid w:val="00666D57"/>
    <w:rsid w:val="006A07DC"/>
    <w:rsid w:val="00700100"/>
    <w:rsid w:val="00782DD5"/>
    <w:rsid w:val="00794080"/>
    <w:rsid w:val="00864037"/>
    <w:rsid w:val="008C23D1"/>
    <w:rsid w:val="008C2A05"/>
    <w:rsid w:val="008D1A6B"/>
    <w:rsid w:val="00A56162"/>
    <w:rsid w:val="00A8086B"/>
    <w:rsid w:val="00AC0A8A"/>
    <w:rsid w:val="00AF7AD4"/>
    <w:rsid w:val="00B51D91"/>
    <w:rsid w:val="00BB1DDB"/>
    <w:rsid w:val="00BE30EC"/>
    <w:rsid w:val="00C03FEF"/>
    <w:rsid w:val="00C3718D"/>
    <w:rsid w:val="00C7008F"/>
    <w:rsid w:val="00CF29A3"/>
    <w:rsid w:val="00E209D1"/>
    <w:rsid w:val="00E2204A"/>
    <w:rsid w:val="00ED0DEE"/>
    <w:rsid w:val="00F53E10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8290C76-9CAA-4937-89B9-CC247DD3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23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DDB"/>
  </w:style>
  <w:style w:type="paragraph" w:styleId="Sidfot">
    <w:name w:val="footer"/>
    <w:basedOn w:val="Normal"/>
    <w:link w:val="Sidfot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DDB"/>
  </w:style>
  <w:style w:type="character" w:styleId="Hyperlnk">
    <w:name w:val="Hyperlink"/>
    <w:basedOn w:val="Standardstycketeckensnitt"/>
    <w:uiPriority w:val="99"/>
    <w:unhideWhenUsed/>
    <w:rsid w:val="00AF7AD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CF29A3"/>
    <w:pPr>
      <w:spacing w:after="0" w:line="240" w:lineRule="auto"/>
    </w:pPr>
    <w:rPr>
      <w:rFonts w:asciiTheme="minorHAnsi" w:hAnsiTheme="minorHAnsi" w:cstheme="minorBidi"/>
    </w:rPr>
  </w:style>
  <w:style w:type="paragraph" w:styleId="Normalwebb">
    <w:name w:val="Normal (Web)"/>
    <w:basedOn w:val="Normal"/>
    <w:uiPriority w:val="99"/>
    <w:unhideWhenUsed/>
    <w:rsid w:val="00CF29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4037"/>
    <w:pPr>
      <w:ind w:left="720"/>
      <w:contextualSpacing/>
    </w:pPr>
  </w:style>
  <w:style w:type="character" w:customStyle="1" w:styleId="st1">
    <w:name w:val="st1"/>
    <w:basedOn w:val="Standardstycketeckensnitt"/>
    <w:rsid w:val="00700100"/>
  </w:style>
  <w:style w:type="paragraph" w:styleId="Brdtext">
    <w:name w:val="Body Text"/>
    <w:basedOn w:val="Normal"/>
    <w:link w:val="BrdtextChar"/>
    <w:rsid w:val="002E359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BrdtextChar">
    <w:name w:val="Brödtext Char"/>
    <w:basedOn w:val="Standardstycketeckensnitt"/>
    <w:link w:val="Brdtext"/>
    <w:rsid w:val="002E3592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value">
    <w:name w:val="value"/>
    <w:basedOn w:val="Standardstycketeckensnitt"/>
    <w:rsid w:val="00A8086B"/>
  </w:style>
  <w:style w:type="character" w:customStyle="1" w:styleId="Rubrik3Char">
    <w:name w:val="Rubrik 3 Char"/>
    <w:basedOn w:val="Standardstycketeckensnitt"/>
    <w:link w:val="Rubrik3"/>
    <w:uiPriority w:val="9"/>
    <w:rsid w:val="002823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onklittsgruppen.se" TargetMode="External"/><Relationship Id="rId1" Type="http://schemas.openxmlformats.org/officeDocument/2006/relationships/hyperlink" Target="http://www.gronklittsgrupp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Pellas</dc:creator>
  <cp:lastModifiedBy>Daniel Mäkinen</cp:lastModifiedBy>
  <cp:revision>2</cp:revision>
  <cp:lastPrinted>2017-06-26T06:49:00Z</cp:lastPrinted>
  <dcterms:created xsi:type="dcterms:W3CDTF">2017-06-26T14:53:00Z</dcterms:created>
  <dcterms:modified xsi:type="dcterms:W3CDTF">2017-06-26T14:53:00Z</dcterms:modified>
</cp:coreProperties>
</file>