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C9F63" w14:textId="77777777"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58810C02" wp14:editId="69B68316">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14:paraId="615B6A09" w14:textId="77777777" w:rsidR="00CE59A0" w:rsidRDefault="00CE59A0" w:rsidP="009A1395">
      <w:pPr>
        <w:spacing w:line="276" w:lineRule="auto"/>
        <w:jc w:val="both"/>
        <w:rPr>
          <w:rFonts w:ascii="Arial" w:hAnsi="Arial" w:cs="Arial"/>
          <w:sz w:val="44"/>
        </w:rPr>
      </w:pPr>
    </w:p>
    <w:p w14:paraId="0AFFC9A4" w14:textId="77777777"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14:paraId="11E76169" w14:textId="77777777"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14:paraId="706B7CB4" w14:textId="77777777" w:rsidTr="00C058B6">
        <w:trPr>
          <w:trHeight w:val="284"/>
        </w:trPr>
        <w:tc>
          <w:tcPr>
            <w:tcW w:w="8931" w:type="dxa"/>
            <w:gridSpan w:val="3"/>
            <w:vAlign w:val="center"/>
          </w:tcPr>
          <w:p w14:paraId="7490C1E6" w14:textId="77777777"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14:paraId="7F73CBED" w14:textId="77777777" w:rsidTr="00C058B6">
        <w:trPr>
          <w:trHeight w:val="284"/>
        </w:trPr>
        <w:tc>
          <w:tcPr>
            <w:tcW w:w="2835" w:type="dxa"/>
            <w:vAlign w:val="center"/>
          </w:tcPr>
          <w:p w14:paraId="669BF1CF" w14:textId="77777777"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14:paraId="07988C1C" w14:textId="77777777"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14:paraId="0243D5F5" w14:textId="77777777" w:rsidR="0097046B" w:rsidRPr="00E92AEF" w:rsidRDefault="004A5828" w:rsidP="00BF7CCB">
            <w:pPr>
              <w:spacing w:line="276" w:lineRule="auto"/>
              <w:jc w:val="both"/>
              <w:rPr>
                <w:rFonts w:ascii="Arial" w:hAnsi="Arial" w:cs="Arial"/>
              </w:rPr>
            </w:pPr>
            <w:r>
              <w:rPr>
                <w:rFonts w:ascii="Arial" w:hAnsi="Arial" w:cs="Arial"/>
              </w:rPr>
              <w:t xml:space="preserve">Denisa </w:t>
            </w:r>
            <w:r w:rsidR="00BF7CCB">
              <w:rPr>
                <w:rFonts w:ascii="Arial" w:hAnsi="Arial" w:cs="Arial"/>
              </w:rPr>
              <w:t>Buriánová</w:t>
            </w:r>
          </w:p>
        </w:tc>
      </w:tr>
      <w:tr w:rsidR="0097046B" w:rsidRPr="00E92AEF" w14:paraId="0648110F" w14:textId="77777777" w:rsidTr="00C058B6">
        <w:trPr>
          <w:trHeight w:val="554"/>
        </w:trPr>
        <w:tc>
          <w:tcPr>
            <w:tcW w:w="2835" w:type="dxa"/>
            <w:vAlign w:val="center"/>
          </w:tcPr>
          <w:p w14:paraId="18633E96"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14:paraId="3264B1DF" w14:textId="77777777"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14:paraId="5C088663" w14:textId="77777777"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14:paraId="4E185DA7" w14:textId="77777777"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14:paraId="17CDB9C5"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14:paraId="4A5C75D6" w14:textId="77777777"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14:paraId="58216038"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14:paraId="13751724"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14:paraId="0E058EE8"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14:paraId="259AA97E" w14:textId="77777777" w:rsidTr="00C058B6">
        <w:trPr>
          <w:trHeight w:val="569"/>
        </w:trPr>
        <w:tc>
          <w:tcPr>
            <w:tcW w:w="2835" w:type="dxa"/>
            <w:vAlign w:val="center"/>
          </w:tcPr>
          <w:p w14:paraId="15C31776" w14:textId="77777777" w:rsidR="0097046B" w:rsidRPr="00E92AEF" w:rsidRDefault="00885754"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14:paraId="7867C761" w14:textId="77777777"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14:paraId="4058D950" w14:textId="77777777" w:rsidR="0097046B" w:rsidRPr="00E92AEF" w:rsidRDefault="00885754" w:rsidP="009A1395">
            <w:pPr>
              <w:spacing w:line="276" w:lineRule="auto"/>
              <w:jc w:val="both"/>
              <w:rPr>
                <w:rStyle w:val="Hyperlink"/>
                <w:rFonts w:ascii="Arial" w:hAnsi="Arial" w:cs="Arial"/>
                <w:color w:val="auto"/>
              </w:rPr>
            </w:pPr>
            <w:hyperlink r:id="rId10" w:history="1">
              <w:r w:rsidR="00BF7CCB" w:rsidRPr="00BF7CCB">
                <w:rPr>
                  <w:rStyle w:val="Hyperlink"/>
                  <w:rFonts w:ascii="Arial" w:hAnsi="Arial" w:cs="Arial"/>
                  <w:color w:val="auto"/>
                </w:rPr>
                <w:t>dburiano@ford.com</w:t>
              </w:r>
            </w:hyperlink>
            <w:r w:rsidR="00C058B6" w:rsidRPr="00E92AEF">
              <w:rPr>
                <w:rStyle w:val="Hyperlink"/>
                <w:rFonts w:ascii="Arial" w:hAnsi="Arial" w:cs="Arial"/>
                <w:color w:val="auto"/>
              </w:rPr>
              <w:t xml:space="preserve"> </w:t>
            </w:r>
          </w:p>
          <w:p w14:paraId="2B959C51" w14:textId="77777777" w:rsidR="0097046B" w:rsidRPr="00E92AEF" w:rsidRDefault="004A5828" w:rsidP="00BF7CCB">
            <w:pPr>
              <w:spacing w:line="276" w:lineRule="auto"/>
              <w:jc w:val="both"/>
              <w:rPr>
                <w:rFonts w:ascii="Arial" w:hAnsi="Arial" w:cs="Arial"/>
              </w:rPr>
            </w:pPr>
            <w:r>
              <w:rPr>
                <w:rStyle w:val="Hyperlink"/>
                <w:rFonts w:ascii="Arial" w:hAnsi="Arial" w:cs="Arial"/>
                <w:color w:val="auto"/>
              </w:rPr>
              <w:t>denisa.</w:t>
            </w:r>
            <w:r w:rsidR="00BF7CCB">
              <w:rPr>
                <w:rStyle w:val="Hyperlink"/>
                <w:rFonts w:ascii="Arial" w:hAnsi="Arial" w:cs="Arial"/>
                <w:color w:val="auto"/>
              </w:rPr>
              <w:t>burianova</w:t>
            </w:r>
            <w:r w:rsidR="001B0EB8" w:rsidRPr="00E92AEF">
              <w:rPr>
                <w:rStyle w:val="Hyperlink"/>
                <w:rFonts w:ascii="Arial" w:hAnsi="Arial" w:cs="Arial"/>
                <w:color w:val="auto"/>
              </w:rPr>
              <w:t>@amic.cz</w:t>
            </w:r>
          </w:p>
        </w:tc>
      </w:tr>
    </w:tbl>
    <w:p w14:paraId="396506FD" w14:textId="77777777" w:rsidR="000D6F88" w:rsidRPr="00E92AEF" w:rsidRDefault="000D6F88" w:rsidP="009A1395">
      <w:pPr>
        <w:pStyle w:val="Heading1"/>
        <w:spacing w:line="276" w:lineRule="auto"/>
        <w:jc w:val="both"/>
        <w:rPr>
          <w:rFonts w:ascii="Arial" w:hAnsi="Arial" w:cs="Arial"/>
          <w:sz w:val="22"/>
          <w:szCs w:val="22"/>
        </w:rPr>
      </w:pPr>
    </w:p>
    <w:p w14:paraId="73C9E4EF" w14:textId="77777777"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14:paraId="23609A8A" w14:textId="77777777" w:rsidR="002B7725" w:rsidRPr="00495226" w:rsidRDefault="002B7725" w:rsidP="009A1395">
      <w:pPr>
        <w:pStyle w:val="BodyText2"/>
        <w:spacing w:line="276" w:lineRule="auto"/>
        <w:jc w:val="both"/>
        <w:rPr>
          <w:rFonts w:ascii="Arial" w:hAnsi="Arial" w:cs="Arial"/>
          <w:b/>
          <w:bCs/>
          <w:sz w:val="28"/>
          <w:szCs w:val="32"/>
          <w:lang w:val="cs-CZ"/>
        </w:rPr>
      </w:pPr>
    </w:p>
    <w:p w14:paraId="4C156165" w14:textId="77777777" w:rsidR="00BF7CCB" w:rsidRPr="00BF7CCB" w:rsidRDefault="00BF7CCB" w:rsidP="00BF7CCB">
      <w:pPr>
        <w:pStyle w:val="BodyText2"/>
        <w:spacing w:line="276" w:lineRule="auto"/>
        <w:jc w:val="both"/>
        <w:rPr>
          <w:rFonts w:ascii="Arial" w:hAnsi="Arial" w:cs="Arial"/>
          <w:b/>
          <w:bCs/>
          <w:sz w:val="44"/>
          <w:szCs w:val="32"/>
          <w:lang w:val="cs-CZ"/>
        </w:rPr>
      </w:pPr>
      <w:r w:rsidRPr="00BF7CCB">
        <w:rPr>
          <w:rFonts w:ascii="Arial" w:hAnsi="Arial" w:cs="Arial"/>
          <w:b/>
          <w:bCs/>
          <w:sz w:val="44"/>
          <w:szCs w:val="32"/>
          <w:lang w:val="cs-CZ"/>
        </w:rPr>
        <w:t>Ford ve Frankfurtu představuje elektrifikované modely. Už v roce 2022 jich plánuje prodávat více než vozů s konvenčním spalovacím motorem</w:t>
      </w:r>
    </w:p>
    <w:p w14:paraId="6B46418C" w14:textId="77777777" w:rsidR="004A5828" w:rsidRPr="00B37CF9" w:rsidRDefault="004A5828" w:rsidP="00311D56">
      <w:pPr>
        <w:pStyle w:val="BodyText2"/>
        <w:spacing w:line="276" w:lineRule="auto"/>
        <w:jc w:val="both"/>
        <w:rPr>
          <w:rFonts w:ascii="Arial" w:hAnsi="Arial" w:cs="Arial"/>
          <w:b/>
          <w:bCs/>
          <w:sz w:val="22"/>
          <w:szCs w:val="22"/>
          <w:lang w:val="cs-CZ"/>
        </w:rPr>
      </w:pPr>
    </w:p>
    <w:p w14:paraId="014D7A3F" w14:textId="389D22F9" w:rsidR="00BF7CCB" w:rsidRPr="00BF7CCB" w:rsidRDefault="00BF7CCB" w:rsidP="00325D8C">
      <w:pPr>
        <w:pStyle w:val="ListParagraph"/>
        <w:numPr>
          <w:ilvl w:val="0"/>
          <w:numId w:val="2"/>
        </w:numPr>
        <w:spacing w:line="276" w:lineRule="auto"/>
        <w:ind w:left="720" w:right="-24"/>
        <w:jc w:val="both"/>
        <w:rPr>
          <w:rFonts w:ascii="Arial" w:hAnsi="Arial" w:cs="Arial"/>
          <w:b/>
          <w:szCs w:val="22"/>
        </w:rPr>
      </w:pPr>
      <w:r w:rsidRPr="00BF7CCB">
        <w:rPr>
          <w:rFonts w:ascii="Arial" w:hAnsi="Arial" w:cs="Arial"/>
          <w:b/>
          <w:szCs w:val="22"/>
        </w:rPr>
        <w:t xml:space="preserve">Ford na mezinárodním autosalonu ve Frankfurtu nad Mohanem představuje svoji zatím nejsilnější řadu elektrifikovaných modelů. Patří k nim </w:t>
      </w:r>
      <w:r w:rsidR="00CB41FE">
        <w:rPr>
          <w:rFonts w:ascii="Arial" w:hAnsi="Arial" w:cs="Arial"/>
          <w:b/>
          <w:szCs w:val="22"/>
        </w:rPr>
        <w:t xml:space="preserve">hybridní verze modelů </w:t>
      </w:r>
      <w:r w:rsidRPr="00BF7CCB">
        <w:rPr>
          <w:rFonts w:ascii="Arial" w:hAnsi="Arial" w:cs="Arial"/>
          <w:b/>
          <w:szCs w:val="22"/>
        </w:rPr>
        <w:t>Puma</w:t>
      </w:r>
      <w:r w:rsidR="00CB41FE">
        <w:rPr>
          <w:rFonts w:ascii="Arial" w:hAnsi="Arial" w:cs="Arial"/>
          <w:b/>
          <w:szCs w:val="22"/>
        </w:rPr>
        <w:t>,</w:t>
      </w:r>
      <w:r w:rsidRPr="00BF7CCB">
        <w:rPr>
          <w:rFonts w:ascii="Arial" w:hAnsi="Arial" w:cs="Arial"/>
          <w:b/>
          <w:szCs w:val="22"/>
        </w:rPr>
        <w:t xml:space="preserve"> Explorer</w:t>
      </w:r>
      <w:r w:rsidR="00CB41FE">
        <w:rPr>
          <w:rFonts w:ascii="Arial" w:hAnsi="Arial" w:cs="Arial"/>
          <w:b/>
          <w:szCs w:val="22"/>
        </w:rPr>
        <w:t xml:space="preserve">, </w:t>
      </w:r>
      <w:r w:rsidRPr="00BF7CCB">
        <w:rPr>
          <w:rFonts w:ascii="Arial" w:hAnsi="Arial" w:cs="Arial"/>
          <w:b/>
          <w:szCs w:val="22"/>
        </w:rPr>
        <w:t>Tourneo Custom</w:t>
      </w:r>
      <w:r w:rsidR="00CB41FE">
        <w:rPr>
          <w:rFonts w:ascii="Arial" w:hAnsi="Arial" w:cs="Arial"/>
          <w:b/>
          <w:szCs w:val="22"/>
        </w:rPr>
        <w:t>.</w:t>
      </w:r>
      <w:r w:rsidRPr="00BF7CCB">
        <w:rPr>
          <w:rFonts w:ascii="Arial" w:hAnsi="Arial" w:cs="Arial"/>
          <w:b/>
          <w:szCs w:val="22"/>
        </w:rPr>
        <w:t xml:space="preserve"> </w:t>
      </w:r>
      <w:r w:rsidR="00CB41FE">
        <w:rPr>
          <w:rFonts w:ascii="Arial" w:hAnsi="Arial" w:cs="Arial"/>
          <w:b/>
          <w:szCs w:val="22"/>
        </w:rPr>
        <w:t>N</w:t>
      </w:r>
      <w:r w:rsidR="00CB41FE" w:rsidRPr="00BF7CCB">
        <w:rPr>
          <w:rFonts w:ascii="Arial" w:hAnsi="Arial" w:cs="Arial"/>
          <w:b/>
          <w:szCs w:val="22"/>
        </w:rPr>
        <w:t xml:space="preserve">ová </w:t>
      </w:r>
      <w:r w:rsidRPr="00BF7CCB">
        <w:rPr>
          <w:rFonts w:ascii="Arial" w:hAnsi="Arial" w:cs="Arial"/>
          <w:b/>
          <w:szCs w:val="22"/>
        </w:rPr>
        <w:t>Kuga</w:t>
      </w:r>
      <w:r w:rsidR="00CB41FE">
        <w:rPr>
          <w:rFonts w:ascii="Arial" w:hAnsi="Arial" w:cs="Arial"/>
          <w:b/>
          <w:szCs w:val="22"/>
        </w:rPr>
        <w:t xml:space="preserve"> bude jako</w:t>
      </w:r>
      <w:r w:rsidRPr="00BF7CCB">
        <w:rPr>
          <w:rFonts w:ascii="Arial" w:hAnsi="Arial" w:cs="Arial"/>
          <w:b/>
          <w:szCs w:val="22"/>
        </w:rPr>
        <w:t xml:space="preserve"> historicky první model Fordu nabízen</w:t>
      </w:r>
      <w:r w:rsidR="00CB41FE">
        <w:rPr>
          <w:rFonts w:ascii="Arial" w:hAnsi="Arial" w:cs="Arial"/>
          <w:b/>
          <w:szCs w:val="22"/>
        </w:rPr>
        <w:t>á</w:t>
      </w:r>
      <w:r w:rsidRPr="00BF7CCB">
        <w:rPr>
          <w:rFonts w:ascii="Arial" w:hAnsi="Arial" w:cs="Arial"/>
          <w:b/>
          <w:szCs w:val="22"/>
        </w:rPr>
        <w:t xml:space="preserve"> jako mild-hybrid, full-hybrid i plug-in hybrid</w:t>
      </w:r>
    </w:p>
    <w:p w14:paraId="14576309" w14:textId="77777777" w:rsidR="00BF7CCB" w:rsidRPr="00BF7CCB" w:rsidRDefault="00BF7CCB" w:rsidP="00BF7CCB">
      <w:pPr>
        <w:pStyle w:val="ListParagraph"/>
        <w:spacing w:line="276" w:lineRule="auto"/>
        <w:ind w:right="-24"/>
        <w:jc w:val="both"/>
        <w:rPr>
          <w:rFonts w:ascii="Arial" w:hAnsi="Arial" w:cs="Arial"/>
          <w:b/>
          <w:szCs w:val="22"/>
        </w:rPr>
      </w:pPr>
    </w:p>
    <w:p w14:paraId="5E4F789A" w14:textId="799CC3E7" w:rsidR="00BF7CCB" w:rsidRPr="00885754" w:rsidRDefault="00BF7CCB" w:rsidP="00885754">
      <w:pPr>
        <w:pStyle w:val="ListParagraph"/>
        <w:numPr>
          <w:ilvl w:val="0"/>
          <w:numId w:val="2"/>
        </w:numPr>
        <w:spacing w:line="276" w:lineRule="auto"/>
        <w:ind w:left="720" w:right="-24"/>
        <w:jc w:val="both"/>
        <w:rPr>
          <w:rFonts w:ascii="Arial" w:hAnsi="Arial" w:cs="Arial"/>
          <w:b/>
          <w:szCs w:val="22"/>
        </w:rPr>
      </w:pPr>
      <w:r w:rsidRPr="00BF7CCB">
        <w:rPr>
          <w:rFonts w:ascii="Arial" w:hAnsi="Arial" w:cs="Arial"/>
          <w:b/>
          <w:szCs w:val="22"/>
        </w:rPr>
        <w:t>Ford očekává, že již v roce 2022 dosáhne bodu obratu, kdy budou elektrifikované varianty tvořit více než 50 procent všech prodaných vozů této značky</w:t>
      </w:r>
    </w:p>
    <w:p w14:paraId="0F9F1C73" w14:textId="77777777" w:rsidR="00BF7CCB" w:rsidRPr="00885754" w:rsidRDefault="00BF7CCB" w:rsidP="00885754">
      <w:pPr>
        <w:spacing w:line="276" w:lineRule="auto"/>
        <w:ind w:right="-24"/>
        <w:jc w:val="both"/>
        <w:rPr>
          <w:rFonts w:ascii="Arial" w:hAnsi="Arial" w:cs="Arial"/>
          <w:b/>
          <w:szCs w:val="22"/>
        </w:rPr>
      </w:pPr>
      <w:bookmarkStart w:id="9" w:name="_GoBack"/>
      <w:bookmarkEnd w:id="9"/>
    </w:p>
    <w:p w14:paraId="66131D33" w14:textId="77777777" w:rsidR="00BF7CCB" w:rsidRPr="00BF7CCB" w:rsidRDefault="00BF7CCB" w:rsidP="00325D8C">
      <w:pPr>
        <w:pStyle w:val="ListParagraph"/>
        <w:numPr>
          <w:ilvl w:val="0"/>
          <w:numId w:val="2"/>
        </w:numPr>
        <w:spacing w:line="276" w:lineRule="auto"/>
        <w:ind w:left="720" w:right="-24"/>
        <w:jc w:val="both"/>
        <w:rPr>
          <w:rFonts w:ascii="Arial" w:hAnsi="Arial" w:cs="Arial"/>
          <w:b/>
          <w:szCs w:val="22"/>
        </w:rPr>
      </w:pPr>
      <w:r w:rsidRPr="00BF7CCB">
        <w:rPr>
          <w:rFonts w:ascii="Arial" w:hAnsi="Arial" w:cs="Arial"/>
          <w:b/>
          <w:szCs w:val="22"/>
        </w:rPr>
        <w:t>Nová aplikace pro chytré telefony, připravená ve spolupráci se společností NewMotion, zajistí zákazníkům Fordu přístup k více než 118 tisícům veřejných nabíječek po celé Evropě</w:t>
      </w:r>
    </w:p>
    <w:p w14:paraId="06541AED" w14:textId="77777777" w:rsidR="00BF7CCB" w:rsidRPr="00BF7CCB" w:rsidRDefault="00BF7CCB" w:rsidP="00BF7CCB">
      <w:pPr>
        <w:pStyle w:val="ListParagraph"/>
        <w:spacing w:line="276" w:lineRule="auto"/>
        <w:ind w:right="-24"/>
        <w:jc w:val="both"/>
        <w:rPr>
          <w:rFonts w:ascii="Arial" w:hAnsi="Arial" w:cs="Arial"/>
          <w:b/>
          <w:szCs w:val="22"/>
        </w:rPr>
      </w:pPr>
    </w:p>
    <w:p w14:paraId="6399B110" w14:textId="77777777" w:rsidR="00BF7CCB" w:rsidRPr="00BF7CCB" w:rsidRDefault="00BF7CCB" w:rsidP="00325D8C">
      <w:pPr>
        <w:pStyle w:val="ListParagraph"/>
        <w:numPr>
          <w:ilvl w:val="0"/>
          <w:numId w:val="2"/>
        </w:numPr>
        <w:spacing w:line="276" w:lineRule="auto"/>
        <w:ind w:left="720" w:right="-24"/>
        <w:jc w:val="both"/>
        <w:rPr>
          <w:rFonts w:ascii="Arial" w:hAnsi="Arial" w:cs="Arial"/>
          <w:b/>
          <w:szCs w:val="22"/>
        </w:rPr>
      </w:pPr>
      <w:r w:rsidRPr="00BF7CCB">
        <w:rPr>
          <w:rFonts w:ascii="Arial" w:hAnsi="Arial" w:cs="Arial"/>
          <w:b/>
          <w:szCs w:val="22"/>
        </w:rPr>
        <w:t xml:space="preserve">Ford Puma se na autosalonu poprvé představuje ve vysokém stupni výbavy Titanium X </w:t>
      </w:r>
    </w:p>
    <w:p w14:paraId="1A2AB125" w14:textId="77777777" w:rsidR="00BF7CCB" w:rsidRPr="00BF7CCB" w:rsidRDefault="00BF7CCB" w:rsidP="00BF7CCB">
      <w:pPr>
        <w:pStyle w:val="ListParagraph"/>
        <w:spacing w:line="276" w:lineRule="auto"/>
        <w:ind w:right="-24"/>
        <w:jc w:val="both"/>
        <w:rPr>
          <w:rFonts w:ascii="Arial" w:hAnsi="Arial" w:cs="Arial"/>
          <w:b/>
          <w:szCs w:val="22"/>
        </w:rPr>
      </w:pPr>
    </w:p>
    <w:p w14:paraId="72DA955B" w14:textId="77777777" w:rsidR="00BF7CCB" w:rsidRPr="00BF7CCB" w:rsidRDefault="00BF7CCB" w:rsidP="00325D8C">
      <w:pPr>
        <w:pStyle w:val="ListParagraph"/>
        <w:numPr>
          <w:ilvl w:val="0"/>
          <w:numId w:val="2"/>
        </w:numPr>
        <w:spacing w:line="276" w:lineRule="auto"/>
        <w:ind w:left="720" w:right="-24"/>
        <w:jc w:val="both"/>
        <w:rPr>
          <w:rFonts w:ascii="Arial" w:hAnsi="Arial" w:cs="Arial"/>
          <w:b/>
          <w:szCs w:val="22"/>
        </w:rPr>
      </w:pPr>
      <w:r w:rsidRPr="00BF7CCB">
        <w:rPr>
          <w:rFonts w:ascii="Arial" w:hAnsi="Arial" w:cs="Arial"/>
          <w:b/>
          <w:szCs w:val="22"/>
        </w:rPr>
        <w:lastRenderedPageBreak/>
        <w:t>V rámci programu Go Electric mohou návštěvníci frankfurtské expozice Fordu vyzkoušet simulátor akcelerace elektrického automobilu nebo ukázky rozšířené reality</w:t>
      </w:r>
    </w:p>
    <w:p w14:paraId="46A0B7BF" w14:textId="77777777" w:rsidR="003576C0" w:rsidRPr="00B37CF9" w:rsidRDefault="003576C0" w:rsidP="00311D56">
      <w:pPr>
        <w:spacing w:line="276" w:lineRule="auto"/>
        <w:jc w:val="both"/>
      </w:pPr>
    </w:p>
    <w:p w14:paraId="1EB6059D" w14:textId="77777777" w:rsidR="003576C0" w:rsidRPr="00B37CF9" w:rsidRDefault="003576C0" w:rsidP="00311D56">
      <w:pPr>
        <w:spacing w:line="276" w:lineRule="auto"/>
        <w:jc w:val="both"/>
      </w:pPr>
    </w:p>
    <w:p w14:paraId="480208BD" w14:textId="6A2F3CDF" w:rsidR="003576C0" w:rsidRPr="00112FE6" w:rsidRDefault="003576C0" w:rsidP="00311D56">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BF7CCB">
        <w:rPr>
          <w:rFonts w:ascii="Arial" w:hAnsi="Arial" w:cs="Arial"/>
          <w:b/>
          <w:i/>
          <w:sz w:val="24"/>
        </w:rPr>
        <w:t>10</w:t>
      </w:r>
      <w:r w:rsidRPr="009A1395">
        <w:rPr>
          <w:rFonts w:ascii="Arial" w:hAnsi="Arial" w:cs="Arial"/>
          <w:b/>
          <w:i/>
          <w:sz w:val="24"/>
        </w:rPr>
        <w:t xml:space="preserve">. </w:t>
      </w:r>
      <w:r w:rsidR="00BF7CCB">
        <w:rPr>
          <w:rFonts w:ascii="Arial" w:hAnsi="Arial" w:cs="Arial"/>
          <w:b/>
          <w:i/>
          <w:sz w:val="24"/>
        </w:rPr>
        <w:t>září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BF7CCB" w:rsidRPr="00BF7CCB">
        <w:rPr>
          <w:rFonts w:ascii="Arial" w:hAnsi="Arial" w:cs="Arial"/>
          <w:b/>
          <w:sz w:val="24"/>
        </w:rPr>
        <w:t xml:space="preserve">Ford dnes na mezinárodním autosalonu ve Frankfurtu nad Mohanem jasně demonstroval, že je připraven na elektrifikovanou budoucnost. Značka zde představuje svoji zatím nejrozsáhlejší řadu elektrifikovaných modelů a očekává, že už ke konci roku 2022 budou tyto modely mít na celkových prodejních výsledcích vyšší podíl než vozy poháněné </w:t>
      </w:r>
      <w:r w:rsidR="00CB41FE">
        <w:rPr>
          <w:rFonts w:ascii="Arial" w:hAnsi="Arial" w:cs="Arial"/>
          <w:b/>
          <w:sz w:val="24"/>
        </w:rPr>
        <w:t xml:space="preserve">jen </w:t>
      </w:r>
      <w:r w:rsidR="00BF7CCB" w:rsidRPr="00BF7CCB">
        <w:rPr>
          <w:rFonts w:ascii="Arial" w:hAnsi="Arial" w:cs="Arial"/>
          <w:b/>
          <w:sz w:val="24"/>
        </w:rPr>
        <w:t>běžnými spalovacími motory.</w:t>
      </w:r>
    </w:p>
    <w:p w14:paraId="1116170D" w14:textId="77777777" w:rsidR="00823C2B" w:rsidRPr="00823C2B" w:rsidRDefault="00823C2B" w:rsidP="00311D56">
      <w:pPr>
        <w:widowControl w:val="0"/>
        <w:autoSpaceDE w:val="0"/>
        <w:autoSpaceDN w:val="0"/>
        <w:adjustRightInd w:val="0"/>
        <w:spacing w:line="276" w:lineRule="auto"/>
        <w:jc w:val="both"/>
        <w:rPr>
          <w:rFonts w:ascii="Arial" w:hAnsi="Arial" w:cs="Arial"/>
          <w:sz w:val="24"/>
        </w:rPr>
      </w:pPr>
    </w:p>
    <w:p w14:paraId="177EFFC7"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r w:rsidRPr="00BF7CCB">
        <w:rPr>
          <w:rFonts w:ascii="Arial" w:hAnsi="Arial" w:cs="Arial"/>
          <w:sz w:val="24"/>
        </w:rPr>
        <w:t>Již před několika měsíci Ford oznámil, že každý nový osobní model této značky bude nabízen i v elektrifikovaném provedení – tedy jako mild-hybrid, full-hybrid, plug-in hybrid nebo stoprocentní elektromobil. Do roku 2024 uvede Ford na evropské trhy 18 elektrifikovaných modelů, z toho osm v průběhu roku 2019.</w:t>
      </w:r>
    </w:p>
    <w:p w14:paraId="7E2735A7"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p>
    <w:p w14:paraId="414248FF"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r w:rsidRPr="00BF7CCB">
        <w:rPr>
          <w:rFonts w:ascii="Arial" w:hAnsi="Arial" w:cs="Arial"/>
          <w:sz w:val="24"/>
        </w:rPr>
        <w:t xml:space="preserve">Ford očekává, že již v roce 2022 dosáhne bodu obratu, kdy se elektrifikované vozy budou prodávat ve vyšších počtech než varianty poháněné konvenčními zážehovými či vznětovými motory. Tou dobou by měl podle předpokladů po silnicích jezdit již více než jeden milion elektrifikovaných automobilů Ford. </w:t>
      </w:r>
    </w:p>
    <w:p w14:paraId="26F725E5"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p>
    <w:p w14:paraId="72759210"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r w:rsidRPr="00BF7CCB">
        <w:rPr>
          <w:rFonts w:ascii="Arial" w:hAnsi="Arial" w:cs="Arial"/>
          <w:sz w:val="24"/>
        </w:rPr>
        <w:t>V plně elektrifikované expozici značky Ford ve Frankfurtu si návštěvníci mohou prohlédnout následující modely:</w:t>
      </w:r>
    </w:p>
    <w:p w14:paraId="237161C8"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p>
    <w:p w14:paraId="4FC0F3C5" w14:textId="5BA1494E" w:rsidR="00BF7CCB" w:rsidRDefault="00885754" w:rsidP="00325D8C">
      <w:pPr>
        <w:numPr>
          <w:ilvl w:val="0"/>
          <w:numId w:val="3"/>
        </w:numPr>
        <w:rPr>
          <w:rFonts w:ascii="Arial" w:hAnsi="Arial" w:cs="Arial"/>
          <w:sz w:val="22"/>
          <w:szCs w:val="22"/>
        </w:rPr>
      </w:pPr>
      <w:hyperlink r:id="rId11" w:history="1">
        <w:r w:rsidR="00BF7CCB" w:rsidRPr="00BF7CCB">
          <w:rPr>
            <w:rStyle w:val="Hyperlink"/>
            <w:rFonts w:ascii="Arial" w:hAnsi="Arial" w:cs="Arial"/>
            <w:sz w:val="24"/>
          </w:rPr>
          <w:t>Nový Ford Kuga Plug-</w:t>
        </w:r>
        <w:r w:rsidR="00CB41FE">
          <w:rPr>
            <w:rStyle w:val="Hyperlink"/>
            <w:rFonts w:ascii="Arial" w:hAnsi="Arial" w:cs="Arial"/>
            <w:sz w:val="24"/>
          </w:rPr>
          <w:t>i</w:t>
        </w:r>
        <w:r w:rsidR="00BF7CCB" w:rsidRPr="00BF7CCB">
          <w:rPr>
            <w:rStyle w:val="Hyperlink"/>
            <w:rFonts w:ascii="Arial" w:hAnsi="Arial" w:cs="Arial"/>
            <w:sz w:val="24"/>
          </w:rPr>
          <w:t>n Hybrid</w:t>
        </w:r>
      </w:hyperlink>
      <w:r w:rsidR="00BF7CCB" w:rsidRPr="00BF7CCB">
        <w:rPr>
          <w:rFonts w:ascii="Arial" w:hAnsi="Arial" w:cs="Arial"/>
          <w:sz w:val="24"/>
        </w:rPr>
        <w:t>.</w:t>
      </w:r>
      <w:r w:rsidR="00BF7CCB">
        <w:rPr>
          <w:rFonts w:ascii="Arial" w:hAnsi="Arial" w:cs="Arial"/>
          <w:sz w:val="22"/>
          <w:szCs w:val="22"/>
        </w:rPr>
        <w:t xml:space="preserve"> </w:t>
      </w:r>
      <w:r w:rsidR="00BF7CCB" w:rsidRPr="00BF7CCB">
        <w:rPr>
          <w:rFonts w:ascii="Arial" w:hAnsi="Arial" w:cs="Arial"/>
          <w:sz w:val="24"/>
        </w:rPr>
        <w:t>Kuga je první model značky Ford nabízený jako mild-hybrid, full-hybrid i plug-in hybrid</w:t>
      </w:r>
    </w:p>
    <w:p w14:paraId="3854BCA9" w14:textId="1251AAE9" w:rsidR="00BF7CCB" w:rsidRDefault="00885754" w:rsidP="00325D8C">
      <w:pPr>
        <w:numPr>
          <w:ilvl w:val="0"/>
          <w:numId w:val="3"/>
        </w:numPr>
        <w:rPr>
          <w:rFonts w:ascii="Arial" w:hAnsi="Arial" w:cs="Arial"/>
          <w:sz w:val="22"/>
          <w:szCs w:val="22"/>
        </w:rPr>
      </w:pPr>
      <w:hyperlink r:id="rId12" w:history="1">
        <w:r w:rsidR="00BF7CCB" w:rsidRPr="00BF7CCB">
          <w:rPr>
            <w:rStyle w:val="Hyperlink"/>
            <w:rFonts w:ascii="Arial" w:hAnsi="Arial" w:cs="Arial"/>
            <w:sz w:val="24"/>
          </w:rPr>
          <w:t>Nový Explorer Plug-</w:t>
        </w:r>
        <w:r w:rsidR="00CB41FE">
          <w:rPr>
            <w:rStyle w:val="Hyperlink"/>
            <w:rFonts w:ascii="Arial" w:hAnsi="Arial" w:cs="Arial"/>
            <w:sz w:val="24"/>
          </w:rPr>
          <w:t>i</w:t>
        </w:r>
        <w:r w:rsidR="00BF7CCB" w:rsidRPr="00BF7CCB">
          <w:rPr>
            <w:rStyle w:val="Hyperlink"/>
            <w:rFonts w:ascii="Arial" w:hAnsi="Arial" w:cs="Arial"/>
            <w:sz w:val="24"/>
          </w:rPr>
          <w:t>n Hybrid</w:t>
        </w:r>
      </w:hyperlink>
      <w:r w:rsidR="00BF7CCB" w:rsidRPr="00BF7CCB">
        <w:rPr>
          <w:rFonts w:ascii="Arial" w:hAnsi="Arial" w:cs="Arial"/>
          <w:sz w:val="24"/>
        </w:rPr>
        <w:t xml:space="preserve"> a </w:t>
      </w:r>
      <w:hyperlink r:id="rId13" w:history="1">
        <w:r w:rsidR="00BF7CCB" w:rsidRPr="00BF7CCB">
          <w:rPr>
            <w:rStyle w:val="Hyperlink"/>
            <w:rFonts w:ascii="Arial" w:hAnsi="Arial" w:cs="Arial"/>
            <w:sz w:val="24"/>
          </w:rPr>
          <w:t>nové Tourneo Custom Plug-</w:t>
        </w:r>
        <w:r w:rsidR="00CB41FE">
          <w:rPr>
            <w:rStyle w:val="Hyperlink"/>
            <w:rFonts w:ascii="Arial" w:hAnsi="Arial" w:cs="Arial"/>
            <w:sz w:val="24"/>
          </w:rPr>
          <w:t>i</w:t>
        </w:r>
        <w:r w:rsidR="00BF7CCB" w:rsidRPr="00BF7CCB">
          <w:rPr>
            <w:rStyle w:val="Hyperlink"/>
            <w:rFonts w:ascii="Arial" w:hAnsi="Arial" w:cs="Arial"/>
            <w:sz w:val="24"/>
          </w:rPr>
          <w:t>n Hybrid</w:t>
        </w:r>
      </w:hyperlink>
      <w:r w:rsidR="00BF7CCB" w:rsidRPr="00BF7CCB">
        <w:rPr>
          <w:rFonts w:ascii="Arial" w:hAnsi="Arial" w:cs="Arial"/>
          <w:sz w:val="24"/>
        </w:rPr>
        <w:t>.</w:t>
      </w:r>
      <w:r w:rsidR="00BF7CCB">
        <w:rPr>
          <w:rFonts w:ascii="Arial" w:hAnsi="Arial" w:cs="Arial"/>
          <w:sz w:val="22"/>
          <w:szCs w:val="22"/>
        </w:rPr>
        <w:t xml:space="preserve"> </w:t>
      </w:r>
      <w:r w:rsidR="00BF7CCB" w:rsidRPr="00BF7CCB">
        <w:rPr>
          <w:rFonts w:ascii="Arial" w:hAnsi="Arial" w:cs="Arial"/>
          <w:sz w:val="24"/>
        </w:rPr>
        <w:t>Sedmimístné SUV a osmimístný velkoprostorový automobil umožňují provoz pouze na elektřinu bez obav z nedostatečného dojezdu, protože jsou vybaveny i tradičním spalovacím motorem</w:t>
      </w:r>
    </w:p>
    <w:p w14:paraId="25D66F0C" w14:textId="621674E0" w:rsidR="00BF7CCB" w:rsidRPr="00BF7CCB" w:rsidRDefault="00885754" w:rsidP="00325D8C">
      <w:pPr>
        <w:numPr>
          <w:ilvl w:val="0"/>
          <w:numId w:val="3"/>
        </w:numPr>
        <w:rPr>
          <w:rFonts w:ascii="Arial" w:hAnsi="Arial" w:cs="Arial"/>
          <w:sz w:val="24"/>
        </w:rPr>
      </w:pPr>
      <w:hyperlink r:id="rId14" w:history="1">
        <w:r w:rsidR="00BF7CCB" w:rsidRPr="00BF7CCB">
          <w:rPr>
            <w:rStyle w:val="Hyperlink"/>
            <w:rFonts w:ascii="Arial" w:hAnsi="Arial" w:cs="Arial"/>
            <w:sz w:val="24"/>
          </w:rPr>
          <w:t xml:space="preserve">Nová Puma </w:t>
        </w:r>
        <w:r w:rsidR="00CB41FE">
          <w:rPr>
            <w:rStyle w:val="Hyperlink"/>
            <w:rFonts w:ascii="Arial" w:hAnsi="Arial" w:cs="Arial"/>
            <w:sz w:val="24"/>
          </w:rPr>
          <w:t>Mild-</w:t>
        </w:r>
        <w:r w:rsidR="00BF7CCB" w:rsidRPr="00BF7CCB">
          <w:rPr>
            <w:rStyle w:val="Hyperlink"/>
            <w:rFonts w:ascii="Arial" w:hAnsi="Arial" w:cs="Arial"/>
            <w:sz w:val="24"/>
          </w:rPr>
          <w:t>Hybrid</w:t>
        </w:r>
      </w:hyperlink>
      <w:r w:rsidR="00BF7CCB" w:rsidRPr="00BF7CCB">
        <w:rPr>
          <w:rFonts w:ascii="Arial" w:hAnsi="Arial" w:cs="Arial"/>
          <w:sz w:val="24"/>
        </w:rPr>
        <w:t>.</w:t>
      </w:r>
      <w:r w:rsidR="00BF7CCB">
        <w:rPr>
          <w:rFonts w:ascii="Arial" w:hAnsi="Arial" w:cs="Arial"/>
          <w:sz w:val="22"/>
          <w:szCs w:val="22"/>
        </w:rPr>
        <w:t xml:space="preserve"> </w:t>
      </w:r>
      <w:r w:rsidR="00BF7CCB" w:rsidRPr="00BF7CCB">
        <w:rPr>
          <w:rFonts w:ascii="Arial" w:hAnsi="Arial" w:cs="Arial"/>
          <w:sz w:val="24"/>
        </w:rPr>
        <w:t>Kompaktní crossover, inspirovaný vozy SUV, se díky mild-hybridní technologii pyšní nižšími emisemi CO</w:t>
      </w:r>
      <w:r w:rsidR="00BF7CCB" w:rsidRPr="00325D8C">
        <w:rPr>
          <w:rFonts w:ascii="Arial" w:hAnsi="Arial" w:cs="Arial"/>
          <w:sz w:val="24"/>
          <w:vertAlign w:val="subscript"/>
        </w:rPr>
        <w:t>2</w:t>
      </w:r>
      <w:r w:rsidR="00BF7CCB" w:rsidRPr="00BF7CCB">
        <w:rPr>
          <w:rFonts w:ascii="Arial" w:hAnsi="Arial" w:cs="Arial"/>
          <w:sz w:val="24"/>
        </w:rPr>
        <w:t>, hospodárnějším provozem a dynamičtějším charakterem. Ve Frankfurtu je poprvé k vidění v provedení Titanium X</w:t>
      </w:r>
    </w:p>
    <w:p w14:paraId="2E6ED60F" w14:textId="77777777" w:rsidR="00BF7CCB" w:rsidRDefault="00885754" w:rsidP="00325D8C">
      <w:pPr>
        <w:numPr>
          <w:ilvl w:val="0"/>
          <w:numId w:val="3"/>
        </w:numPr>
        <w:rPr>
          <w:rFonts w:ascii="Arial" w:hAnsi="Arial" w:cs="Arial"/>
          <w:sz w:val="22"/>
          <w:szCs w:val="22"/>
        </w:rPr>
      </w:pPr>
      <w:hyperlink r:id="rId15" w:history="1">
        <w:r w:rsidR="00BF7CCB" w:rsidRPr="00BF7CCB">
          <w:rPr>
            <w:rStyle w:val="Hyperlink"/>
            <w:rFonts w:ascii="Arial" w:hAnsi="Arial" w:cs="Arial"/>
            <w:sz w:val="24"/>
          </w:rPr>
          <w:t>Ford Mondeo Hybrid</w:t>
        </w:r>
      </w:hyperlink>
      <w:r w:rsidR="00BF7CCB" w:rsidRPr="00282912">
        <w:rPr>
          <w:rFonts w:ascii="Arial" w:hAnsi="Arial" w:cs="Arial"/>
          <w:sz w:val="22"/>
          <w:szCs w:val="22"/>
        </w:rPr>
        <w:t xml:space="preserve"> </w:t>
      </w:r>
      <w:r w:rsidR="00BF7CCB" w:rsidRPr="00BF7CCB">
        <w:rPr>
          <w:rFonts w:ascii="Arial" w:hAnsi="Arial" w:cs="Arial"/>
          <w:sz w:val="24"/>
        </w:rPr>
        <w:t>kombi. Hybridní benzin-elektrické hnací ústrojí představuje zajímavou alternativu ke vznětovým motorům a v některých situacích umožňuje pohyb pouze na elektrický pohon</w:t>
      </w:r>
    </w:p>
    <w:p w14:paraId="6D16C7DA" w14:textId="77777777" w:rsidR="00BF7CCB" w:rsidRPr="00B3775B" w:rsidRDefault="00BF7CCB" w:rsidP="00BF7CCB">
      <w:pPr>
        <w:rPr>
          <w:rFonts w:ascii="Arial" w:hAnsi="Arial" w:cs="Arial"/>
          <w:sz w:val="22"/>
          <w:szCs w:val="22"/>
        </w:rPr>
      </w:pPr>
    </w:p>
    <w:p w14:paraId="1DFDDE33" w14:textId="128E931D" w:rsidR="00BF7CCB" w:rsidRPr="00BF7CCB" w:rsidRDefault="00BF7CCB" w:rsidP="00BF7CCB">
      <w:pPr>
        <w:widowControl w:val="0"/>
        <w:autoSpaceDE w:val="0"/>
        <w:autoSpaceDN w:val="0"/>
        <w:adjustRightInd w:val="0"/>
        <w:spacing w:line="276" w:lineRule="auto"/>
        <w:jc w:val="both"/>
        <w:rPr>
          <w:rFonts w:ascii="Arial" w:hAnsi="Arial" w:cs="Arial"/>
          <w:sz w:val="24"/>
        </w:rPr>
      </w:pPr>
      <w:r w:rsidRPr="00BF7CCB">
        <w:rPr>
          <w:rFonts w:ascii="Arial" w:hAnsi="Arial" w:cs="Arial"/>
          <w:sz w:val="24"/>
        </w:rPr>
        <w:t xml:space="preserve">V roce 2020 dorazí nové elektrické SUV, inspirované Mustangem. Bude podporovat velmi rychlé nabíjení a Ford předpokládá, že dle homologačního cyklu WLTP ujede na jedno nabití až 600 km.* </w:t>
      </w:r>
    </w:p>
    <w:p w14:paraId="2F420280"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p>
    <w:p w14:paraId="1266B647" w14:textId="77777777" w:rsidR="00BF7CCB" w:rsidRPr="00BF7CCB" w:rsidRDefault="00BF7CCB" w:rsidP="00BF7CCB">
      <w:pPr>
        <w:widowControl w:val="0"/>
        <w:autoSpaceDE w:val="0"/>
        <w:autoSpaceDN w:val="0"/>
        <w:adjustRightInd w:val="0"/>
        <w:spacing w:line="276" w:lineRule="auto"/>
        <w:jc w:val="both"/>
        <w:rPr>
          <w:rFonts w:ascii="Arial" w:hAnsi="Arial" w:cs="Arial"/>
          <w:b/>
          <w:sz w:val="24"/>
        </w:rPr>
      </w:pPr>
      <w:r w:rsidRPr="00BF7CCB">
        <w:rPr>
          <w:rFonts w:ascii="Arial" w:hAnsi="Arial" w:cs="Arial"/>
          <w:b/>
          <w:sz w:val="24"/>
        </w:rPr>
        <w:t>Bezproblémové nabíjení</w:t>
      </w:r>
    </w:p>
    <w:p w14:paraId="096B8A1A"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r w:rsidRPr="00BF7CCB">
        <w:rPr>
          <w:rFonts w:ascii="Arial" w:hAnsi="Arial" w:cs="Arial"/>
          <w:sz w:val="24"/>
        </w:rPr>
        <w:t xml:space="preserve">Přední energetická společnost Vattenfall je nejnovějším partnerem Fordu v oblasti dodávek energie pro elektrifikované vozy. Zákazníkům plug-in hybridních modelů bude zajišťovat instalace domácích nástěnných nabíječek a nabídne jim také tarify </w:t>
      </w:r>
      <w:r w:rsidRPr="00BF7CCB">
        <w:rPr>
          <w:rFonts w:ascii="Arial" w:hAnsi="Arial" w:cs="Arial"/>
          <w:sz w:val="24"/>
        </w:rPr>
        <w:lastRenderedPageBreak/>
        <w:t xml:space="preserve">se „zelenou“ elektřinou, vyráběnou z obnovitelných zdrojů. Partnerství zatím platí pro Německo a Dánsko. </w:t>
      </w:r>
    </w:p>
    <w:p w14:paraId="7D9DC5C8"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p>
    <w:p w14:paraId="28B98EA8"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r w:rsidRPr="00BF7CCB">
        <w:rPr>
          <w:rFonts w:ascii="Arial" w:hAnsi="Arial" w:cs="Arial"/>
          <w:sz w:val="24"/>
        </w:rPr>
        <w:t xml:space="preserve">Podobnou spolupráci uzavře Ford se šesti různými energetickými společnostmi. Nedávno oznámil, že ve Velké Británii a Irsku bude stejné služby zajišťovat Centrica. </w:t>
      </w:r>
    </w:p>
    <w:p w14:paraId="71A28664"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p>
    <w:p w14:paraId="030A8F7C"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r w:rsidRPr="00BF7CCB">
        <w:rPr>
          <w:rFonts w:ascii="Arial" w:hAnsi="Arial" w:cs="Arial"/>
          <w:sz w:val="24"/>
        </w:rPr>
        <w:t xml:space="preserve">Nástěnná nabíječka Ford nabízí až o 50 procent vyšší nabíjecí výkon než běžné domácí zásuvky. Doba nabíjení se díky tomu zkrátí až o třetinu. </w:t>
      </w:r>
    </w:p>
    <w:p w14:paraId="472F43EA"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p>
    <w:p w14:paraId="7B4D46DE"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r w:rsidRPr="00BF7CCB">
        <w:rPr>
          <w:rFonts w:ascii="Arial" w:hAnsi="Arial" w:cs="Arial"/>
          <w:sz w:val="24"/>
        </w:rPr>
        <w:t xml:space="preserve">Ford zároveň uvádí novou aplikaci pro chytré telefony, která provozovatelům elektrifikovaných vozů usnadní vyhledávání nabíječek a placení za nabíjení. Ve spolupráci se společností NewMotion tak Ford zprostředkuje zákazníkům přístup k jedné z nejrozsáhlejších veřejných nabíjecích sítí v Evropě. Pokrývá 30 zemí a obsahuje více než 118 000 nabíjecích míst. </w:t>
      </w:r>
    </w:p>
    <w:p w14:paraId="5EA4A1D7"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p>
    <w:p w14:paraId="6CE1A439"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r w:rsidRPr="00BF7CCB">
        <w:rPr>
          <w:rFonts w:ascii="Arial" w:hAnsi="Arial" w:cs="Arial"/>
          <w:sz w:val="24"/>
        </w:rPr>
        <w:t xml:space="preserve">Prostřednictvím palubního modemu FordPass Connect a mobilní aplikace FordPass pak budou řidiči plug-in hybridních modelů značky Ford moci sledovat průběh nabíjení i na dálku. </w:t>
      </w:r>
    </w:p>
    <w:p w14:paraId="276606DC"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p>
    <w:p w14:paraId="1021EBFC"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r w:rsidRPr="00BF7CCB">
        <w:rPr>
          <w:rFonts w:ascii="Arial" w:hAnsi="Arial" w:cs="Arial"/>
          <w:sz w:val="24"/>
        </w:rPr>
        <w:t xml:space="preserve">Ford je zároveň jedním ze zakládajících členů a podílníkem konsorcia IONITY, jehož cílem je vybudovat do konce roku 2020 po Evropě na 400 rychlonabíjecích stanic s nabíjecím výkonem 350 kW. Tím se oproti současným systémům výrazně zkrátí doba nabíjení, což přijde vhod zejména na dlouhých cestách. </w:t>
      </w:r>
    </w:p>
    <w:p w14:paraId="0066CFA8"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p>
    <w:p w14:paraId="033920D9" w14:textId="77777777" w:rsidR="00BF7CCB" w:rsidRPr="00BF7CCB" w:rsidRDefault="00BF7CCB" w:rsidP="00BF7CCB">
      <w:pPr>
        <w:widowControl w:val="0"/>
        <w:autoSpaceDE w:val="0"/>
        <w:autoSpaceDN w:val="0"/>
        <w:adjustRightInd w:val="0"/>
        <w:spacing w:line="276" w:lineRule="auto"/>
        <w:jc w:val="both"/>
        <w:rPr>
          <w:rFonts w:ascii="Arial" w:hAnsi="Arial" w:cs="Arial"/>
          <w:b/>
          <w:sz w:val="22"/>
          <w:szCs w:val="22"/>
        </w:rPr>
      </w:pPr>
      <w:r w:rsidRPr="00BF7CCB">
        <w:rPr>
          <w:rFonts w:ascii="Arial" w:hAnsi="Arial" w:cs="Arial"/>
          <w:b/>
          <w:sz w:val="24"/>
        </w:rPr>
        <w:t>Elektrifikace na vlastní kůži</w:t>
      </w:r>
    </w:p>
    <w:p w14:paraId="41ADDCE1"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r w:rsidRPr="00BF7CCB">
        <w:rPr>
          <w:rFonts w:ascii="Arial" w:hAnsi="Arial" w:cs="Arial"/>
          <w:sz w:val="24"/>
        </w:rPr>
        <w:t>Ford nabídne návštěvníkům autosalonu možnost vyzkoušet nový program Go Electric, jehož cílem je pomoci široké veřejnosti lépe pochopit elektrifikované automobily. Tvoří ho následující sekce:</w:t>
      </w:r>
    </w:p>
    <w:p w14:paraId="45FF86DB"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p>
    <w:p w14:paraId="76E56562" w14:textId="77777777" w:rsidR="00BF7CCB" w:rsidRPr="00BF7CCB" w:rsidRDefault="00BF7CCB" w:rsidP="00325D8C">
      <w:pPr>
        <w:pStyle w:val="ListParagraph"/>
        <w:widowControl w:val="0"/>
        <w:numPr>
          <w:ilvl w:val="0"/>
          <w:numId w:val="4"/>
        </w:numPr>
        <w:spacing w:line="276" w:lineRule="auto"/>
        <w:jc w:val="both"/>
        <w:rPr>
          <w:rFonts w:ascii="Arial" w:hAnsi="Arial" w:cs="Arial"/>
        </w:rPr>
      </w:pPr>
      <w:r w:rsidRPr="00BF7CCB">
        <w:rPr>
          <w:rFonts w:ascii="Arial" w:hAnsi="Arial" w:cs="Arial"/>
        </w:rPr>
        <w:t>První simulátor akcelerace elektromobilu na světě. Zákazníci v něm poznají radost z lineárního zrychlování vozu poháněného elektřinou</w:t>
      </w:r>
    </w:p>
    <w:p w14:paraId="596F5B08" w14:textId="77777777" w:rsidR="00BF7CCB" w:rsidRPr="00BF7CCB" w:rsidRDefault="00BF7CCB" w:rsidP="00325D8C">
      <w:pPr>
        <w:pStyle w:val="ListParagraph"/>
        <w:widowControl w:val="0"/>
        <w:numPr>
          <w:ilvl w:val="0"/>
          <w:numId w:val="4"/>
        </w:numPr>
        <w:spacing w:line="276" w:lineRule="auto"/>
        <w:jc w:val="both"/>
        <w:rPr>
          <w:rFonts w:ascii="Arial" w:hAnsi="Arial" w:cs="Arial"/>
        </w:rPr>
      </w:pPr>
      <w:r w:rsidRPr="00BF7CCB">
        <w:rPr>
          <w:rFonts w:ascii="Arial" w:hAnsi="Arial" w:cs="Arial"/>
        </w:rPr>
        <w:t>Rozšířená realita vysvětlující princip různých typů elektrifikovaného pohonu od 48V mild-hybridu v novém Fordu Puma až po čistě elektrický pohon připravovaného SUV</w:t>
      </w:r>
    </w:p>
    <w:p w14:paraId="20043A9E" w14:textId="77777777" w:rsidR="00BF7CCB" w:rsidRPr="00BF7CCB" w:rsidRDefault="00BF7CCB" w:rsidP="00325D8C">
      <w:pPr>
        <w:pStyle w:val="ListParagraph"/>
        <w:widowControl w:val="0"/>
        <w:numPr>
          <w:ilvl w:val="0"/>
          <w:numId w:val="4"/>
        </w:numPr>
        <w:spacing w:line="276" w:lineRule="auto"/>
        <w:jc w:val="both"/>
        <w:rPr>
          <w:rFonts w:ascii="Arial" w:hAnsi="Arial" w:cs="Arial"/>
        </w:rPr>
      </w:pPr>
      <w:r w:rsidRPr="00BF7CCB">
        <w:rPr>
          <w:rFonts w:ascii="Arial" w:hAnsi="Arial" w:cs="Arial"/>
        </w:rPr>
        <w:t>Interaktivní dotykové obrazovky. Zákazníci se jejich prostřednictvím dozvědí, který druh elektrifikovaného pohonu je nejvhodnější právě pro ně</w:t>
      </w:r>
    </w:p>
    <w:p w14:paraId="5D498AC6" w14:textId="77777777" w:rsidR="00BF7CCB" w:rsidRPr="00BF7CCB" w:rsidRDefault="00BF7CCB" w:rsidP="00325D8C">
      <w:pPr>
        <w:pStyle w:val="ListParagraph"/>
        <w:widowControl w:val="0"/>
        <w:numPr>
          <w:ilvl w:val="0"/>
          <w:numId w:val="4"/>
        </w:numPr>
        <w:spacing w:line="276" w:lineRule="auto"/>
        <w:jc w:val="both"/>
        <w:rPr>
          <w:rFonts w:ascii="Arial" w:hAnsi="Arial" w:cs="Arial"/>
        </w:rPr>
      </w:pPr>
      <w:r w:rsidRPr="00BF7CCB">
        <w:rPr>
          <w:rFonts w:ascii="Arial" w:hAnsi="Arial" w:cs="Arial"/>
        </w:rPr>
        <w:t>Interaktivní výstava nabíjecích zařízení. Návštěvníci díky ní lépe pochopí, jak rychle lze v různých situacích nabíjet plug-in hybridní i plně elektrické vozy.</w:t>
      </w:r>
    </w:p>
    <w:p w14:paraId="695DC3CA"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p>
    <w:p w14:paraId="4D2D11DF"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r w:rsidRPr="00BF7CCB">
        <w:rPr>
          <w:rFonts w:ascii="Arial" w:hAnsi="Arial" w:cs="Arial"/>
          <w:sz w:val="24"/>
        </w:rPr>
        <w:t xml:space="preserve">Program Go Electric bude možné ve Frankfurtu absolvovat do 22. září, kdy se vydá na evropské turné. V jeho rámci postupně zavítá do Janova, Paříže, Madridu a Londýna. </w:t>
      </w:r>
    </w:p>
    <w:p w14:paraId="55136AA8" w14:textId="77777777" w:rsidR="00BF7CCB" w:rsidRPr="00BF7CCB" w:rsidRDefault="00BF7CCB" w:rsidP="00BF7CCB">
      <w:pPr>
        <w:widowControl w:val="0"/>
        <w:autoSpaceDE w:val="0"/>
        <w:autoSpaceDN w:val="0"/>
        <w:adjustRightInd w:val="0"/>
        <w:spacing w:line="276" w:lineRule="auto"/>
        <w:jc w:val="both"/>
        <w:rPr>
          <w:rFonts w:ascii="Arial" w:hAnsi="Arial" w:cs="Arial"/>
          <w:sz w:val="24"/>
        </w:rPr>
      </w:pPr>
    </w:p>
    <w:p w14:paraId="64EF9648" w14:textId="77777777" w:rsidR="00BF7CCB" w:rsidRPr="00B3775B" w:rsidRDefault="00BF7CCB" w:rsidP="00BF7CCB">
      <w:pPr>
        <w:jc w:val="center"/>
        <w:rPr>
          <w:rFonts w:ascii="Arial" w:hAnsi="Arial" w:cs="Arial"/>
          <w:sz w:val="22"/>
          <w:szCs w:val="22"/>
        </w:rPr>
      </w:pPr>
    </w:p>
    <w:p w14:paraId="56652D88" w14:textId="02AE7BEE" w:rsidR="00BF7CCB" w:rsidRPr="00BF7CCB" w:rsidRDefault="00BF7CCB" w:rsidP="00325D8C">
      <w:pPr>
        <w:pStyle w:val="ListParagraph"/>
        <w:widowControl w:val="0"/>
        <w:numPr>
          <w:ilvl w:val="0"/>
          <w:numId w:val="5"/>
        </w:numPr>
        <w:spacing w:line="276" w:lineRule="auto"/>
        <w:jc w:val="both"/>
        <w:rPr>
          <w:rFonts w:ascii="Arial" w:hAnsi="Arial" w:cs="Arial"/>
          <w:sz w:val="20"/>
        </w:rPr>
      </w:pPr>
      <w:r w:rsidRPr="00BF7CCB">
        <w:rPr>
          <w:rFonts w:ascii="Arial" w:hAnsi="Arial" w:cs="Arial"/>
          <w:sz w:val="20"/>
        </w:rPr>
        <w:t>Ford Explorer Plug-</w:t>
      </w:r>
      <w:r w:rsidR="00CB41FE">
        <w:rPr>
          <w:rFonts w:ascii="Arial" w:hAnsi="Arial" w:cs="Arial"/>
          <w:sz w:val="20"/>
        </w:rPr>
        <w:t>i</w:t>
      </w:r>
      <w:r w:rsidRPr="00BF7CCB">
        <w:rPr>
          <w:rFonts w:ascii="Arial" w:hAnsi="Arial" w:cs="Arial"/>
          <w:sz w:val="20"/>
        </w:rPr>
        <w:t>n Hybrid: emise CO</w:t>
      </w:r>
      <w:r w:rsidRPr="00325D8C">
        <w:rPr>
          <w:rFonts w:ascii="Arial" w:hAnsi="Arial" w:cs="Arial"/>
          <w:sz w:val="20"/>
          <w:vertAlign w:val="subscript"/>
        </w:rPr>
        <w:t>2</w:t>
      </w:r>
      <w:r w:rsidRPr="00BF7CCB">
        <w:rPr>
          <w:rFonts w:ascii="Arial" w:hAnsi="Arial" w:cs="Arial"/>
          <w:sz w:val="20"/>
        </w:rPr>
        <w:t xml:space="preserve"> od 7</w:t>
      </w:r>
      <w:r w:rsidR="00325D8C">
        <w:rPr>
          <w:rFonts w:ascii="Arial" w:hAnsi="Arial" w:cs="Arial"/>
          <w:sz w:val="20"/>
        </w:rPr>
        <w:t>1</w:t>
      </w:r>
      <w:r w:rsidRPr="00BF7CCB">
        <w:rPr>
          <w:rFonts w:ascii="Arial" w:hAnsi="Arial" w:cs="Arial"/>
          <w:sz w:val="20"/>
        </w:rPr>
        <w:t xml:space="preserve"> g/km, spotřeba paliva od 3,</w:t>
      </w:r>
      <w:r w:rsidR="00325D8C">
        <w:rPr>
          <w:rFonts w:ascii="Arial" w:hAnsi="Arial" w:cs="Arial"/>
          <w:sz w:val="20"/>
        </w:rPr>
        <w:t>1</w:t>
      </w:r>
      <w:r w:rsidRPr="00BF7CCB">
        <w:rPr>
          <w:rFonts w:ascii="Arial" w:hAnsi="Arial" w:cs="Arial"/>
          <w:sz w:val="20"/>
        </w:rPr>
        <w:t xml:space="preserve"> l/100 km</w:t>
      </w:r>
    </w:p>
    <w:p w14:paraId="0290B165" w14:textId="7AD51C5E" w:rsidR="00BF7CCB" w:rsidRPr="00BF7CCB" w:rsidRDefault="00BF7CCB" w:rsidP="00325D8C">
      <w:pPr>
        <w:pStyle w:val="ListParagraph"/>
        <w:widowControl w:val="0"/>
        <w:numPr>
          <w:ilvl w:val="0"/>
          <w:numId w:val="5"/>
        </w:numPr>
        <w:spacing w:line="276" w:lineRule="auto"/>
        <w:jc w:val="both"/>
        <w:rPr>
          <w:rFonts w:ascii="Arial" w:hAnsi="Arial" w:cs="Arial"/>
          <w:sz w:val="20"/>
        </w:rPr>
      </w:pPr>
      <w:r w:rsidRPr="00BF7CCB">
        <w:rPr>
          <w:rFonts w:ascii="Arial" w:hAnsi="Arial" w:cs="Arial"/>
          <w:sz w:val="20"/>
        </w:rPr>
        <w:lastRenderedPageBreak/>
        <w:t>Ford Kuga Plug-</w:t>
      </w:r>
      <w:r w:rsidR="00CB41FE">
        <w:rPr>
          <w:rFonts w:ascii="Arial" w:hAnsi="Arial" w:cs="Arial"/>
          <w:sz w:val="20"/>
        </w:rPr>
        <w:t>i</w:t>
      </w:r>
      <w:r w:rsidRPr="00BF7CCB">
        <w:rPr>
          <w:rFonts w:ascii="Arial" w:hAnsi="Arial" w:cs="Arial"/>
          <w:sz w:val="20"/>
        </w:rPr>
        <w:t>n Hybrid: emise CO</w:t>
      </w:r>
      <w:r w:rsidRPr="00325D8C">
        <w:rPr>
          <w:rFonts w:ascii="Arial" w:hAnsi="Arial" w:cs="Arial"/>
          <w:sz w:val="20"/>
          <w:vertAlign w:val="subscript"/>
        </w:rPr>
        <w:t>2</w:t>
      </w:r>
      <w:r w:rsidRPr="00BF7CCB">
        <w:rPr>
          <w:rFonts w:ascii="Arial" w:hAnsi="Arial" w:cs="Arial"/>
          <w:sz w:val="20"/>
        </w:rPr>
        <w:t xml:space="preserve"> od 2</w:t>
      </w:r>
      <w:r w:rsidR="00325D8C">
        <w:rPr>
          <w:rFonts w:ascii="Arial" w:hAnsi="Arial" w:cs="Arial"/>
          <w:sz w:val="20"/>
        </w:rPr>
        <w:t>6</w:t>
      </w:r>
      <w:r w:rsidRPr="00BF7CCB">
        <w:rPr>
          <w:rFonts w:ascii="Arial" w:hAnsi="Arial" w:cs="Arial"/>
          <w:sz w:val="20"/>
        </w:rPr>
        <w:t xml:space="preserve"> g/km, spotřeba paliva od 1,2 l/100 km</w:t>
      </w:r>
    </w:p>
    <w:p w14:paraId="03F23441" w14:textId="2B926AA2" w:rsidR="00BF7CCB" w:rsidRPr="00BF7CCB" w:rsidRDefault="00BF7CCB" w:rsidP="00325D8C">
      <w:pPr>
        <w:pStyle w:val="ListParagraph"/>
        <w:widowControl w:val="0"/>
        <w:numPr>
          <w:ilvl w:val="0"/>
          <w:numId w:val="5"/>
        </w:numPr>
        <w:spacing w:line="276" w:lineRule="auto"/>
        <w:jc w:val="both"/>
        <w:rPr>
          <w:rFonts w:ascii="Arial" w:hAnsi="Arial" w:cs="Arial"/>
          <w:sz w:val="20"/>
        </w:rPr>
      </w:pPr>
      <w:r w:rsidRPr="00BF7CCB">
        <w:rPr>
          <w:rFonts w:ascii="Arial" w:hAnsi="Arial" w:cs="Arial"/>
          <w:sz w:val="20"/>
        </w:rPr>
        <w:t>Ford Mondeo Hybrid kombi: emise CO</w:t>
      </w:r>
      <w:r w:rsidRPr="00325D8C">
        <w:rPr>
          <w:rFonts w:ascii="Arial" w:hAnsi="Arial" w:cs="Arial"/>
          <w:sz w:val="20"/>
          <w:vertAlign w:val="subscript"/>
        </w:rPr>
        <w:t>2</w:t>
      </w:r>
      <w:r w:rsidRPr="00BF7CCB">
        <w:rPr>
          <w:rFonts w:ascii="Arial" w:hAnsi="Arial" w:cs="Arial"/>
          <w:sz w:val="20"/>
        </w:rPr>
        <w:t xml:space="preserve"> od </w:t>
      </w:r>
      <w:r w:rsidR="00325D8C">
        <w:rPr>
          <w:rFonts w:ascii="Arial" w:hAnsi="Arial" w:cs="Arial"/>
          <w:sz w:val="20"/>
        </w:rPr>
        <w:t>99</w:t>
      </w:r>
      <w:r w:rsidR="00325D8C" w:rsidRPr="00BF7CCB">
        <w:rPr>
          <w:rFonts w:ascii="Arial" w:hAnsi="Arial" w:cs="Arial"/>
          <w:sz w:val="20"/>
        </w:rPr>
        <w:t xml:space="preserve"> </w:t>
      </w:r>
      <w:r w:rsidRPr="00BF7CCB">
        <w:rPr>
          <w:rFonts w:ascii="Arial" w:hAnsi="Arial" w:cs="Arial"/>
          <w:sz w:val="20"/>
        </w:rPr>
        <w:t>g/km, spotřeba paliva od 4,</w:t>
      </w:r>
      <w:r w:rsidR="00325D8C">
        <w:rPr>
          <w:rFonts w:ascii="Arial" w:hAnsi="Arial" w:cs="Arial"/>
          <w:sz w:val="20"/>
        </w:rPr>
        <w:t>3</w:t>
      </w:r>
      <w:r w:rsidRPr="00BF7CCB">
        <w:rPr>
          <w:rFonts w:ascii="Arial" w:hAnsi="Arial" w:cs="Arial"/>
          <w:sz w:val="20"/>
        </w:rPr>
        <w:t xml:space="preserve"> l/100 km</w:t>
      </w:r>
    </w:p>
    <w:p w14:paraId="7DCB5CCE" w14:textId="5CAE4A38" w:rsidR="00BF7CCB" w:rsidRPr="00BF7CCB" w:rsidRDefault="00BF7CCB" w:rsidP="00325D8C">
      <w:pPr>
        <w:pStyle w:val="ListParagraph"/>
        <w:widowControl w:val="0"/>
        <w:numPr>
          <w:ilvl w:val="0"/>
          <w:numId w:val="5"/>
        </w:numPr>
        <w:spacing w:line="276" w:lineRule="auto"/>
        <w:jc w:val="both"/>
        <w:rPr>
          <w:rFonts w:ascii="Arial" w:hAnsi="Arial" w:cs="Arial"/>
          <w:sz w:val="20"/>
        </w:rPr>
      </w:pPr>
      <w:r w:rsidRPr="00BF7CCB">
        <w:rPr>
          <w:rFonts w:ascii="Arial" w:hAnsi="Arial" w:cs="Arial"/>
          <w:sz w:val="20"/>
        </w:rPr>
        <w:t xml:space="preserve">Ford Puma </w:t>
      </w:r>
      <w:r w:rsidR="00CB41FE">
        <w:rPr>
          <w:rFonts w:ascii="Arial" w:hAnsi="Arial" w:cs="Arial"/>
          <w:sz w:val="20"/>
        </w:rPr>
        <w:t>Mild-</w:t>
      </w:r>
      <w:r w:rsidRPr="00BF7CCB">
        <w:rPr>
          <w:rFonts w:ascii="Arial" w:hAnsi="Arial" w:cs="Arial"/>
          <w:sz w:val="20"/>
        </w:rPr>
        <w:t>Hybrid: emise CO</w:t>
      </w:r>
      <w:r w:rsidRPr="00325D8C">
        <w:rPr>
          <w:rFonts w:ascii="Arial" w:hAnsi="Arial" w:cs="Arial"/>
          <w:sz w:val="20"/>
          <w:vertAlign w:val="subscript"/>
        </w:rPr>
        <w:t>2</w:t>
      </w:r>
      <w:r w:rsidRPr="00BF7CCB">
        <w:rPr>
          <w:rFonts w:ascii="Arial" w:hAnsi="Arial" w:cs="Arial"/>
          <w:sz w:val="20"/>
        </w:rPr>
        <w:t xml:space="preserve"> od 12</w:t>
      </w:r>
      <w:r w:rsidR="00325D8C">
        <w:rPr>
          <w:rFonts w:ascii="Arial" w:hAnsi="Arial" w:cs="Arial"/>
          <w:sz w:val="20"/>
        </w:rPr>
        <w:t>5</w:t>
      </w:r>
      <w:r w:rsidRPr="00BF7CCB">
        <w:rPr>
          <w:rFonts w:ascii="Arial" w:hAnsi="Arial" w:cs="Arial"/>
          <w:sz w:val="20"/>
        </w:rPr>
        <w:t xml:space="preserve"> g/km, spotřeba paliva od 5,</w:t>
      </w:r>
      <w:r w:rsidR="00325D8C">
        <w:rPr>
          <w:rFonts w:ascii="Arial" w:hAnsi="Arial" w:cs="Arial"/>
          <w:sz w:val="20"/>
        </w:rPr>
        <w:t>5</w:t>
      </w:r>
      <w:r w:rsidRPr="00BF7CCB">
        <w:rPr>
          <w:rFonts w:ascii="Arial" w:hAnsi="Arial" w:cs="Arial"/>
          <w:sz w:val="20"/>
        </w:rPr>
        <w:t xml:space="preserve"> l/100 km</w:t>
      </w:r>
    </w:p>
    <w:p w14:paraId="7DB44EB2" w14:textId="256231DE" w:rsidR="00BF7CCB" w:rsidRPr="00BF7CCB" w:rsidRDefault="00BF7CCB" w:rsidP="00325D8C">
      <w:pPr>
        <w:pStyle w:val="ListParagraph"/>
        <w:widowControl w:val="0"/>
        <w:numPr>
          <w:ilvl w:val="0"/>
          <w:numId w:val="5"/>
        </w:numPr>
        <w:spacing w:line="276" w:lineRule="auto"/>
        <w:jc w:val="both"/>
        <w:rPr>
          <w:rFonts w:ascii="Arial" w:hAnsi="Arial" w:cs="Arial"/>
          <w:sz w:val="20"/>
        </w:rPr>
      </w:pPr>
      <w:r w:rsidRPr="00BF7CCB">
        <w:rPr>
          <w:rFonts w:ascii="Arial" w:hAnsi="Arial" w:cs="Arial"/>
          <w:sz w:val="20"/>
        </w:rPr>
        <w:t>Ford Tourneo Custom Plug-</w:t>
      </w:r>
      <w:r w:rsidR="00CB41FE">
        <w:rPr>
          <w:rFonts w:ascii="Arial" w:hAnsi="Arial" w:cs="Arial"/>
          <w:sz w:val="20"/>
        </w:rPr>
        <w:t>i</w:t>
      </w:r>
      <w:r w:rsidRPr="00BF7CCB">
        <w:rPr>
          <w:rFonts w:ascii="Arial" w:hAnsi="Arial" w:cs="Arial"/>
          <w:sz w:val="20"/>
        </w:rPr>
        <w:t>n Hybrid: emise CO</w:t>
      </w:r>
      <w:r w:rsidRPr="00325D8C">
        <w:rPr>
          <w:rFonts w:ascii="Arial" w:hAnsi="Arial" w:cs="Arial"/>
          <w:sz w:val="20"/>
          <w:vertAlign w:val="subscript"/>
        </w:rPr>
        <w:t>2</w:t>
      </w:r>
      <w:r w:rsidRPr="00BF7CCB">
        <w:rPr>
          <w:rFonts w:ascii="Arial" w:hAnsi="Arial" w:cs="Arial"/>
          <w:sz w:val="20"/>
        </w:rPr>
        <w:t xml:space="preserve"> od 75 g/km, spotřeba paliva od 3,3 l/100 km</w:t>
      </w:r>
    </w:p>
    <w:p w14:paraId="093C0E1C" w14:textId="77777777" w:rsidR="00BF7CCB" w:rsidRPr="00BF7CCB" w:rsidRDefault="00BF7CCB" w:rsidP="00BF7CCB">
      <w:pPr>
        <w:widowControl w:val="0"/>
        <w:autoSpaceDE w:val="0"/>
        <w:autoSpaceDN w:val="0"/>
        <w:adjustRightInd w:val="0"/>
        <w:spacing w:line="276" w:lineRule="auto"/>
        <w:jc w:val="both"/>
        <w:rPr>
          <w:rFonts w:ascii="Arial" w:hAnsi="Arial" w:cs="Arial"/>
          <w:szCs w:val="20"/>
        </w:rPr>
      </w:pPr>
    </w:p>
    <w:p w14:paraId="5FF5FCFF" w14:textId="77777777" w:rsidR="00BF7CCB" w:rsidRPr="00BF7CCB" w:rsidRDefault="00BF7CCB" w:rsidP="00BF7CCB">
      <w:pPr>
        <w:widowControl w:val="0"/>
        <w:autoSpaceDE w:val="0"/>
        <w:autoSpaceDN w:val="0"/>
        <w:adjustRightInd w:val="0"/>
        <w:spacing w:line="276" w:lineRule="auto"/>
        <w:jc w:val="both"/>
        <w:rPr>
          <w:rFonts w:ascii="Arial" w:hAnsi="Arial" w:cs="Arial"/>
          <w:szCs w:val="20"/>
        </w:rPr>
      </w:pPr>
      <w:r w:rsidRPr="00BF7CCB">
        <w:rPr>
          <w:rFonts w:ascii="Arial" w:hAnsi="Arial" w:cs="Arial"/>
          <w:szCs w:val="20"/>
        </w:rPr>
        <w:t>*Oficiálně homologované hodnoty spotřeby paliva a emisí CO</w:t>
      </w:r>
      <w:r w:rsidRPr="00325D8C">
        <w:rPr>
          <w:rFonts w:ascii="Arial" w:hAnsi="Arial" w:cs="Arial"/>
          <w:szCs w:val="20"/>
          <w:vertAlign w:val="subscript"/>
        </w:rPr>
        <w:t>2</w:t>
      </w:r>
      <w:r w:rsidRPr="00BF7CCB">
        <w:rPr>
          <w:rFonts w:ascii="Arial" w:hAnsi="Arial" w:cs="Arial"/>
          <w:szCs w:val="20"/>
        </w:rPr>
        <w:t xml:space="preserve"> budou zveřejněny před uvedením modelu na trh.</w:t>
      </w:r>
    </w:p>
    <w:p w14:paraId="7AF79EA5" w14:textId="77777777" w:rsidR="00BF7CCB" w:rsidRPr="00BF7CCB" w:rsidRDefault="00BF7CCB" w:rsidP="00BF7CCB">
      <w:pPr>
        <w:widowControl w:val="0"/>
        <w:autoSpaceDE w:val="0"/>
        <w:autoSpaceDN w:val="0"/>
        <w:adjustRightInd w:val="0"/>
        <w:spacing w:line="276" w:lineRule="auto"/>
        <w:jc w:val="both"/>
        <w:rPr>
          <w:rFonts w:ascii="Arial" w:hAnsi="Arial" w:cs="Arial"/>
          <w:szCs w:val="20"/>
        </w:rPr>
      </w:pPr>
    </w:p>
    <w:p w14:paraId="088E223F" w14:textId="77777777" w:rsidR="00BF7CCB" w:rsidRPr="00BF7CCB" w:rsidRDefault="00BF7CCB" w:rsidP="00BF7CCB">
      <w:pPr>
        <w:widowControl w:val="0"/>
        <w:autoSpaceDE w:val="0"/>
        <w:autoSpaceDN w:val="0"/>
        <w:adjustRightInd w:val="0"/>
        <w:spacing w:line="276" w:lineRule="auto"/>
        <w:jc w:val="both"/>
        <w:rPr>
          <w:rFonts w:ascii="Arial" w:hAnsi="Arial" w:cs="Arial"/>
          <w:szCs w:val="20"/>
        </w:rPr>
      </w:pPr>
      <w:r w:rsidRPr="00BF7CCB">
        <w:rPr>
          <w:rFonts w:ascii="Arial" w:hAnsi="Arial" w:cs="Arial"/>
          <w:szCs w:val="20"/>
        </w:rPr>
        <w:t>Uváděné hodnoty spotřeby paliva a emisí CO</w:t>
      </w:r>
      <w:r w:rsidRPr="00325D8C">
        <w:rPr>
          <w:rFonts w:ascii="Arial" w:hAnsi="Arial" w:cs="Arial"/>
          <w:szCs w:val="20"/>
          <w:vertAlign w:val="subscript"/>
        </w:rPr>
        <w:t>2</w:t>
      </w:r>
      <w:r w:rsidRPr="00BF7CCB">
        <w:rPr>
          <w:rFonts w:ascii="Arial" w:hAnsi="Arial" w:cs="Arial"/>
          <w:szCs w:val="20"/>
        </w:rPr>
        <w:t xml:space="preserve"> byly naměřeny dle technických požadavků a specifikací evropských směrnic (EC) 715/2007 a (EC) 692/2008 v aktuálním znění. Uváděné hodnoty spotřeby paliva a emisí CO</w:t>
      </w:r>
      <w:r w:rsidRPr="00325D8C">
        <w:rPr>
          <w:rFonts w:ascii="Arial" w:hAnsi="Arial" w:cs="Arial"/>
          <w:szCs w:val="20"/>
          <w:vertAlign w:val="subscript"/>
        </w:rPr>
        <w:t>2</w:t>
      </w:r>
      <w:r w:rsidRPr="00BF7CCB">
        <w:rPr>
          <w:rFonts w:ascii="Arial" w:hAnsi="Arial" w:cs="Arial"/>
          <w:szCs w:val="20"/>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325D8C">
        <w:rPr>
          <w:rFonts w:ascii="Arial" w:hAnsi="Arial" w:cs="Arial"/>
          <w:szCs w:val="20"/>
          <w:vertAlign w:val="subscript"/>
        </w:rPr>
        <w:t>2</w:t>
      </w:r>
      <w:r w:rsidRPr="00BF7CCB">
        <w:rPr>
          <w:rFonts w:ascii="Arial" w:hAnsi="Arial" w:cs="Arial"/>
          <w:szCs w:val="20"/>
        </w:rPr>
        <w:t xml:space="preserve"> patří k nejvýznamnějším skleníkovým plynům, způsobujícím globální oteplování.</w:t>
      </w:r>
    </w:p>
    <w:p w14:paraId="4FC47991" w14:textId="77777777" w:rsidR="00BF7CCB" w:rsidRPr="00BF7CCB" w:rsidRDefault="00BF7CCB" w:rsidP="00BF7CCB">
      <w:pPr>
        <w:widowControl w:val="0"/>
        <w:autoSpaceDE w:val="0"/>
        <w:autoSpaceDN w:val="0"/>
        <w:adjustRightInd w:val="0"/>
        <w:spacing w:line="276" w:lineRule="auto"/>
        <w:jc w:val="both"/>
        <w:rPr>
          <w:rFonts w:ascii="Arial" w:hAnsi="Arial" w:cs="Arial"/>
          <w:szCs w:val="20"/>
        </w:rPr>
      </w:pPr>
    </w:p>
    <w:p w14:paraId="3F788FBC" w14:textId="77777777" w:rsidR="00BF7CCB" w:rsidRPr="00BF7CCB" w:rsidRDefault="00BF7CCB" w:rsidP="00BF7CCB">
      <w:pPr>
        <w:widowControl w:val="0"/>
        <w:autoSpaceDE w:val="0"/>
        <w:autoSpaceDN w:val="0"/>
        <w:adjustRightInd w:val="0"/>
        <w:spacing w:line="276" w:lineRule="auto"/>
        <w:jc w:val="both"/>
        <w:rPr>
          <w:rFonts w:ascii="Arial" w:hAnsi="Arial" w:cs="Arial"/>
          <w:szCs w:val="20"/>
        </w:rPr>
      </w:pPr>
      <w:r w:rsidRPr="00BF7CCB">
        <w:rPr>
          <w:rFonts w:ascii="Arial" w:hAnsi="Arial" w:cs="Arial"/>
          <w:szCs w:val="20"/>
        </w:rPr>
        <w:t>Od 1. září 2017 se typové schválení některých nových automobilů řídí procedurou WLTP (World Harmonised Light Vehicle Test Procedure) dle (EU) 2017/1151 v aktuálním znění. Jedná se o nový, realističtější způsob měření spotřeby paliva a emisí CO</w:t>
      </w:r>
      <w:r w:rsidRPr="00325D8C">
        <w:rPr>
          <w:rFonts w:ascii="Arial" w:hAnsi="Arial" w:cs="Arial"/>
          <w:szCs w:val="20"/>
          <w:vertAlign w:val="subscript"/>
        </w:rPr>
        <w:t>2</w:t>
      </w:r>
      <w:r w:rsidRPr="00BF7CCB">
        <w:rPr>
          <w:rFonts w:ascii="Arial" w:hAnsi="Arial" w:cs="Arial"/>
          <w:szCs w:val="20"/>
        </w:rPr>
        <w:t>. Od 1. září 2018 WLTP postupně nahrazuje dříve používaný cyklus NEDC. Během přechodného období budou hodnoty zjištěné dle WLTP vztahovány k NEDC. V důsledku změny metodiky měření se objeví určité rozdíly oproti dříve udávaným hodnotám spotřeby paliva a emisí CO</w:t>
      </w:r>
      <w:r w:rsidRPr="00325D8C">
        <w:rPr>
          <w:rFonts w:ascii="Arial" w:hAnsi="Arial" w:cs="Arial"/>
          <w:szCs w:val="20"/>
          <w:vertAlign w:val="subscript"/>
        </w:rPr>
        <w:t>2</w:t>
      </w:r>
      <w:r w:rsidRPr="00BF7CCB">
        <w:rPr>
          <w:rFonts w:ascii="Arial" w:hAnsi="Arial" w:cs="Arial"/>
          <w:szCs w:val="20"/>
        </w:rPr>
        <w:t>. To znamená, že stejný vůz může dle nové metodiky vykazovat jiné hodnoty než dříve.</w:t>
      </w:r>
    </w:p>
    <w:p w14:paraId="0F2EF3E5" w14:textId="77777777" w:rsidR="00BF7CCB" w:rsidRPr="00BF7CCB" w:rsidRDefault="00BF7CCB" w:rsidP="00BF7CCB">
      <w:pPr>
        <w:widowControl w:val="0"/>
        <w:autoSpaceDE w:val="0"/>
        <w:autoSpaceDN w:val="0"/>
        <w:adjustRightInd w:val="0"/>
        <w:spacing w:line="276" w:lineRule="auto"/>
        <w:jc w:val="both"/>
        <w:rPr>
          <w:rFonts w:ascii="Arial" w:hAnsi="Arial" w:cs="Arial"/>
          <w:szCs w:val="20"/>
        </w:rPr>
      </w:pPr>
    </w:p>
    <w:p w14:paraId="174F4E71" w14:textId="77777777" w:rsidR="00FF5A06" w:rsidRPr="00BF7CCB" w:rsidRDefault="00FF5A06" w:rsidP="00BF7CCB">
      <w:pPr>
        <w:widowControl w:val="0"/>
        <w:autoSpaceDE w:val="0"/>
        <w:autoSpaceDN w:val="0"/>
        <w:adjustRightInd w:val="0"/>
        <w:spacing w:line="276" w:lineRule="auto"/>
        <w:jc w:val="both"/>
        <w:rPr>
          <w:rFonts w:ascii="Arial" w:hAnsi="Arial" w:cs="Arial"/>
          <w:szCs w:val="20"/>
        </w:rPr>
      </w:pPr>
    </w:p>
    <w:sectPr w:rsidR="00FF5A06" w:rsidRPr="00BF7CCB" w:rsidSect="009E6024">
      <w:footerReference w:type="even" r:id="rId16"/>
      <w:footerReference w:type="default" r:id="rId17"/>
      <w:footerReference w:type="first" r:id="rId18"/>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C48FF" w14:textId="77777777" w:rsidR="00BC158E" w:rsidRDefault="00BC158E">
      <w:r>
        <w:separator/>
      </w:r>
    </w:p>
  </w:endnote>
  <w:endnote w:type="continuationSeparator" w:id="0">
    <w:p w14:paraId="2B1C0EA2" w14:textId="77777777" w:rsidR="00BC158E" w:rsidRDefault="00BC158E">
      <w:r>
        <w:continuationSeparator/>
      </w:r>
    </w:p>
  </w:endnote>
  <w:endnote w:type="continuationNotice" w:id="1">
    <w:p w14:paraId="7A3CE76E" w14:textId="77777777" w:rsidR="00BC158E" w:rsidRDefault="00BC1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17449" w14:textId="77777777"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14:paraId="1486FB66" w14:textId="77777777"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F9816" w14:textId="77777777"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2ABA46AE" w14:textId="77777777"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A9E7" w14:textId="77777777" w:rsidR="00272E1B" w:rsidRDefault="00272E1B" w:rsidP="004D127F">
    <w:pPr>
      <w:pStyle w:val="Footer"/>
      <w:jc w:val="center"/>
    </w:pPr>
  </w:p>
  <w:p w14:paraId="1C91AA1C" w14:textId="77777777" w:rsidR="00272E1B" w:rsidRDefault="00272E1B" w:rsidP="004D127F">
    <w:pPr>
      <w:pStyle w:val="Footer"/>
      <w:jc w:val="center"/>
    </w:pPr>
  </w:p>
  <w:p w14:paraId="1B37A793" w14:textId="77777777"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41247D1B" w14:textId="77777777"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A9BE1" w14:textId="77777777" w:rsidR="00BC158E" w:rsidRDefault="00BC158E">
      <w:r>
        <w:separator/>
      </w:r>
    </w:p>
  </w:footnote>
  <w:footnote w:type="continuationSeparator" w:id="0">
    <w:p w14:paraId="489E52E9" w14:textId="77777777" w:rsidR="00BC158E" w:rsidRDefault="00BC158E">
      <w:r>
        <w:continuationSeparator/>
      </w:r>
    </w:p>
  </w:footnote>
  <w:footnote w:type="continuationNotice" w:id="1">
    <w:p w14:paraId="25EE8DCB" w14:textId="77777777" w:rsidR="00BC158E" w:rsidRDefault="00BC15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A303F"/>
    <w:multiLevelType w:val="hybridMultilevel"/>
    <w:tmpl w:val="D7D4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92DC4"/>
    <w:multiLevelType w:val="hybridMultilevel"/>
    <w:tmpl w:val="0562D4DA"/>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B07370"/>
    <w:multiLevelType w:val="hybridMultilevel"/>
    <w:tmpl w:val="E2DCD18C"/>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4F51"/>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5D8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6EF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575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58E"/>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BF7CCB"/>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41FE"/>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3CB0CE"/>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iPriority w:val="99"/>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urneocustom.fordpresskits.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xplorer.fordpresskit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ga.fordpresskits.com/" TargetMode="External"/><Relationship Id="rId5" Type="http://schemas.openxmlformats.org/officeDocument/2006/relationships/webSettings" Target="webSettings.xml"/><Relationship Id="rId15" Type="http://schemas.openxmlformats.org/officeDocument/2006/relationships/hyperlink" Target="http://mondeo.fordpresskits.com/" TargetMode="External"/><Relationship Id="rId10" Type="http://schemas.openxmlformats.org/officeDocument/2006/relationships/hyperlink" Target="mailto:dburiano@for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hyperlink" Target="http://puma.fordpresskits.com/" TargetMode="Externa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4B152-9123-4603-88F9-BB92EFFD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1084</Words>
  <Characters>6934</Characters>
  <Application>Microsoft Office Word</Application>
  <DocSecurity>0</DocSecurity>
  <Lines>57</Lines>
  <Paragraphs>16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3</cp:revision>
  <cp:lastPrinted>2017-03-15T14:07:00Z</cp:lastPrinted>
  <dcterms:created xsi:type="dcterms:W3CDTF">2019-09-10T10:00:00Z</dcterms:created>
  <dcterms:modified xsi:type="dcterms:W3CDTF">2019-09-10T10:11:00Z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