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5B" w:rsidRPr="003D2E89" w:rsidRDefault="005D6B73" w:rsidP="003D2E89">
      <w:pPr>
        <w:pStyle w:val="Starktcitat"/>
        <w:rPr>
          <w:i w:val="0"/>
          <w:noProof/>
          <w:sz w:val="32"/>
          <w:szCs w:val="32"/>
          <w:lang w:val="sv-SE" w:eastAsia="sv-SE"/>
        </w:rPr>
      </w:pPr>
      <w:r w:rsidRPr="003D2E89">
        <w:rPr>
          <w:i w:val="0"/>
          <w:noProof/>
          <w:sz w:val="32"/>
          <w:szCs w:val="32"/>
          <w:lang w:val="sv-SE" w:eastAsia="sv-SE"/>
        </w:rPr>
        <w:t>Framtiden är ljus</w:t>
      </w:r>
    </w:p>
    <w:p w:rsidR="002072C6" w:rsidRDefault="002072C6" w:rsidP="002072C6">
      <w:pPr>
        <w:spacing w:after="0" w:line="240" w:lineRule="auto"/>
        <w:rPr>
          <w:lang w:val="sv-SE"/>
        </w:rPr>
      </w:pPr>
    </w:p>
    <w:p w:rsidR="0099595B" w:rsidRPr="003D2E89" w:rsidRDefault="002834F9" w:rsidP="002072C6">
      <w:pPr>
        <w:spacing w:after="0" w:line="240" w:lineRule="auto"/>
        <w:rPr>
          <w:lang w:val="sv-SE"/>
        </w:rPr>
      </w:pPr>
      <w:r w:rsidRPr="002834F9">
        <w:rPr>
          <w:lang w:val="sv-SE"/>
        </w:rPr>
        <w:t>De flesta människor upplever dagsljus som mer behaglig</w:t>
      </w:r>
      <w:r>
        <w:rPr>
          <w:lang w:val="sv-SE"/>
        </w:rPr>
        <w:t>t</w:t>
      </w:r>
      <w:r w:rsidRPr="002834F9">
        <w:rPr>
          <w:lang w:val="sv-SE"/>
        </w:rPr>
        <w:t xml:space="preserve"> och stimulerande än elektrisk belysning. Det finns dessutom forskning som visar att dagsljus underlättar lärande och gör oss mer produktiva. Jämfört med elektrisk belysning har dagsljus perfekt färgåtergivning och andelen ljus i förhållande till den värme som skapas</w:t>
      </w:r>
      <w:r w:rsidR="00BC37F7">
        <w:rPr>
          <w:lang w:val="sv-SE"/>
        </w:rPr>
        <w:t>,</w:t>
      </w:r>
      <w:r w:rsidRPr="002834F9">
        <w:rPr>
          <w:lang w:val="sv-SE"/>
        </w:rPr>
        <w:t xml:space="preserve"> är mycket hög. Dagsljus kan därför användas för att skapa en god visuell miljö och samtidigt minska byggnaders energianvändning. Tillsammans med </w:t>
      </w:r>
      <w:r w:rsidRPr="003D2E89">
        <w:rPr>
          <w:lang w:val="sv-SE"/>
        </w:rPr>
        <w:t>Inter IKEA Systems Service AB</w:t>
      </w:r>
      <w:r w:rsidRPr="002834F9">
        <w:rPr>
          <w:lang w:val="sv-SE"/>
        </w:rPr>
        <w:t xml:space="preserve"> har Bengt Dahlgren undersökt möjligheten och nyttan med att använda </w:t>
      </w:r>
      <w:r w:rsidR="0099595B" w:rsidRPr="003D2E89">
        <w:rPr>
          <w:lang w:val="sv-SE"/>
        </w:rPr>
        <w:t xml:space="preserve">dagsljus som ljuskälla. </w:t>
      </w:r>
    </w:p>
    <w:p w:rsidR="00B43757" w:rsidRPr="002072C6" w:rsidRDefault="00B43757" w:rsidP="002072C6">
      <w:pPr>
        <w:spacing w:after="0" w:line="240" w:lineRule="auto"/>
        <w:rPr>
          <w:lang w:val="sv-SE"/>
        </w:rPr>
      </w:pPr>
    </w:p>
    <w:p w:rsidR="00D0534B" w:rsidRPr="002072C6" w:rsidRDefault="00B43757" w:rsidP="002072C6">
      <w:pPr>
        <w:spacing w:after="0" w:line="240" w:lineRule="auto"/>
        <w:rPr>
          <w:lang w:val="sv-SE"/>
        </w:rPr>
      </w:pPr>
      <w:r w:rsidRPr="002072C6">
        <w:rPr>
          <w:lang w:val="sv-SE"/>
        </w:rPr>
        <w:t xml:space="preserve">Vanligtvis utgår man ifrån den så kallade dagsljusfaktorn i studier som denna men vi har valt att använda betydligt mer kraftfulla verktyg som t.ex. dagsljusautonomi, se separat faktaruta. </w:t>
      </w:r>
      <w:r w:rsidR="002834F9" w:rsidRPr="002072C6">
        <w:rPr>
          <w:lang w:val="sv-SE"/>
        </w:rPr>
        <w:t xml:space="preserve">Möjligheten att använda dagsljus beror på </w:t>
      </w:r>
      <w:r w:rsidR="004F130C" w:rsidRPr="002072C6">
        <w:rPr>
          <w:lang w:val="sv-SE"/>
        </w:rPr>
        <w:t>lokala förutsättningar</w:t>
      </w:r>
      <w:r w:rsidR="002834F9" w:rsidRPr="002072C6">
        <w:rPr>
          <w:lang w:val="sv-SE"/>
        </w:rPr>
        <w:t xml:space="preserve">. </w:t>
      </w:r>
      <w:r w:rsidRPr="002072C6">
        <w:rPr>
          <w:lang w:val="sv-SE"/>
        </w:rPr>
        <w:t xml:space="preserve">Flera orter med </w:t>
      </w:r>
      <w:r w:rsidR="002834F9" w:rsidRPr="002072C6">
        <w:rPr>
          <w:lang w:val="sv-SE"/>
        </w:rPr>
        <w:t xml:space="preserve">varierande </w:t>
      </w:r>
      <w:r w:rsidR="002C37EC" w:rsidRPr="002072C6">
        <w:rPr>
          <w:lang w:val="sv-SE"/>
        </w:rPr>
        <w:t>solinstrålning och solhöjd</w:t>
      </w:r>
      <w:r w:rsidRPr="002072C6">
        <w:rPr>
          <w:lang w:val="sv-SE"/>
        </w:rPr>
        <w:t xml:space="preserve"> ingår i studien</w:t>
      </w:r>
      <w:r w:rsidR="002834F9" w:rsidRPr="002072C6">
        <w:rPr>
          <w:lang w:val="sv-SE"/>
        </w:rPr>
        <w:t>. Även byggnadernas egenskaper som väderstreck och våningshöjd har studerats</w:t>
      </w:r>
      <w:r w:rsidR="00A1727E" w:rsidRPr="002072C6">
        <w:rPr>
          <w:lang w:val="sv-SE"/>
        </w:rPr>
        <w:t>.</w:t>
      </w:r>
      <w:r w:rsidR="002834F9" w:rsidRPr="002072C6">
        <w:rPr>
          <w:lang w:val="sv-SE"/>
        </w:rPr>
        <w:t xml:space="preserve"> </w:t>
      </w:r>
    </w:p>
    <w:p w:rsidR="00B43757" w:rsidRPr="002072C6" w:rsidRDefault="00B43757" w:rsidP="002072C6">
      <w:pPr>
        <w:spacing w:after="0" w:line="240" w:lineRule="auto"/>
        <w:rPr>
          <w:lang w:val="sv-SE"/>
        </w:rPr>
      </w:pPr>
    </w:p>
    <w:p w:rsidR="00BC37F7" w:rsidRPr="002072C6" w:rsidRDefault="00B43757" w:rsidP="002072C6">
      <w:pPr>
        <w:spacing w:after="0" w:line="240" w:lineRule="auto"/>
        <w:rPr>
          <w:lang w:val="sv-SE"/>
        </w:rPr>
      </w:pPr>
      <w:r w:rsidRPr="002072C6">
        <w:rPr>
          <w:lang w:val="sv-SE"/>
        </w:rPr>
        <w:t>E</w:t>
      </w:r>
      <w:r w:rsidR="00BC37F7" w:rsidRPr="002072C6">
        <w:rPr>
          <w:lang w:val="sv-SE"/>
        </w:rPr>
        <w:t>ffekten av olika glastyper och geometrisk utformning av ljusinsläpp</w:t>
      </w:r>
      <w:r w:rsidRPr="002072C6">
        <w:rPr>
          <w:lang w:val="sv-SE"/>
        </w:rPr>
        <w:t xml:space="preserve"> har undersökts</w:t>
      </w:r>
      <w:r w:rsidR="00BC37F7" w:rsidRPr="002072C6">
        <w:rPr>
          <w:lang w:val="sv-SE"/>
        </w:rPr>
        <w:t>. Detta omfattar fasadglas, be</w:t>
      </w:r>
      <w:r w:rsidRPr="002072C6">
        <w:rPr>
          <w:lang w:val="sv-SE"/>
        </w:rPr>
        <w:t xml:space="preserve">fintliga rökluckor, lanterniner, </w:t>
      </w:r>
      <w:r w:rsidR="00BC37F7" w:rsidRPr="002072C6">
        <w:rPr>
          <w:lang w:val="sv-SE"/>
        </w:rPr>
        <w:t xml:space="preserve">kommersiella och egendesignade solinlänkningsprodukter. Förutom den geometriska utformningen har vi även optimerat de optiska egenskaperna (reflektans), anslutningar till tekniska installationer och styrning av eventuella solskydd. </w:t>
      </w:r>
    </w:p>
    <w:p w:rsidR="00BC37F7" w:rsidRPr="002072C6" w:rsidRDefault="00BC37F7" w:rsidP="002072C6">
      <w:pPr>
        <w:spacing w:after="0" w:line="240" w:lineRule="auto"/>
        <w:rPr>
          <w:lang w:val="sv-SE"/>
        </w:rPr>
      </w:pPr>
    </w:p>
    <w:p w:rsidR="006061DA" w:rsidRPr="002072C6" w:rsidRDefault="007962C0" w:rsidP="002072C6">
      <w:pPr>
        <w:spacing w:after="0" w:line="240" w:lineRule="auto"/>
        <w:jc w:val="both"/>
        <w:rPr>
          <w:lang w:val="sv-SE"/>
        </w:rPr>
      </w:pPr>
      <w:r w:rsidRPr="002072C6">
        <w:rPr>
          <w:lang w:val="sv-SE"/>
        </w:rPr>
        <w:t xml:space="preserve">Närvarotider har stor betydelse för </w:t>
      </w:r>
      <w:r w:rsidR="002834F9" w:rsidRPr="002072C6">
        <w:rPr>
          <w:lang w:val="sv-SE"/>
        </w:rPr>
        <w:t>möjligheten att använda dagsljus. T.ex. måste be</w:t>
      </w:r>
      <w:r w:rsidR="004D748E" w:rsidRPr="002072C6">
        <w:rPr>
          <w:lang w:val="sv-SE"/>
        </w:rPr>
        <w:t>h</w:t>
      </w:r>
      <w:r w:rsidR="002834F9" w:rsidRPr="002072C6">
        <w:rPr>
          <w:lang w:val="sv-SE"/>
        </w:rPr>
        <w:t>ovet av dagsljus sammanfalla med de tider solen skiner</w:t>
      </w:r>
      <w:r w:rsidR="00BC37F7" w:rsidRPr="002072C6">
        <w:rPr>
          <w:lang w:val="sv-SE"/>
        </w:rPr>
        <w:t xml:space="preserve">. </w:t>
      </w:r>
      <w:r w:rsidR="004D748E" w:rsidRPr="002072C6">
        <w:rPr>
          <w:lang w:val="sv-SE"/>
        </w:rPr>
        <w:t xml:space="preserve">En annan faktor som har mycket stor betydelse är behovet av ljus. Det är betydligt </w:t>
      </w:r>
      <w:r w:rsidR="00B43757" w:rsidRPr="002072C6">
        <w:rPr>
          <w:lang w:val="sv-SE"/>
        </w:rPr>
        <w:t>enklare</w:t>
      </w:r>
      <w:r w:rsidR="004D748E" w:rsidRPr="002072C6">
        <w:rPr>
          <w:lang w:val="sv-SE"/>
        </w:rPr>
        <w:t xml:space="preserve"> att använda naturligt ljus vid ett lägsta krav på 300 än 1000 lux.</w:t>
      </w:r>
    </w:p>
    <w:p w:rsidR="00987DCB" w:rsidRPr="002072C6" w:rsidRDefault="00987DCB" w:rsidP="002072C6">
      <w:pPr>
        <w:spacing w:after="0" w:line="240" w:lineRule="auto"/>
        <w:jc w:val="both"/>
        <w:rPr>
          <w:lang w:val="sv-SE"/>
        </w:rPr>
      </w:pPr>
    </w:p>
    <w:p w:rsidR="00AD6238" w:rsidRPr="002072C6" w:rsidRDefault="00AD6238" w:rsidP="002072C6">
      <w:pPr>
        <w:spacing w:after="0" w:line="240" w:lineRule="auto"/>
        <w:jc w:val="both"/>
        <w:rPr>
          <w:lang w:val="sv-SE"/>
        </w:rPr>
      </w:pPr>
      <w:r w:rsidRPr="002072C6">
        <w:rPr>
          <w:lang w:val="sv-SE"/>
        </w:rPr>
        <w:t xml:space="preserve">För att utvärdera nyttan med dagsljus har vi valt att utgå ifrån ett helhetsperspektiv där vi tar hänsyn till </w:t>
      </w:r>
      <w:r w:rsidR="00D578C8" w:rsidRPr="002072C6">
        <w:rPr>
          <w:lang w:val="sv-SE"/>
        </w:rPr>
        <w:t>hur byggnadens totala energianvändning påverkas ur ett livscykelperspektiv. Mest spännande har dock varit att ta fram metoder för att utvärdera hur dagsljuset kommer upplevas. Vi har bl.a. tagit fram nya metoder för att avgöra bländning i lagerlokaler och restaurangmiljöer.</w:t>
      </w:r>
    </w:p>
    <w:p w:rsidR="00D0534B" w:rsidRPr="002072C6" w:rsidRDefault="00D0534B" w:rsidP="002072C6">
      <w:pPr>
        <w:autoSpaceDE w:val="0"/>
        <w:autoSpaceDN w:val="0"/>
        <w:adjustRightInd w:val="0"/>
        <w:spacing w:after="0" w:line="240" w:lineRule="auto"/>
        <w:rPr>
          <w:lang w:val="sv-SE"/>
        </w:rPr>
      </w:pPr>
    </w:p>
    <w:p w:rsidR="002072C6" w:rsidRDefault="00E3687F" w:rsidP="002072C6">
      <w:pPr>
        <w:keepNext/>
        <w:spacing w:after="0" w:line="240" w:lineRule="auto"/>
      </w:pPr>
      <w:r w:rsidRPr="002072C6">
        <w:rPr>
          <w:lang w:val="sv-SE"/>
        </w:rPr>
        <w:lastRenderedPageBreak/>
        <w:drawing>
          <wp:inline distT="0" distB="0" distL="0" distR="0" wp14:anchorId="47575B09" wp14:editId="7D4C331F">
            <wp:extent cx="5760000" cy="3960000"/>
            <wp:effectExtent l="0" t="0" r="12700" b="21590"/>
            <wp:docPr id="30" name="Diagram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72C6" w:rsidRDefault="002072C6" w:rsidP="002072C6">
      <w:pPr>
        <w:spacing w:after="0" w:line="240" w:lineRule="auto"/>
        <w:ind w:left="1440" w:hanging="1440"/>
        <w:rPr>
          <w:lang w:val="sv-SE"/>
        </w:rPr>
      </w:pPr>
      <w:r w:rsidRPr="002072C6">
        <w:rPr>
          <w:lang w:val="sv-SE"/>
        </w:rPr>
        <w:t xml:space="preserve">Diagram </w:t>
      </w:r>
      <w:r>
        <w:fldChar w:fldCharType="begin"/>
      </w:r>
      <w:r w:rsidRPr="002072C6">
        <w:rPr>
          <w:lang w:val="sv-SE"/>
        </w:rPr>
        <w:instrText xml:space="preserve"> SEQ Diagram \* ARABIC </w:instrText>
      </w:r>
      <w:r>
        <w:fldChar w:fldCharType="separate"/>
      </w:r>
      <w:r w:rsidR="00A10F3F">
        <w:rPr>
          <w:noProof/>
          <w:lang w:val="sv-SE"/>
        </w:rPr>
        <w:t>1</w:t>
      </w:r>
      <w:r>
        <w:fldChar w:fldCharType="end"/>
      </w:r>
      <w:r w:rsidRPr="002072C6">
        <w:rPr>
          <w:lang w:val="sv-SE"/>
        </w:rPr>
        <w:tab/>
      </w:r>
      <w:r>
        <w:rPr>
          <w:i/>
          <w:lang w:val="sv-SE"/>
        </w:rPr>
        <w:t>Ovan</w:t>
      </w:r>
      <w:r w:rsidRPr="002072C6">
        <w:rPr>
          <w:i/>
          <w:lang w:val="sv-SE"/>
        </w:rPr>
        <w:t>stående diagram visar hur den möjliga besparingen av elektisk belysning varierar med avståndet från ett fasadfönster under ett helt år. Det redovisar även höga illuminansnivåer vilka i vissa fall kan resultera i bländning.</w:t>
      </w:r>
    </w:p>
    <w:p w:rsidR="005D6B73" w:rsidRDefault="005D6B73" w:rsidP="002072C6">
      <w:pPr>
        <w:pStyle w:val="Beskrivning"/>
        <w:rPr>
          <w:lang w:val="sv-SE"/>
        </w:rPr>
      </w:pPr>
    </w:p>
    <w:p w:rsidR="005D6B73" w:rsidRDefault="005D6B73" w:rsidP="002072C6">
      <w:pPr>
        <w:spacing w:after="0" w:line="240" w:lineRule="auto"/>
        <w:rPr>
          <w:lang w:val="sv-SE"/>
        </w:rPr>
      </w:pPr>
    </w:p>
    <w:p w:rsidR="004B2322" w:rsidRPr="002072C6" w:rsidRDefault="004B2322" w:rsidP="004B2322">
      <w:pPr>
        <w:spacing w:after="0" w:line="240" w:lineRule="auto"/>
        <w:rPr>
          <w:lang w:val="sv-SE"/>
        </w:rPr>
      </w:pPr>
      <w:r>
        <w:rPr>
          <w:lang w:val="sv-SE"/>
        </w:rPr>
        <w:t>__________________________</w:t>
      </w:r>
      <w:bookmarkStart w:id="0" w:name="_GoBack"/>
      <w:bookmarkEnd w:id="0"/>
      <w:r w:rsidR="004F130C">
        <w:rPr>
          <w:lang w:val="sv-SE"/>
        </w:rPr>
        <w:t>separat faktaruta</w:t>
      </w:r>
      <w:r>
        <w:rPr>
          <w:lang w:val="sv-SE"/>
        </w:rPr>
        <w:t>__________________________</w:t>
      </w:r>
    </w:p>
    <w:p w:rsidR="004F130C" w:rsidRDefault="004F130C" w:rsidP="002072C6">
      <w:pPr>
        <w:spacing w:after="0" w:line="240" w:lineRule="auto"/>
        <w:rPr>
          <w:lang w:val="sv-SE"/>
        </w:rPr>
      </w:pPr>
    </w:p>
    <w:p w:rsidR="004F130C" w:rsidRDefault="004F130C" w:rsidP="002072C6">
      <w:pPr>
        <w:spacing w:after="0" w:line="240" w:lineRule="auto"/>
        <w:rPr>
          <w:lang w:val="sv-SE"/>
        </w:rPr>
      </w:pPr>
    </w:p>
    <w:p w:rsidR="002834F9" w:rsidRPr="003D2E89" w:rsidRDefault="002834F9" w:rsidP="002072C6">
      <w:pPr>
        <w:spacing w:after="0" w:line="240" w:lineRule="auto"/>
        <w:rPr>
          <w:b/>
          <w:lang w:val="sv-SE"/>
        </w:rPr>
      </w:pPr>
      <w:r w:rsidRPr="003D2E89">
        <w:rPr>
          <w:b/>
          <w:lang w:val="sv-SE"/>
        </w:rPr>
        <w:t>Dagsljusfaktor</w:t>
      </w:r>
    </w:p>
    <w:p w:rsidR="002834F9" w:rsidRPr="002072C6" w:rsidRDefault="002834F9" w:rsidP="002072C6">
      <w:pPr>
        <w:spacing w:after="0" w:line="240" w:lineRule="auto"/>
        <w:rPr>
          <w:lang w:val="sv-SE"/>
        </w:rPr>
      </w:pPr>
      <w:r w:rsidRPr="002072C6">
        <w:rPr>
          <w:lang w:val="sv-SE"/>
        </w:rPr>
        <w:t>Dagsljusfaktorn beskriver skillnaden mellan ljusflödet</w:t>
      </w:r>
      <w:r w:rsidR="003D2E89">
        <w:rPr>
          <w:lang w:val="sv-SE"/>
        </w:rPr>
        <w:t xml:space="preserve"> i en punkt inomhus och en </w:t>
      </w:r>
      <w:proofErr w:type="spellStart"/>
      <w:r w:rsidR="003D2E89">
        <w:rPr>
          <w:lang w:val="sv-SE"/>
        </w:rPr>
        <w:t>o</w:t>
      </w:r>
      <w:r w:rsidRPr="002072C6">
        <w:rPr>
          <w:lang w:val="sv-SE"/>
        </w:rPr>
        <w:t>skuggad</w:t>
      </w:r>
      <w:proofErr w:type="spellEnd"/>
      <w:r w:rsidRPr="002072C6">
        <w:rPr>
          <w:lang w:val="sv-SE"/>
        </w:rPr>
        <w:t xml:space="preserve"> punkt utomhus en mulen dag. Dagsljusfaktorn var aldrig tänkt för att användas som indikation på vad som är ett bra dagsljus utan en lägsta tillåten nivå. Trots detta används dagsljusfaktorn just så idag och det är i princip det enda nyckeltal som används för att bedöma dagsljus i byggnader. </w:t>
      </w:r>
    </w:p>
    <w:p w:rsidR="002834F9" w:rsidRPr="002072C6" w:rsidRDefault="00221E89" w:rsidP="002072C6">
      <w:pPr>
        <w:spacing w:after="0" w:line="240" w:lineRule="auto"/>
        <w:rPr>
          <w:lang w:val="sv-SE"/>
        </w:rPr>
      </w:pPr>
      <w:r w:rsidRPr="002072C6">
        <w:rPr>
          <w:lang w:val="sv-SE"/>
        </w:rPr>
        <w:lastRenderedPageBreak/>
        <w:drawing>
          <wp:inline distT="0" distB="0" distL="0" distR="0" wp14:anchorId="6F5217B5" wp14:editId="3B6466BA">
            <wp:extent cx="5760720" cy="3529019"/>
            <wp:effectExtent l="0" t="0" r="0" b="0"/>
            <wp:docPr id="1" name="Bildobjekt 1" descr="https://lh6.googleusercontent.com/-LsSSWZ066lnfiNsRqjxKAUZlANivTSYTXlHhxGVMnP8AVfFRk7Nr4vNH_Xl5fqLCOgi4Wq5mwhQAzQBRYpp3XztcrRvQS9uwh47ntDCXmQmr12b4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sSSWZ066lnfiNsRqjxKAUZlANivTSYTXlHhxGVMnP8AVfFRk7Nr4vNH_Xl5fqLCOgi4Wq5mwhQAzQBRYpp3XztcrRvQS9uwh47ntDCXmQmr12b4A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529019"/>
                    </a:xfrm>
                    <a:prstGeom prst="rect">
                      <a:avLst/>
                    </a:prstGeom>
                    <a:noFill/>
                    <a:ln>
                      <a:noFill/>
                    </a:ln>
                  </pic:spPr>
                </pic:pic>
              </a:graphicData>
            </a:graphic>
          </wp:inline>
        </w:drawing>
      </w:r>
    </w:p>
    <w:p w:rsidR="002834F9" w:rsidRDefault="002834F9" w:rsidP="002072C6">
      <w:pPr>
        <w:spacing w:after="0" w:line="240" w:lineRule="auto"/>
        <w:rPr>
          <w:lang w:val="sv-SE"/>
        </w:rPr>
      </w:pPr>
      <w:r w:rsidRPr="002072C6">
        <w:rPr>
          <w:lang w:val="sv-SE"/>
        </w:rPr>
        <w:t xml:space="preserve">Ofta hör man att dagsljusfaktorn är användbar eftersom den redovisar en form av värsta fall med en mulen himmel utan direkt sol. Den verkliga anledningen är dock att dagsljusfaktorn är mycket lätt att förstå sig på och arbeta med, även för de som inte kan någonting om ämnet. Den stora nackdelen med dagsljusfaktorn är att den inte tar hänsyn till ljusets variation utan man får samma resultat oberoende på väderstreck, årstid och ort. Ett söderrum i Nordafrika har alltså samma dagsljusfaktor som ett norrfönster på Svalbard. Dagsljusfaktorn anger </w:t>
      </w:r>
      <w:r w:rsidR="00221E89" w:rsidRPr="002072C6">
        <w:rPr>
          <w:lang w:val="sv-SE"/>
        </w:rPr>
        <w:t>alltså</w:t>
      </w:r>
      <w:r w:rsidRPr="002072C6">
        <w:rPr>
          <w:lang w:val="sv-SE"/>
        </w:rPr>
        <w:t xml:space="preserve"> en lägsta nivå och kan inte svara på om ett rum får för mycket ljus.</w:t>
      </w:r>
    </w:p>
    <w:p w:rsidR="004B2322" w:rsidRPr="002072C6" w:rsidRDefault="004B2322" w:rsidP="002072C6">
      <w:pPr>
        <w:spacing w:after="0" w:line="240" w:lineRule="auto"/>
        <w:rPr>
          <w:lang w:val="sv-SE"/>
        </w:rPr>
      </w:pPr>
    </w:p>
    <w:p w:rsidR="002834F9" w:rsidRPr="002072C6" w:rsidRDefault="004B2322" w:rsidP="002072C6">
      <w:pPr>
        <w:spacing w:after="0" w:line="240" w:lineRule="auto"/>
        <w:rPr>
          <w:lang w:val="sv-SE"/>
        </w:rPr>
      </w:pPr>
      <w:r>
        <w:rPr>
          <w:lang w:val="sv-SE"/>
        </w:rPr>
        <w:t>__________________________</w:t>
      </w:r>
    </w:p>
    <w:p w:rsidR="003D2E89" w:rsidRDefault="003D2E89" w:rsidP="002072C6">
      <w:pPr>
        <w:spacing w:after="0" w:line="240" w:lineRule="auto"/>
        <w:rPr>
          <w:b/>
          <w:lang w:val="sv-SE"/>
        </w:rPr>
      </w:pPr>
    </w:p>
    <w:p w:rsidR="002834F9" w:rsidRPr="003D2E89" w:rsidRDefault="002834F9" w:rsidP="002072C6">
      <w:pPr>
        <w:spacing w:after="0" w:line="240" w:lineRule="auto"/>
        <w:rPr>
          <w:b/>
          <w:lang w:val="sv-SE"/>
        </w:rPr>
      </w:pPr>
      <w:r w:rsidRPr="003D2E89">
        <w:rPr>
          <w:b/>
          <w:lang w:val="sv-SE"/>
        </w:rPr>
        <w:t>Dagsljusautonomi</w:t>
      </w:r>
    </w:p>
    <w:p w:rsidR="005D6B73" w:rsidRDefault="00221E89" w:rsidP="002072C6">
      <w:pPr>
        <w:pBdr>
          <w:bottom w:val="single" w:sz="6" w:space="1" w:color="auto"/>
        </w:pBdr>
        <w:spacing w:after="0" w:line="240" w:lineRule="auto"/>
        <w:jc w:val="both"/>
        <w:rPr>
          <w:lang w:val="sv-SE"/>
        </w:rPr>
      </w:pPr>
      <w:r w:rsidRPr="00221E89">
        <w:rPr>
          <w:lang w:val="sv-SE"/>
        </w:rPr>
        <w:t xml:space="preserve">Dagsljusautonomi (DA) </w:t>
      </w:r>
      <w:r w:rsidRPr="002072C6">
        <w:rPr>
          <w:lang w:val="sv-SE"/>
        </w:rPr>
        <w:t xml:space="preserve">är betydligt mer kraftfull än dagsljusfaktorn och </w:t>
      </w:r>
      <w:r w:rsidRPr="00221E89">
        <w:rPr>
          <w:lang w:val="sv-SE"/>
        </w:rPr>
        <w:t xml:space="preserve">anger hur stor </w:t>
      </w:r>
      <w:r>
        <w:rPr>
          <w:lang w:val="sv-SE"/>
        </w:rPr>
        <w:t>del av arbetstiden</w:t>
      </w:r>
      <w:r w:rsidRPr="00221E89">
        <w:rPr>
          <w:lang w:val="sv-SE"/>
        </w:rPr>
        <w:t xml:space="preserve"> under ett </w:t>
      </w:r>
      <w:r>
        <w:rPr>
          <w:lang w:val="sv-SE"/>
        </w:rPr>
        <w:t xml:space="preserve">helt </w:t>
      </w:r>
      <w:r w:rsidRPr="00221E89">
        <w:rPr>
          <w:lang w:val="sv-SE"/>
        </w:rPr>
        <w:t>år det naturliga dagsljuset kan lysa upp en yta med angivet lägsta illuminans (</w:t>
      </w:r>
      <w:r>
        <w:rPr>
          <w:lang w:val="sv-SE"/>
        </w:rPr>
        <w:t>t.ex. 300 lux</w:t>
      </w:r>
      <w:r w:rsidRPr="00221E89">
        <w:rPr>
          <w:lang w:val="sv-SE"/>
        </w:rPr>
        <w:t>). Dagsljusautonomi är mycket enkel att koppla till en ekonomisk besparing då den direkt visar hur mycket den elektriska belysningen kan redu</w:t>
      </w:r>
      <w:r>
        <w:rPr>
          <w:lang w:val="sv-SE"/>
        </w:rPr>
        <w:t>ceras. En dagsljusautonomi på 65</w:t>
      </w:r>
      <w:r w:rsidRPr="00221E89">
        <w:rPr>
          <w:lang w:val="sv-SE"/>
        </w:rPr>
        <w:t xml:space="preserve"> % innebär alltså att den möjliga be</w:t>
      </w:r>
      <w:r>
        <w:rPr>
          <w:lang w:val="sv-SE"/>
        </w:rPr>
        <w:t>sparingen är 65</w:t>
      </w:r>
      <w:r w:rsidRPr="00221E89">
        <w:rPr>
          <w:lang w:val="sv-SE"/>
        </w:rPr>
        <w:t xml:space="preserve"> %.</w:t>
      </w:r>
      <w:r>
        <w:rPr>
          <w:lang w:val="sv-SE"/>
        </w:rPr>
        <w:t xml:space="preserve"> Dagsljusautonomin kan även kompletteras </w:t>
      </w:r>
      <w:r w:rsidR="00863662">
        <w:rPr>
          <w:lang w:val="sv-SE"/>
        </w:rPr>
        <w:t>för att visa andel av året då risk för bländning föreligger.</w:t>
      </w:r>
    </w:p>
    <w:p w:rsidR="004B2322" w:rsidRDefault="004B2322" w:rsidP="002072C6">
      <w:pPr>
        <w:pBdr>
          <w:bottom w:val="single" w:sz="6" w:space="1" w:color="auto"/>
        </w:pBdr>
        <w:spacing w:after="0" w:line="240" w:lineRule="auto"/>
        <w:jc w:val="both"/>
        <w:rPr>
          <w:lang w:val="sv-SE"/>
        </w:rPr>
      </w:pPr>
    </w:p>
    <w:p w:rsidR="004B2322" w:rsidRDefault="004B2322" w:rsidP="002072C6">
      <w:pPr>
        <w:pBdr>
          <w:bottom w:val="single" w:sz="6" w:space="1" w:color="auto"/>
        </w:pBdr>
        <w:spacing w:after="0" w:line="240" w:lineRule="auto"/>
        <w:jc w:val="both"/>
        <w:rPr>
          <w:lang w:val="sv-SE"/>
        </w:rPr>
      </w:pPr>
    </w:p>
    <w:p w:rsidR="00D42F9D" w:rsidRDefault="00D42F9D" w:rsidP="002072C6">
      <w:pPr>
        <w:spacing w:after="0" w:line="240" w:lineRule="auto"/>
        <w:jc w:val="both"/>
        <w:rPr>
          <w:lang w:val="sv-SE"/>
        </w:rPr>
      </w:pPr>
    </w:p>
    <w:p w:rsidR="002072C6" w:rsidRDefault="002072C6" w:rsidP="002072C6">
      <w:pPr>
        <w:spacing w:after="0" w:line="240" w:lineRule="auto"/>
        <w:jc w:val="both"/>
        <w:rPr>
          <w:lang w:val="sv-SE"/>
        </w:rPr>
      </w:pPr>
    </w:p>
    <w:p w:rsidR="00D42F9D" w:rsidRDefault="00D42F9D" w:rsidP="002072C6">
      <w:pPr>
        <w:spacing w:after="0" w:line="240" w:lineRule="auto"/>
        <w:jc w:val="both"/>
        <w:rPr>
          <w:lang w:val="sv-SE"/>
        </w:rPr>
      </w:pPr>
      <w:r>
        <w:rPr>
          <w:lang w:val="sv-SE"/>
        </w:rPr>
        <w:t>Max Tillberg</w:t>
      </w:r>
      <w:r w:rsidR="002072C6">
        <w:rPr>
          <w:lang w:val="sv-SE"/>
        </w:rPr>
        <w:t xml:space="preserve">, </w:t>
      </w:r>
      <w:proofErr w:type="spellStart"/>
      <w:r>
        <w:rPr>
          <w:lang w:val="sv-SE"/>
        </w:rPr>
        <w:t>Kaia</w:t>
      </w:r>
      <w:proofErr w:type="spellEnd"/>
      <w:r>
        <w:rPr>
          <w:lang w:val="sv-SE"/>
        </w:rPr>
        <w:t xml:space="preserve"> </w:t>
      </w:r>
      <w:proofErr w:type="spellStart"/>
      <w:r>
        <w:rPr>
          <w:lang w:val="sv-SE"/>
        </w:rPr>
        <w:t>Eichler</w:t>
      </w:r>
      <w:proofErr w:type="spellEnd"/>
    </w:p>
    <w:p w:rsidR="002072C6" w:rsidRDefault="002072C6" w:rsidP="002072C6">
      <w:pPr>
        <w:spacing w:after="0" w:line="240" w:lineRule="auto"/>
        <w:jc w:val="both"/>
        <w:rPr>
          <w:lang w:val="sv-SE"/>
        </w:rPr>
      </w:pPr>
      <w:r>
        <w:rPr>
          <w:lang w:val="sv-SE"/>
        </w:rPr>
        <w:t>2013-04-08</w:t>
      </w:r>
    </w:p>
    <w:p w:rsidR="002072C6" w:rsidRDefault="002072C6" w:rsidP="002072C6">
      <w:pPr>
        <w:spacing w:after="0" w:line="240" w:lineRule="auto"/>
        <w:jc w:val="both"/>
        <w:rPr>
          <w:lang w:val="sv-SE"/>
        </w:rPr>
      </w:pPr>
    </w:p>
    <w:p w:rsidR="00526F55" w:rsidRDefault="00526F55" w:rsidP="002072C6">
      <w:pPr>
        <w:spacing w:after="0" w:line="240" w:lineRule="auto"/>
        <w:jc w:val="both"/>
        <w:rPr>
          <w:lang w:val="sv-SE"/>
        </w:rPr>
      </w:pPr>
      <w:r>
        <w:rPr>
          <w:lang w:val="sv-SE"/>
        </w:rPr>
        <w:t>Bengt Dahlgren</w:t>
      </w:r>
      <w:r w:rsidR="003D2E89">
        <w:rPr>
          <w:lang w:val="sv-SE"/>
        </w:rPr>
        <w:t xml:space="preserve"> AB</w:t>
      </w:r>
      <w:r>
        <w:rPr>
          <w:lang w:val="sv-SE"/>
        </w:rPr>
        <w:t xml:space="preserve"> har arbetat med dagsljus under många år och undervisar bl.a. på Chalmers inom ämnet. Vi har dessutom flera medlemmar i intressegruppen Svensk Dagsljusberäkning.</w:t>
      </w:r>
    </w:p>
    <w:sectPr w:rsidR="00526F55" w:rsidSect="00A10F3F">
      <w:head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DCB" w:rsidRDefault="00987DCB" w:rsidP="00987DCB">
      <w:pPr>
        <w:spacing w:after="0" w:line="240" w:lineRule="auto"/>
      </w:pPr>
      <w:r>
        <w:separator/>
      </w:r>
    </w:p>
  </w:endnote>
  <w:endnote w:type="continuationSeparator" w:id="0">
    <w:p w:rsidR="00987DCB" w:rsidRDefault="00987DCB" w:rsidP="0098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DCB" w:rsidRDefault="00987DCB" w:rsidP="00987DCB">
      <w:pPr>
        <w:spacing w:after="0" w:line="240" w:lineRule="auto"/>
      </w:pPr>
      <w:r>
        <w:separator/>
      </w:r>
    </w:p>
  </w:footnote>
  <w:footnote w:type="continuationSeparator" w:id="0">
    <w:p w:rsidR="00987DCB" w:rsidRDefault="00987DCB" w:rsidP="00987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CB" w:rsidRPr="00987DCB" w:rsidRDefault="00987DCB" w:rsidP="00987DCB">
    <w:pPr>
      <w:pStyle w:val="Sidhuvud"/>
      <w:jc w:val="right"/>
      <w:rPr>
        <w:sz w:val="20"/>
        <w:szCs w:val="20"/>
      </w:rPr>
    </w:pPr>
    <w:r w:rsidRPr="00987DCB">
      <w:rPr>
        <w:noProof/>
        <w:sz w:val="20"/>
        <w:szCs w:val="20"/>
        <w:lang w:val="sv-SE" w:eastAsia="sv-SE"/>
      </w:rPr>
      <w:t>BDAB nytt</w:t>
    </w:r>
    <w:r w:rsidR="002072C6">
      <w:rPr>
        <w:noProof/>
        <w:sz w:val="20"/>
        <w:szCs w:val="20"/>
        <w:lang w:val="sv-SE" w:eastAsia="sv-SE"/>
      </w:rPr>
      <w:t>,</w:t>
    </w:r>
    <w:r w:rsidRPr="00987DCB">
      <w:rPr>
        <w:noProof/>
        <w:sz w:val="20"/>
        <w:szCs w:val="20"/>
        <w:lang w:val="sv-SE" w:eastAsia="sv-SE"/>
      </w:rPr>
      <w:t xml:space="preserve"> </w:t>
    </w:r>
    <w:r w:rsidR="002072C6">
      <w:rPr>
        <w:noProof/>
        <w:sz w:val="20"/>
        <w:szCs w:val="20"/>
        <w:lang w:val="sv-SE" w:eastAsia="sv-SE"/>
      </w:rPr>
      <w:t>maj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B5BAB"/>
    <w:multiLevelType w:val="hybridMultilevel"/>
    <w:tmpl w:val="EAEE6AB0"/>
    <w:lvl w:ilvl="0" w:tplc="3BEAD7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C0C6A"/>
    <w:multiLevelType w:val="hybridMultilevel"/>
    <w:tmpl w:val="0C4AB25A"/>
    <w:lvl w:ilvl="0" w:tplc="E8106C1C">
      <w:start w:val="1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660D0"/>
    <w:multiLevelType w:val="hybridMultilevel"/>
    <w:tmpl w:val="A1CEE9D2"/>
    <w:lvl w:ilvl="0" w:tplc="3BEAD7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1607C"/>
    <w:multiLevelType w:val="hybridMultilevel"/>
    <w:tmpl w:val="5A5036E0"/>
    <w:lvl w:ilvl="0" w:tplc="3BEAD7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B6"/>
    <w:rsid w:val="000F1954"/>
    <w:rsid w:val="00102AF1"/>
    <w:rsid w:val="002072C6"/>
    <w:rsid w:val="00221E89"/>
    <w:rsid w:val="00225C1B"/>
    <w:rsid w:val="002834F9"/>
    <w:rsid w:val="002A6392"/>
    <w:rsid w:val="002C37EC"/>
    <w:rsid w:val="0033117A"/>
    <w:rsid w:val="0037675C"/>
    <w:rsid w:val="003D2E89"/>
    <w:rsid w:val="004A107F"/>
    <w:rsid w:val="004B2322"/>
    <w:rsid w:val="004D748E"/>
    <w:rsid w:val="004F130C"/>
    <w:rsid w:val="00526F55"/>
    <w:rsid w:val="005451B6"/>
    <w:rsid w:val="00552130"/>
    <w:rsid w:val="00597559"/>
    <w:rsid w:val="005D6B73"/>
    <w:rsid w:val="005F79AB"/>
    <w:rsid w:val="006061DA"/>
    <w:rsid w:val="00640AEC"/>
    <w:rsid w:val="007962C0"/>
    <w:rsid w:val="00863662"/>
    <w:rsid w:val="008F3ACF"/>
    <w:rsid w:val="00987DCB"/>
    <w:rsid w:val="0099595B"/>
    <w:rsid w:val="00A10F3F"/>
    <w:rsid w:val="00A1727E"/>
    <w:rsid w:val="00A30508"/>
    <w:rsid w:val="00A5211A"/>
    <w:rsid w:val="00AD6238"/>
    <w:rsid w:val="00AF6A15"/>
    <w:rsid w:val="00B217B8"/>
    <w:rsid w:val="00B23C4C"/>
    <w:rsid w:val="00B43757"/>
    <w:rsid w:val="00BC37F7"/>
    <w:rsid w:val="00D0534B"/>
    <w:rsid w:val="00D42F9D"/>
    <w:rsid w:val="00D578C8"/>
    <w:rsid w:val="00DA6108"/>
    <w:rsid w:val="00DC6D57"/>
    <w:rsid w:val="00E3687F"/>
    <w:rsid w:val="00E640BD"/>
    <w:rsid w:val="00F2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D2E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975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975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451B6"/>
    <w:pPr>
      <w:ind w:left="720"/>
      <w:contextualSpacing/>
    </w:pPr>
  </w:style>
  <w:style w:type="paragraph" w:styleId="Ballongtext">
    <w:name w:val="Balloon Text"/>
    <w:basedOn w:val="Normal"/>
    <w:link w:val="BallongtextChar"/>
    <w:uiPriority w:val="99"/>
    <w:semiHidden/>
    <w:unhideWhenUsed/>
    <w:rsid w:val="005451B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51B6"/>
    <w:rPr>
      <w:rFonts w:ascii="Tahoma" w:hAnsi="Tahoma" w:cs="Tahoma"/>
      <w:sz w:val="16"/>
      <w:szCs w:val="16"/>
    </w:rPr>
  </w:style>
  <w:style w:type="character" w:customStyle="1" w:styleId="Rubrik2Char">
    <w:name w:val="Rubrik 2 Char"/>
    <w:basedOn w:val="Standardstycketeckensnitt"/>
    <w:link w:val="Rubrik2"/>
    <w:uiPriority w:val="9"/>
    <w:rsid w:val="00597559"/>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97559"/>
    <w:rPr>
      <w:rFonts w:asciiTheme="majorHAnsi" w:eastAsiaTheme="majorEastAsia" w:hAnsiTheme="majorHAnsi" w:cstheme="majorBidi"/>
      <w:b/>
      <w:bCs/>
      <w:color w:val="4F81BD" w:themeColor="accent1"/>
    </w:rPr>
  </w:style>
  <w:style w:type="paragraph" w:styleId="Underrubrik">
    <w:name w:val="Subtitle"/>
    <w:basedOn w:val="Normal"/>
    <w:next w:val="Normal"/>
    <w:link w:val="UnderrubrikChar"/>
    <w:uiPriority w:val="11"/>
    <w:qFormat/>
    <w:rsid w:val="005975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597559"/>
    <w:rPr>
      <w:rFonts w:asciiTheme="majorHAnsi" w:eastAsiaTheme="majorEastAsia" w:hAnsiTheme="majorHAnsi" w:cstheme="majorBidi"/>
      <w:i/>
      <w:iCs/>
      <w:color w:val="4F81BD" w:themeColor="accent1"/>
      <w:spacing w:val="15"/>
      <w:sz w:val="24"/>
      <w:szCs w:val="24"/>
    </w:rPr>
  </w:style>
  <w:style w:type="paragraph" w:styleId="Starktcitat">
    <w:name w:val="Intense Quote"/>
    <w:basedOn w:val="Normal"/>
    <w:next w:val="Normal"/>
    <w:link w:val="StarktcitatChar"/>
    <w:uiPriority w:val="30"/>
    <w:qFormat/>
    <w:rsid w:val="00597559"/>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597559"/>
    <w:rPr>
      <w:b/>
      <w:bCs/>
      <w:i/>
      <w:iCs/>
      <w:color w:val="4F81BD" w:themeColor="accent1"/>
    </w:rPr>
  </w:style>
  <w:style w:type="paragraph" w:styleId="Sidhuvud">
    <w:name w:val="header"/>
    <w:basedOn w:val="Normal"/>
    <w:link w:val="SidhuvudChar"/>
    <w:uiPriority w:val="99"/>
    <w:unhideWhenUsed/>
    <w:rsid w:val="00987DCB"/>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987DCB"/>
  </w:style>
  <w:style w:type="paragraph" w:styleId="Sidfot">
    <w:name w:val="footer"/>
    <w:basedOn w:val="Normal"/>
    <w:link w:val="SidfotChar"/>
    <w:uiPriority w:val="99"/>
    <w:unhideWhenUsed/>
    <w:rsid w:val="00987DCB"/>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987DCB"/>
  </w:style>
  <w:style w:type="paragraph" w:styleId="Beskrivning">
    <w:name w:val="caption"/>
    <w:basedOn w:val="Normal"/>
    <w:next w:val="Normal"/>
    <w:uiPriority w:val="35"/>
    <w:unhideWhenUsed/>
    <w:qFormat/>
    <w:rsid w:val="002072C6"/>
    <w:pPr>
      <w:spacing w:line="240" w:lineRule="auto"/>
    </w:pPr>
    <w:rPr>
      <w:b/>
      <w:bCs/>
      <w:color w:val="4F81BD" w:themeColor="accent1"/>
      <w:sz w:val="18"/>
      <w:szCs w:val="18"/>
    </w:rPr>
  </w:style>
  <w:style w:type="character" w:customStyle="1" w:styleId="Rubrik1Char">
    <w:name w:val="Rubrik 1 Char"/>
    <w:basedOn w:val="Standardstycketeckensnitt"/>
    <w:link w:val="Rubrik1"/>
    <w:uiPriority w:val="9"/>
    <w:rsid w:val="003D2E8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D2E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975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975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451B6"/>
    <w:pPr>
      <w:ind w:left="720"/>
      <w:contextualSpacing/>
    </w:pPr>
  </w:style>
  <w:style w:type="paragraph" w:styleId="Ballongtext">
    <w:name w:val="Balloon Text"/>
    <w:basedOn w:val="Normal"/>
    <w:link w:val="BallongtextChar"/>
    <w:uiPriority w:val="99"/>
    <w:semiHidden/>
    <w:unhideWhenUsed/>
    <w:rsid w:val="005451B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51B6"/>
    <w:rPr>
      <w:rFonts w:ascii="Tahoma" w:hAnsi="Tahoma" w:cs="Tahoma"/>
      <w:sz w:val="16"/>
      <w:szCs w:val="16"/>
    </w:rPr>
  </w:style>
  <w:style w:type="character" w:customStyle="1" w:styleId="Rubrik2Char">
    <w:name w:val="Rubrik 2 Char"/>
    <w:basedOn w:val="Standardstycketeckensnitt"/>
    <w:link w:val="Rubrik2"/>
    <w:uiPriority w:val="9"/>
    <w:rsid w:val="00597559"/>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97559"/>
    <w:rPr>
      <w:rFonts w:asciiTheme="majorHAnsi" w:eastAsiaTheme="majorEastAsia" w:hAnsiTheme="majorHAnsi" w:cstheme="majorBidi"/>
      <w:b/>
      <w:bCs/>
      <w:color w:val="4F81BD" w:themeColor="accent1"/>
    </w:rPr>
  </w:style>
  <w:style w:type="paragraph" w:styleId="Underrubrik">
    <w:name w:val="Subtitle"/>
    <w:basedOn w:val="Normal"/>
    <w:next w:val="Normal"/>
    <w:link w:val="UnderrubrikChar"/>
    <w:uiPriority w:val="11"/>
    <w:qFormat/>
    <w:rsid w:val="005975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597559"/>
    <w:rPr>
      <w:rFonts w:asciiTheme="majorHAnsi" w:eastAsiaTheme="majorEastAsia" w:hAnsiTheme="majorHAnsi" w:cstheme="majorBidi"/>
      <w:i/>
      <w:iCs/>
      <w:color w:val="4F81BD" w:themeColor="accent1"/>
      <w:spacing w:val="15"/>
      <w:sz w:val="24"/>
      <w:szCs w:val="24"/>
    </w:rPr>
  </w:style>
  <w:style w:type="paragraph" w:styleId="Starktcitat">
    <w:name w:val="Intense Quote"/>
    <w:basedOn w:val="Normal"/>
    <w:next w:val="Normal"/>
    <w:link w:val="StarktcitatChar"/>
    <w:uiPriority w:val="30"/>
    <w:qFormat/>
    <w:rsid w:val="00597559"/>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597559"/>
    <w:rPr>
      <w:b/>
      <w:bCs/>
      <w:i/>
      <w:iCs/>
      <w:color w:val="4F81BD" w:themeColor="accent1"/>
    </w:rPr>
  </w:style>
  <w:style w:type="paragraph" w:styleId="Sidhuvud">
    <w:name w:val="header"/>
    <w:basedOn w:val="Normal"/>
    <w:link w:val="SidhuvudChar"/>
    <w:uiPriority w:val="99"/>
    <w:unhideWhenUsed/>
    <w:rsid w:val="00987DCB"/>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987DCB"/>
  </w:style>
  <w:style w:type="paragraph" w:styleId="Sidfot">
    <w:name w:val="footer"/>
    <w:basedOn w:val="Normal"/>
    <w:link w:val="SidfotChar"/>
    <w:uiPriority w:val="99"/>
    <w:unhideWhenUsed/>
    <w:rsid w:val="00987DCB"/>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987DCB"/>
  </w:style>
  <w:style w:type="paragraph" w:styleId="Beskrivning">
    <w:name w:val="caption"/>
    <w:basedOn w:val="Normal"/>
    <w:next w:val="Normal"/>
    <w:uiPriority w:val="35"/>
    <w:unhideWhenUsed/>
    <w:qFormat/>
    <w:rsid w:val="002072C6"/>
    <w:pPr>
      <w:spacing w:line="240" w:lineRule="auto"/>
    </w:pPr>
    <w:rPr>
      <w:b/>
      <w:bCs/>
      <w:color w:val="4F81BD" w:themeColor="accent1"/>
      <w:sz w:val="18"/>
      <w:szCs w:val="18"/>
    </w:rPr>
  </w:style>
  <w:style w:type="character" w:customStyle="1" w:styleId="Rubrik1Char">
    <w:name w:val="Rubrik 1 Char"/>
    <w:basedOn w:val="Standardstycketeckensnitt"/>
    <w:link w:val="Rubrik1"/>
    <w:uiPriority w:val="9"/>
    <w:rsid w:val="003D2E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9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segbgfs001\avd42\PDOC\86363_IKEA_Constr_Spec\8636304_Dagsljusstudie\24_Ber&#228;k\Resultat\Resultat_Fasadstudie%20restaurang_3,51m_all%20sol%20AB2_300lux.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US"/>
              <a:t>Fasad mot norr</a:t>
            </a:r>
          </a:p>
        </c:rich>
      </c:tx>
      <c:layout/>
      <c:overlay val="0"/>
    </c:title>
    <c:autoTitleDeleted val="0"/>
    <c:plotArea>
      <c:layout>
        <c:manualLayout>
          <c:layoutTarget val="inner"/>
          <c:xMode val="edge"/>
          <c:yMode val="edge"/>
          <c:x val="9.9542122838673058E-2"/>
          <c:y val="0.15546621942785474"/>
          <c:w val="0.78698894439541411"/>
          <c:h val="0.67793459595959593"/>
        </c:manualLayout>
      </c:layout>
      <c:lineChart>
        <c:grouping val="standard"/>
        <c:varyColors val="0"/>
        <c:ser>
          <c:idx val="0"/>
          <c:order val="0"/>
          <c:tx>
            <c:strRef>
              <c:f>'Diagram AB2 300lux'!$B$3</c:f>
              <c:strCache>
                <c:ptCount val="1"/>
                <c:pt idx="0">
                  <c:v>Möjlig dagsljusautonomi med effektiv solskydd, DAmedel 65 %</c:v>
                </c:pt>
              </c:strCache>
            </c:strRef>
          </c:tx>
          <c:marker>
            <c:symbol val="none"/>
          </c:marker>
          <c:cat>
            <c:numRef>
              <c:f>'Diagram AB2 300lux'!$A$4:$A$32</c:f>
              <c:numCache>
                <c:formatCode>General</c:formatCode>
                <c:ptCount val="29"/>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pt idx="20">
                  <c:v>10.5</c:v>
                </c:pt>
                <c:pt idx="21">
                  <c:v>11</c:v>
                </c:pt>
                <c:pt idx="22">
                  <c:v>11.5</c:v>
                </c:pt>
                <c:pt idx="23">
                  <c:v>12</c:v>
                </c:pt>
                <c:pt idx="24">
                  <c:v>12.5</c:v>
                </c:pt>
                <c:pt idx="25">
                  <c:v>13</c:v>
                </c:pt>
                <c:pt idx="26">
                  <c:v>13.5</c:v>
                </c:pt>
                <c:pt idx="27">
                  <c:v>14</c:v>
                </c:pt>
                <c:pt idx="28">
                  <c:v>14.5</c:v>
                </c:pt>
              </c:numCache>
            </c:numRef>
          </c:cat>
          <c:val>
            <c:numRef>
              <c:f>'Diagram AB2 300lux'!$B$4:$B$32</c:f>
              <c:numCache>
                <c:formatCode>0</c:formatCode>
                <c:ptCount val="29"/>
                <c:pt idx="0">
                  <c:v>81.630156885531662</c:v>
                </c:pt>
                <c:pt idx="1">
                  <c:v>81.269417005616745</c:v>
                </c:pt>
                <c:pt idx="2">
                  <c:v>80.919910904512818</c:v>
                </c:pt>
                <c:pt idx="3">
                  <c:v>80.360449351152354</c:v>
                </c:pt>
                <c:pt idx="4">
                  <c:v>79.834204919620433</c:v>
                </c:pt>
                <c:pt idx="5">
                  <c:v>79.255858996707261</c:v>
                </c:pt>
                <c:pt idx="6">
                  <c:v>78.538059267867482</c:v>
                </c:pt>
                <c:pt idx="7">
                  <c:v>77.861611466201751</c:v>
                </c:pt>
                <c:pt idx="8">
                  <c:v>76.156595002905277</c:v>
                </c:pt>
                <c:pt idx="9">
                  <c:v>74.577958551229855</c:v>
                </c:pt>
                <c:pt idx="10">
                  <c:v>73.053166763509708</c:v>
                </c:pt>
                <c:pt idx="11">
                  <c:v>71.746368390470423</c:v>
                </c:pt>
                <c:pt idx="12">
                  <c:v>71.092969203951213</c:v>
                </c:pt>
                <c:pt idx="13">
                  <c:v>67.631028471818681</c:v>
                </c:pt>
                <c:pt idx="14">
                  <c:v>67.619019949641697</c:v>
                </c:pt>
                <c:pt idx="15">
                  <c:v>64.821712182839619</c:v>
                </c:pt>
                <c:pt idx="16">
                  <c:v>65.188262638001248</c:v>
                </c:pt>
                <c:pt idx="17">
                  <c:v>62.736587255471591</c:v>
                </c:pt>
                <c:pt idx="18">
                  <c:v>60.948189037381283</c:v>
                </c:pt>
                <c:pt idx="19">
                  <c:v>58.047259345341942</c:v>
                </c:pt>
                <c:pt idx="20">
                  <c:v>54.133933759442286</c:v>
                </c:pt>
                <c:pt idx="21">
                  <c:v>55.266221189231267</c:v>
                </c:pt>
                <c:pt idx="22">
                  <c:v>50.383401123378171</c:v>
                </c:pt>
                <c:pt idx="23">
                  <c:v>44.919039318225693</c:v>
                </c:pt>
                <c:pt idx="24">
                  <c:v>46.794402479178615</c:v>
                </c:pt>
                <c:pt idx="25">
                  <c:v>41.821131125314729</c:v>
                </c:pt>
                <c:pt idx="26">
                  <c:v>43.04987410420307</c:v>
                </c:pt>
                <c:pt idx="27">
                  <c:v>45.461553360449081</c:v>
                </c:pt>
                <c:pt idx="28">
                  <c:v>36.214216540770593</c:v>
                </c:pt>
              </c:numCache>
            </c:numRef>
          </c:val>
          <c:smooth val="0"/>
        </c:ser>
        <c:ser>
          <c:idx val="2"/>
          <c:order val="1"/>
          <c:tx>
            <c:strRef>
              <c:f>'Diagram AB2 300lux'!$C$3</c:f>
              <c:strCache>
                <c:ptCount val="1"/>
                <c:pt idx="0">
                  <c:v>Stor risk för bländning, NORR</c:v>
                </c:pt>
              </c:strCache>
            </c:strRef>
          </c:tx>
          <c:spPr>
            <a:ln>
              <a:solidFill>
                <a:schemeClr val="accent1">
                  <a:shade val="50000"/>
                </a:schemeClr>
              </a:solidFill>
            </a:ln>
          </c:spPr>
          <c:marker>
            <c:symbol val="none"/>
          </c:marker>
          <c:cat>
            <c:numRef>
              <c:f>'Diagram AB2 300lux'!$A$4:$A$32</c:f>
              <c:numCache>
                <c:formatCode>General</c:formatCode>
                <c:ptCount val="29"/>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pt idx="20">
                  <c:v>10.5</c:v>
                </c:pt>
                <c:pt idx="21">
                  <c:v>11</c:v>
                </c:pt>
                <c:pt idx="22">
                  <c:v>11.5</c:v>
                </c:pt>
                <c:pt idx="23">
                  <c:v>12</c:v>
                </c:pt>
                <c:pt idx="24">
                  <c:v>12.5</c:v>
                </c:pt>
                <c:pt idx="25">
                  <c:v>13</c:v>
                </c:pt>
                <c:pt idx="26">
                  <c:v>13.5</c:v>
                </c:pt>
                <c:pt idx="27">
                  <c:v>14</c:v>
                </c:pt>
                <c:pt idx="28">
                  <c:v>14.5</c:v>
                </c:pt>
              </c:numCache>
            </c:numRef>
          </c:cat>
          <c:val>
            <c:numRef>
              <c:f>'Diagram AB2 300lux'!$C$4:$C$32</c:f>
              <c:numCache>
                <c:formatCode>0</c:formatCode>
                <c:ptCount val="29"/>
                <c:pt idx="0">
                  <c:v>81.630156885531662</c:v>
                </c:pt>
                <c:pt idx="1">
                  <c:v>81.269417005616745</c:v>
                </c:pt>
                <c:pt idx="2">
                  <c:v>80.919910904512818</c:v>
                </c:pt>
                <c:pt idx="3">
                  <c:v>80.360449351152354</c:v>
                </c:pt>
                <c:pt idx="4">
                  <c:v>79.834204919620433</c:v>
                </c:pt>
                <c:pt idx="5">
                  <c:v>79.255858996707261</c:v>
                </c:pt>
                <c:pt idx="6">
                  <c:v>78.538059267867482</c:v>
                </c:pt>
                <c:pt idx="7">
                  <c:v>77.861611466201751</c:v>
                </c:pt>
                <c:pt idx="8">
                  <c:v>76.156595002905277</c:v>
                </c:pt>
                <c:pt idx="9">
                  <c:v>74.577958551229855</c:v>
                </c:pt>
                <c:pt idx="10">
                  <c:v>73.053166763509708</c:v>
                </c:pt>
                <c:pt idx="11">
                  <c:v>71.746368390470423</c:v>
                </c:pt>
                <c:pt idx="12">
                  <c:v>71.092969203951213</c:v>
                </c:pt>
                <c:pt idx="13">
                  <c:v>67.631028471818681</c:v>
                </c:pt>
                <c:pt idx="14">
                  <c:v>67.619019949641697</c:v>
                </c:pt>
                <c:pt idx="15">
                  <c:v>64.821712182839619</c:v>
                </c:pt>
                <c:pt idx="16">
                  <c:v>65.188262638001248</c:v>
                </c:pt>
                <c:pt idx="17">
                  <c:v>62.736587255471591</c:v>
                </c:pt>
                <c:pt idx="18">
                  <c:v>60.948189037381283</c:v>
                </c:pt>
                <c:pt idx="19">
                  <c:v>58.047259345341942</c:v>
                </c:pt>
                <c:pt idx="20">
                  <c:v>54.133933759442286</c:v>
                </c:pt>
                <c:pt idx="21">
                  <c:v>55.266221189231267</c:v>
                </c:pt>
                <c:pt idx="22">
                  <c:v>50.383401123378171</c:v>
                </c:pt>
                <c:pt idx="23">
                  <c:v>44.919039318225693</c:v>
                </c:pt>
                <c:pt idx="24">
                  <c:v>46.794402479178615</c:v>
                </c:pt>
                <c:pt idx="25">
                  <c:v>41.821131125314729</c:v>
                </c:pt>
                <c:pt idx="26">
                  <c:v>43.04987410420307</c:v>
                </c:pt>
                <c:pt idx="27">
                  <c:v>45.461553360449081</c:v>
                </c:pt>
                <c:pt idx="28">
                  <c:v>36.214216540770593</c:v>
                </c:pt>
              </c:numCache>
            </c:numRef>
          </c:val>
          <c:smooth val="0"/>
        </c:ser>
        <c:ser>
          <c:idx val="1"/>
          <c:order val="2"/>
          <c:tx>
            <c:strRef>
              <c:f>'Diagram AB2 300lux'!$D$3</c:f>
              <c:strCache>
                <c:ptCount val="1"/>
                <c:pt idx="0">
                  <c:v>Risk för bländning, NORR</c:v>
                </c:pt>
              </c:strCache>
            </c:strRef>
          </c:tx>
          <c:spPr>
            <a:ln>
              <a:solidFill>
                <a:schemeClr val="accent1">
                  <a:lumMod val="75000"/>
                </a:schemeClr>
              </a:solidFill>
            </a:ln>
          </c:spPr>
          <c:marker>
            <c:symbol val="none"/>
          </c:marker>
          <c:cat>
            <c:numRef>
              <c:f>'Diagram AB2 300lux'!$A$4:$A$32</c:f>
              <c:numCache>
                <c:formatCode>General</c:formatCode>
                <c:ptCount val="29"/>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pt idx="20">
                  <c:v>10.5</c:v>
                </c:pt>
                <c:pt idx="21">
                  <c:v>11</c:v>
                </c:pt>
                <c:pt idx="22">
                  <c:v>11.5</c:v>
                </c:pt>
                <c:pt idx="23">
                  <c:v>12</c:v>
                </c:pt>
                <c:pt idx="24">
                  <c:v>12.5</c:v>
                </c:pt>
                <c:pt idx="25">
                  <c:v>13</c:v>
                </c:pt>
                <c:pt idx="26">
                  <c:v>13.5</c:v>
                </c:pt>
                <c:pt idx="27">
                  <c:v>14</c:v>
                </c:pt>
                <c:pt idx="28">
                  <c:v>14.5</c:v>
                </c:pt>
              </c:numCache>
            </c:numRef>
          </c:cat>
          <c:val>
            <c:numRef>
              <c:f>'Diagram AB2 300lux'!$D$4:$D$32</c:f>
              <c:numCache>
                <c:formatCode>0</c:formatCode>
                <c:ptCount val="29"/>
                <c:pt idx="0">
                  <c:v>30.409936083672278</c:v>
                </c:pt>
                <c:pt idx="1">
                  <c:v>34.349021886499955</c:v>
                </c:pt>
                <c:pt idx="2">
                  <c:v>37.689231067208922</c:v>
                </c:pt>
                <c:pt idx="3">
                  <c:v>45.409839240751424</c:v>
                </c:pt>
                <c:pt idx="4">
                  <c:v>50.926593066046927</c:v>
                </c:pt>
                <c:pt idx="5">
                  <c:v>58.802634127445202</c:v>
                </c:pt>
                <c:pt idx="6">
                  <c:v>70.461359674607749</c:v>
                </c:pt>
                <c:pt idx="7">
                  <c:v>76.612337788107624</c:v>
                </c:pt>
                <c:pt idx="8">
                  <c:v>76.156595002905277</c:v>
                </c:pt>
                <c:pt idx="9">
                  <c:v>74.577958551229855</c:v>
                </c:pt>
                <c:pt idx="10">
                  <c:v>73.053166763509708</c:v>
                </c:pt>
                <c:pt idx="11">
                  <c:v>71.746368390470423</c:v>
                </c:pt>
                <c:pt idx="12">
                  <c:v>71.092969203951213</c:v>
                </c:pt>
                <c:pt idx="13">
                  <c:v>67.631028471818681</c:v>
                </c:pt>
                <c:pt idx="14">
                  <c:v>67.619019949641697</c:v>
                </c:pt>
                <c:pt idx="15">
                  <c:v>64.821712182839619</c:v>
                </c:pt>
                <c:pt idx="16">
                  <c:v>65.188262638001248</c:v>
                </c:pt>
                <c:pt idx="17">
                  <c:v>62.736587255471591</c:v>
                </c:pt>
                <c:pt idx="18">
                  <c:v>60.948189037381283</c:v>
                </c:pt>
                <c:pt idx="19">
                  <c:v>58.047259345341942</c:v>
                </c:pt>
                <c:pt idx="20">
                  <c:v>54.133933759442286</c:v>
                </c:pt>
                <c:pt idx="21">
                  <c:v>55.266221189231267</c:v>
                </c:pt>
                <c:pt idx="22">
                  <c:v>50.383401123378171</c:v>
                </c:pt>
                <c:pt idx="23">
                  <c:v>44.919039318225693</c:v>
                </c:pt>
                <c:pt idx="24">
                  <c:v>46.794402479178615</c:v>
                </c:pt>
                <c:pt idx="25">
                  <c:v>41.821131125314729</c:v>
                </c:pt>
                <c:pt idx="26">
                  <c:v>43.04987410420307</c:v>
                </c:pt>
                <c:pt idx="27">
                  <c:v>45.461553360449081</c:v>
                </c:pt>
                <c:pt idx="28">
                  <c:v>36.214216540770593</c:v>
                </c:pt>
              </c:numCache>
            </c:numRef>
          </c:val>
          <c:smooth val="0"/>
        </c:ser>
        <c:dLbls>
          <c:showLegendKey val="0"/>
          <c:showVal val="0"/>
          <c:showCatName val="0"/>
          <c:showSerName val="0"/>
          <c:showPercent val="0"/>
          <c:showBubbleSize val="0"/>
        </c:dLbls>
        <c:marker val="1"/>
        <c:smooth val="0"/>
        <c:axId val="318944000"/>
        <c:axId val="318945920"/>
      </c:lineChart>
      <c:lineChart>
        <c:grouping val="standard"/>
        <c:varyColors val="0"/>
        <c:ser>
          <c:idx val="3"/>
          <c:order val="3"/>
          <c:tx>
            <c:strRef>
              <c:f>'Diagram AB2 300lux'!$T$3</c:f>
              <c:strCache>
                <c:ptCount val="1"/>
                <c:pt idx="0">
                  <c:v>Fönsterhöjd [m]</c:v>
                </c:pt>
              </c:strCache>
            </c:strRef>
          </c:tx>
          <c:spPr>
            <a:ln>
              <a:noFill/>
            </a:ln>
          </c:spPr>
          <c:marker>
            <c:symbol val="none"/>
          </c:marker>
          <c:cat>
            <c:numRef>
              <c:f>'Diagram AB2 300lux'!$A$4:$A$32</c:f>
              <c:numCache>
                <c:formatCode>General</c:formatCode>
                <c:ptCount val="29"/>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pt idx="20">
                  <c:v>10.5</c:v>
                </c:pt>
                <c:pt idx="21">
                  <c:v>11</c:v>
                </c:pt>
                <c:pt idx="22">
                  <c:v>11.5</c:v>
                </c:pt>
                <c:pt idx="23">
                  <c:v>12</c:v>
                </c:pt>
                <c:pt idx="24">
                  <c:v>12.5</c:v>
                </c:pt>
                <c:pt idx="25">
                  <c:v>13</c:v>
                </c:pt>
                <c:pt idx="26">
                  <c:v>13.5</c:v>
                </c:pt>
                <c:pt idx="27">
                  <c:v>14</c:v>
                </c:pt>
                <c:pt idx="28">
                  <c:v>14.5</c:v>
                </c:pt>
              </c:numCache>
            </c:numRef>
          </c:cat>
          <c:val>
            <c:numRef>
              <c:f>'Diagram AB2 300lux'!$T$4:$T$32</c:f>
              <c:numCache>
                <c:formatCode>General</c:formatCode>
                <c:ptCount val="29"/>
                <c:pt idx="0">
                  <c:v>4.2</c:v>
                </c:pt>
                <c:pt idx="1">
                  <c:v>4.05</c:v>
                </c:pt>
                <c:pt idx="2">
                  <c:v>3.9</c:v>
                </c:pt>
                <c:pt idx="3">
                  <c:v>3.75</c:v>
                </c:pt>
                <c:pt idx="4">
                  <c:v>3.6</c:v>
                </c:pt>
                <c:pt idx="5">
                  <c:v>3.45</c:v>
                </c:pt>
                <c:pt idx="6">
                  <c:v>3.3</c:v>
                </c:pt>
                <c:pt idx="7">
                  <c:v>3.15</c:v>
                </c:pt>
                <c:pt idx="8">
                  <c:v>3</c:v>
                </c:pt>
                <c:pt idx="9">
                  <c:v>2.85</c:v>
                </c:pt>
                <c:pt idx="10">
                  <c:v>2.7</c:v>
                </c:pt>
                <c:pt idx="11">
                  <c:v>2.5499999999999998</c:v>
                </c:pt>
                <c:pt idx="12">
                  <c:v>2.4</c:v>
                </c:pt>
                <c:pt idx="13">
                  <c:v>2.25</c:v>
                </c:pt>
                <c:pt idx="14">
                  <c:v>2.1</c:v>
                </c:pt>
                <c:pt idx="15">
                  <c:v>1.95</c:v>
                </c:pt>
                <c:pt idx="16">
                  <c:v>1.8</c:v>
                </c:pt>
                <c:pt idx="17">
                  <c:v>1.65</c:v>
                </c:pt>
                <c:pt idx="18">
                  <c:v>1.5</c:v>
                </c:pt>
                <c:pt idx="19">
                  <c:v>1.35</c:v>
                </c:pt>
                <c:pt idx="20">
                  <c:v>1.2</c:v>
                </c:pt>
                <c:pt idx="21">
                  <c:v>1.05</c:v>
                </c:pt>
                <c:pt idx="22">
                  <c:v>0.9</c:v>
                </c:pt>
                <c:pt idx="23">
                  <c:v>0.75</c:v>
                </c:pt>
                <c:pt idx="24">
                  <c:v>0.6</c:v>
                </c:pt>
                <c:pt idx="25">
                  <c:v>0.45</c:v>
                </c:pt>
                <c:pt idx="26">
                  <c:v>0.3</c:v>
                </c:pt>
                <c:pt idx="27">
                  <c:v>0.15</c:v>
                </c:pt>
                <c:pt idx="28">
                  <c:v>0</c:v>
                </c:pt>
              </c:numCache>
            </c:numRef>
          </c:val>
          <c:smooth val="0"/>
        </c:ser>
        <c:dLbls>
          <c:showLegendKey val="0"/>
          <c:showVal val="0"/>
          <c:showCatName val="0"/>
          <c:showSerName val="0"/>
          <c:showPercent val="0"/>
          <c:showBubbleSize val="0"/>
        </c:dLbls>
        <c:marker val="1"/>
        <c:smooth val="0"/>
        <c:axId val="320629376"/>
        <c:axId val="320627456"/>
      </c:lineChart>
      <c:catAx>
        <c:axId val="318944000"/>
        <c:scaling>
          <c:orientation val="minMax"/>
        </c:scaling>
        <c:delete val="0"/>
        <c:axPos val="b"/>
        <c:majorGridlines/>
        <c:title>
          <c:tx>
            <c:rich>
              <a:bodyPr/>
              <a:lstStyle/>
              <a:p>
                <a:pPr>
                  <a:defRPr sz="1100"/>
                </a:pPr>
                <a:r>
                  <a:rPr lang="en-US" sz="1100"/>
                  <a:t>Avstånd från fasad [m]</a:t>
                </a:r>
              </a:p>
            </c:rich>
          </c:tx>
          <c:layout/>
          <c:overlay val="0"/>
        </c:title>
        <c:numFmt formatCode="General" sourceLinked="1"/>
        <c:majorTickMark val="none"/>
        <c:minorTickMark val="none"/>
        <c:tickLblPos val="nextTo"/>
        <c:txPr>
          <a:bodyPr rot="-2700000" vert="horz"/>
          <a:lstStyle/>
          <a:p>
            <a:pPr>
              <a:defRPr sz="1000"/>
            </a:pPr>
            <a:endParaRPr lang="en-US"/>
          </a:p>
        </c:txPr>
        <c:crossAx val="318945920"/>
        <c:crossesAt val="0"/>
        <c:auto val="1"/>
        <c:lblAlgn val="ctr"/>
        <c:lblOffset val="100"/>
        <c:noMultiLvlLbl val="0"/>
      </c:catAx>
      <c:valAx>
        <c:axId val="318945920"/>
        <c:scaling>
          <c:orientation val="minMax"/>
          <c:max val="100"/>
        </c:scaling>
        <c:delete val="0"/>
        <c:axPos val="l"/>
        <c:majorGridlines/>
        <c:title>
          <c:tx>
            <c:rich>
              <a:bodyPr/>
              <a:lstStyle/>
              <a:p>
                <a:pPr>
                  <a:defRPr sz="1200"/>
                </a:pPr>
                <a:r>
                  <a:rPr lang="en-US" sz="1200"/>
                  <a:t>Dagsljusautonomi [%]</a:t>
                </a:r>
              </a:p>
            </c:rich>
          </c:tx>
          <c:layout>
            <c:manualLayout>
              <c:xMode val="edge"/>
              <c:yMode val="edge"/>
              <c:x val="0.94715328688422373"/>
              <c:y val="0.30215353535353534"/>
            </c:manualLayout>
          </c:layout>
          <c:overlay val="0"/>
        </c:title>
        <c:numFmt formatCode="0" sourceLinked="1"/>
        <c:majorTickMark val="none"/>
        <c:minorTickMark val="none"/>
        <c:tickLblPos val="high"/>
        <c:txPr>
          <a:bodyPr/>
          <a:lstStyle/>
          <a:p>
            <a:pPr>
              <a:defRPr sz="1000"/>
            </a:pPr>
            <a:endParaRPr lang="en-US"/>
          </a:p>
        </c:txPr>
        <c:crossAx val="318944000"/>
        <c:crosses val="autoZero"/>
        <c:crossBetween val="between"/>
      </c:valAx>
      <c:valAx>
        <c:axId val="320627456"/>
        <c:scaling>
          <c:orientation val="minMax"/>
          <c:max val="4.2"/>
          <c:min val="0"/>
        </c:scaling>
        <c:delete val="0"/>
        <c:axPos val="l"/>
        <c:title>
          <c:tx>
            <c:rich>
              <a:bodyPr rot="-5400000" vert="horz"/>
              <a:lstStyle/>
              <a:p>
                <a:pPr>
                  <a:defRPr sz="1200"/>
                </a:pPr>
                <a:r>
                  <a:rPr lang="en-US" sz="1200"/>
                  <a:t>Fönsterhöjd [m]</a:t>
                </a:r>
              </a:p>
            </c:rich>
          </c:tx>
          <c:layout/>
          <c:overlay val="0"/>
        </c:title>
        <c:numFmt formatCode="General" sourceLinked="1"/>
        <c:majorTickMark val="out"/>
        <c:minorTickMark val="none"/>
        <c:tickLblPos val="nextTo"/>
        <c:crossAx val="320629376"/>
        <c:crosses val="autoZero"/>
        <c:crossBetween val="between"/>
      </c:valAx>
      <c:catAx>
        <c:axId val="320629376"/>
        <c:scaling>
          <c:orientation val="minMax"/>
        </c:scaling>
        <c:delete val="1"/>
        <c:axPos val="b"/>
        <c:numFmt formatCode="General" sourceLinked="1"/>
        <c:majorTickMark val="out"/>
        <c:minorTickMark val="none"/>
        <c:tickLblPos val="nextTo"/>
        <c:crossAx val="320627456"/>
        <c:crosses val="autoZero"/>
        <c:auto val="1"/>
        <c:lblAlgn val="ctr"/>
        <c:lblOffset val="100"/>
        <c:noMultiLvlLbl val="0"/>
      </c:catAx>
    </c:plotArea>
    <c:legend>
      <c:legendPos val="t"/>
      <c:legendEntry>
        <c:idx val="1"/>
        <c:delete val="1"/>
      </c:legendEntry>
      <c:legendEntry>
        <c:idx val="2"/>
        <c:delete val="1"/>
      </c:legendEntry>
      <c:legendEntry>
        <c:idx val="3"/>
        <c:delete val="1"/>
      </c:legendEntry>
      <c:layout>
        <c:manualLayout>
          <c:xMode val="edge"/>
          <c:yMode val="edge"/>
          <c:x val="5.5137556537516605E-2"/>
          <c:y val="8.9729687413191372E-2"/>
          <c:w val="0.86469974460568211"/>
          <c:h val="6.5756313131313124E-2"/>
        </c:manualLayout>
      </c:layout>
      <c:overlay val="0"/>
      <c:txPr>
        <a:bodyPr/>
        <a:lstStyle/>
        <a:p>
          <a:pPr>
            <a:defRPr sz="1200"/>
          </a:pPr>
          <a:endParaRPr lang="en-US"/>
        </a:p>
      </c:txPr>
    </c:legend>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0.10858</cdr:x>
      <cdr:y>0.27697</cdr:y>
    </cdr:from>
    <cdr:to>
      <cdr:x>0.30848</cdr:x>
      <cdr:y>0.63078</cdr:y>
    </cdr:to>
    <cdr:sp macro="" textlink="">
      <cdr:nvSpPr>
        <cdr:cNvPr id="24" name="Frihandsfigur 23"/>
        <cdr:cNvSpPr/>
      </cdr:nvSpPr>
      <cdr:spPr>
        <a:xfrm xmlns:a="http://schemas.openxmlformats.org/drawingml/2006/main">
          <a:off x="627739" y="1098550"/>
          <a:ext cx="1155700" cy="1403350"/>
        </a:xfrm>
        <a:custGeom xmlns:a="http://schemas.openxmlformats.org/drawingml/2006/main">
          <a:avLst/>
          <a:gdLst>
            <a:gd name="connsiteX0" fmla="*/ 0 w 1155700"/>
            <a:gd name="connsiteY0" fmla="*/ 0 h 1403350"/>
            <a:gd name="connsiteX1" fmla="*/ 336550 w 1155700"/>
            <a:gd name="connsiteY1" fmla="*/ 38100 h 1403350"/>
            <a:gd name="connsiteX2" fmla="*/ 558800 w 1155700"/>
            <a:gd name="connsiteY2" fmla="*/ 50800 h 1403350"/>
            <a:gd name="connsiteX3" fmla="*/ 857250 w 1155700"/>
            <a:gd name="connsiteY3" fmla="*/ 88900 h 1403350"/>
            <a:gd name="connsiteX4" fmla="*/ 971550 w 1155700"/>
            <a:gd name="connsiteY4" fmla="*/ 101600 h 1403350"/>
            <a:gd name="connsiteX5" fmla="*/ 1155700 w 1155700"/>
            <a:gd name="connsiteY5" fmla="*/ 120650 h 1403350"/>
            <a:gd name="connsiteX6" fmla="*/ 1136650 w 1155700"/>
            <a:gd name="connsiteY6" fmla="*/ 139700 h 1403350"/>
            <a:gd name="connsiteX7" fmla="*/ 965200 w 1155700"/>
            <a:gd name="connsiteY7" fmla="*/ 304800 h 1403350"/>
            <a:gd name="connsiteX8" fmla="*/ 819150 w 1155700"/>
            <a:gd name="connsiteY8" fmla="*/ 628650 h 1403350"/>
            <a:gd name="connsiteX9" fmla="*/ 622300 w 1155700"/>
            <a:gd name="connsiteY9" fmla="*/ 863600 h 1403350"/>
            <a:gd name="connsiteX10" fmla="*/ 469900 w 1155700"/>
            <a:gd name="connsiteY10" fmla="*/ 1016000 h 1403350"/>
            <a:gd name="connsiteX11" fmla="*/ 323850 w 1155700"/>
            <a:gd name="connsiteY11" fmla="*/ 1206500 h 1403350"/>
            <a:gd name="connsiteX12" fmla="*/ 12700 w 1155700"/>
            <a:gd name="connsiteY12" fmla="*/ 1403350 h 1403350"/>
            <a:gd name="connsiteX13" fmla="*/ 0 w 1155700"/>
            <a:gd name="connsiteY13" fmla="*/ 0 h 140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155700" h="1403350">
              <a:moveTo>
                <a:pt x="0" y="0"/>
              </a:moveTo>
              <a:lnTo>
                <a:pt x="336550" y="38100"/>
              </a:lnTo>
              <a:lnTo>
                <a:pt x="558800" y="50800"/>
              </a:lnTo>
              <a:lnTo>
                <a:pt x="857250" y="88900"/>
              </a:lnTo>
              <a:lnTo>
                <a:pt x="971550" y="101600"/>
              </a:lnTo>
              <a:lnTo>
                <a:pt x="1155700" y="120650"/>
              </a:lnTo>
              <a:lnTo>
                <a:pt x="1136650" y="139700"/>
              </a:lnTo>
              <a:lnTo>
                <a:pt x="965200" y="304800"/>
              </a:lnTo>
              <a:lnTo>
                <a:pt x="819150" y="628650"/>
              </a:lnTo>
              <a:lnTo>
                <a:pt x="622300" y="863600"/>
              </a:lnTo>
              <a:lnTo>
                <a:pt x="469900" y="1016000"/>
              </a:lnTo>
              <a:lnTo>
                <a:pt x="323850" y="1206500"/>
              </a:lnTo>
              <a:lnTo>
                <a:pt x="12700" y="1403350"/>
              </a:lnTo>
              <a:lnTo>
                <a:pt x="0" y="0"/>
              </a:lnTo>
              <a:close/>
            </a:path>
          </a:pathLst>
        </a:custGeom>
        <a:solidFill xmlns:a="http://schemas.openxmlformats.org/drawingml/2006/main">
          <a:schemeClr val="accent1">
            <a:lumMod val="60000"/>
            <a:lumOff val="40000"/>
            <a:alpha val="5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0.10089</cdr:x>
      <cdr:y>0.39224</cdr:y>
    </cdr:from>
    <cdr:to>
      <cdr:x>0.8884</cdr:x>
      <cdr:y>0.39384</cdr:y>
    </cdr:to>
    <cdr:cxnSp macro="">
      <cdr:nvCxnSpPr>
        <cdr:cNvPr id="7" name="Rak 6"/>
        <cdr:cNvCxnSpPr/>
      </cdr:nvCxnSpPr>
      <cdr:spPr>
        <a:xfrm xmlns:a="http://schemas.openxmlformats.org/drawingml/2006/main" flipH="1" flipV="1">
          <a:off x="583291" y="1555750"/>
          <a:ext cx="4552948" cy="6350"/>
        </a:xfrm>
        <a:prstGeom xmlns:a="http://schemas.openxmlformats.org/drawingml/2006/main" prst="line">
          <a:avLst/>
        </a:prstGeom>
        <a:ln xmlns:a="http://schemas.openxmlformats.org/drawingml/2006/mai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0.20543</cdr:x>
      <cdr:y>0.59583</cdr:y>
    </cdr:from>
    <cdr:to>
      <cdr:x>0.51057</cdr:x>
      <cdr:y>0.75566</cdr:y>
    </cdr:to>
    <cdr:sp macro="" textlink="">
      <cdr:nvSpPr>
        <cdr:cNvPr id="3" name="textruta 2"/>
        <cdr:cNvSpPr txBox="1"/>
      </cdr:nvSpPr>
      <cdr:spPr>
        <a:xfrm xmlns:a="http://schemas.openxmlformats.org/drawingml/2006/main">
          <a:off x="1187704" y="2363272"/>
          <a:ext cx="1764135" cy="633928"/>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r>
            <a:rPr lang="en-US" sz="1100" b="0" cap="none" baseline="0"/>
            <a:t>HÖGA ILLUMINANSNIVÅER &gt;2000 LUX</a:t>
          </a:r>
        </a:p>
        <a:p xmlns:a="http://schemas.openxmlformats.org/drawingml/2006/main">
          <a:r>
            <a:rPr lang="en-US" sz="1100" b="0" cap="none" baseline="0"/>
            <a:t>1763 h</a:t>
          </a:r>
        </a:p>
      </cdr:txBody>
    </cdr:sp>
  </cdr:relSizeAnchor>
  <cdr:relSizeAnchor xmlns:cdr="http://schemas.openxmlformats.org/drawingml/2006/chartDrawing">
    <cdr:from>
      <cdr:x>0.13714</cdr:x>
      <cdr:y>0.52512</cdr:y>
    </cdr:from>
    <cdr:to>
      <cdr:x>0.20543</cdr:x>
      <cdr:y>0.67574</cdr:y>
    </cdr:to>
    <cdr:cxnSp macro="">
      <cdr:nvCxnSpPr>
        <cdr:cNvPr id="30" name="Rak pil 29"/>
        <cdr:cNvCxnSpPr>
          <a:stCxn xmlns:a="http://schemas.openxmlformats.org/drawingml/2006/main" id="3" idx="1"/>
        </cdr:cNvCxnSpPr>
      </cdr:nvCxnSpPr>
      <cdr:spPr>
        <a:xfrm xmlns:a="http://schemas.openxmlformats.org/drawingml/2006/main" flipH="1" flipV="1">
          <a:off x="792839" y="2082800"/>
          <a:ext cx="394865" cy="597436"/>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0.70608</cdr:x>
      <cdr:y>0.32019</cdr:y>
    </cdr:from>
    <cdr:to>
      <cdr:x>0.87193</cdr:x>
      <cdr:y>0.38103</cdr:y>
    </cdr:to>
    <cdr:sp macro="" textlink="">
      <cdr:nvSpPr>
        <cdr:cNvPr id="43" name="textruta 42"/>
        <cdr:cNvSpPr txBox="1"/>
      </cdr:nvSpPr>
      <cdr:spPr>
        <a:xfrm xmlns:a="http://schemas.openxmlformats.org/drawingml/2006/main">
          <a:off x="4082139" y="1270000"/>
          <a:ext cx="958850" cy="2413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r>
            <a:rPr lang="en-US" sz="1100"/>
            <a:t>DA</a:t>
          </a:r>
          <a:r>
            <a:rPr lang="en-US" sz="1100" baseline="-25000"/>
            <a:t>medel</a:t>
          </a:r>
          <a:r>
            <a:rPr lang="en-US" sz="1100"/>
            <a:t> 65 %</a:t>
          </a:r>
        </a:p>
      </cdr:txBody>
    </cdr:sp>
  </cdr:relSizeAnchor>
  <cdr:relSizeAnchor xmlns:cdr="http://schemas.openxmlformats.org/drawingml/2006/chartDrawing">
    <cdr:from>
      <cdr:x>0.86119</cdr:x>
      <cdr:y>0.0032</cdr:y>
    </cdr:from>
    <cdr:to>
      <cdr:x>0.99291</cdr:x>
      <cdr:y>0.13634</cdr:y>
    </cdr:to>
    <cdr:pic>
      <cdr:nvPicPr>
        <cdr:cNvPr id="44" name="Bildobjekt 43"/>
        <cdr:cNvPicPr preferRelativeResize="0">
          <a:picLocks xmlns:a="http://schemas.openxmlformats.org/drawingml/2006/main" noChangeAspect="1"/>
        </cdr:cNvPicPr>
      </cdr:nvPicPr>
      <cdr:blipFill rotWithShape="1">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l="8927" t="-4908" r="18024" b="4791"/>
        <a:stretch xmlns:a="http://schemas.openxmlformats.org/drawingml/2006/main"/>
      </cdr:blipFill>
      <cdr:spPr bwMode="auto">
        <a:xfrm xmlns:a="http://schemas.openxmlformats.org/drawingml/2006/main">
          <a:off x="4978905" y="12691"/>
          <a:ext cx="761515" cy="52808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dr:relSizeAnchor xmlns:cdr="http://schemas.openxmlformats.org/drawingml/2006/chartDrawing">
    <cdr:from>
      <cdr:x>0.10089</cdr:x>
      <cdr:y>0.39224</cdr:y>
    </cdr:from>
    <cdr:to>
      <cdr:x>0.8884</cdr:x>
      <cdr:y>0.39384</cdr:y>
    </cdr:to>
    <cdr:cxnSp macro="">
      <cdr:nvCxnSpPr>
        <cdr:cNvPr id="50" name="Rak 6"/>
        <cdr:cNvCxnSpPr/>
      </cdr:nvCxnSpPr>
      <cdr:spPr>
        <a:xfrm xmlns:a="http://schemas.openxmlformats.org/drawingml/2006/main" flipH="1" flipV="1">
          <a:off x="583291" y="1555750"/>
          <a:ext cx="4552948" cy="6350"/>
        </a:xfrm>
        <a:prstGeom xmlns:a="http://schemas.openxmlformats.org/drawingml/2006/main" prst="line">
          <a:avLst/>
        </a:prstGeom>
        <a:ln xmlns:a="http://schemas.openxmlformats.org/drawingml/2006/main" w="19050">
          <a:solidFill>
            <a:schemeClr val="accent3">
              <a:lumMod val="75000"/>
            </a:schemeClr>
          </a:solidFill>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0.20543</cdr:x>
      <cdr:y>0.59583</cdr:y>
    </cdr:from>
    <cdr:to>
      <cdr:x>0.56229</cdr:x>
      <cdr:y>0.76251</cdr:y>
    </cdr:to>
    <cdr:sp macro="" textlink="">
      <cdr:nvSpPr>
        <cdr:cNvPr id="51" name="textruta 2"/>
        <cdr:cNvSpPr txBox="1"/>
      </cdr:nvSpPr>
      <cdr:spPr>
        <a:xfrm xmlns:a="http://schemas.openxmlformats.org/drawingml/2006/main">
          <a:off x="1183164" y="2359403"/>
          <a:ext cx="2055336" cy="66002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r>
            <a:rPr lang="en-US" sz="1200" b="0" cap="none" baseline="0"/>
            <a:t>HÖGA ILLUMINANSNIVÅER  &gt;2000 LUX </a:t>
          </a:r>
        </a:p>
        <a:p xmlns:a="http://schemas.openxmlformats.org/drawingml/2006/main">
          <a:r>
            <a:rPr lang="en-US" sz="1200" b="0" cap="none" baseline="0"/>
            <a:t>1763 h</a:t>
          </a:r>
          <a:r>
            <a:rPr lang="en-US" sz="1200" b="0" baseline="0">
              <a:effectLst/>
              <a:latin typeface="+mn-lt"/>
              <a:ea typeface="+mn-ea"/>
              <a:cs typeface="+mn-cs"/>
            </a:rPr>
            <a:t>/år enligt närvarotider</a:t>
          </a:r>
          <a:endParaRPr lang="en-US" sz="1200">
            <a:effectLst/>
          </a:endParaRPr>
        </a:p>
      </cdr:txBody>
    </cdr:sp>
  </cdr:relSizeAnchor>
  <cdr:relSizeAnchor xmlns:cdr="http://schemas.openxmlformats.org/drawingml/2006/chartDrawing">
    <cdr:from>
      <cdr:x>0.68633</cdr:x>
      <cdr:y>0.32019</cdr:y>
    </cdr:from>
    <cdr:to>
      <cdr:x>0.87193</cdr:x>
      <cdr:y>0.38103</cdr:y>
    </cdr:to>
    <cdr:sp macro="" textlink="">
      <cdr:nvSpPr>
        <cdr:cNvPr id="55" name="textruta 42"/>
        <cdr:cNvSpPr txBox="1"/>
      </cdr:nvSpPr>
      <cdr:spPr>
        <a:xfrm xmlns:a="http://schemas.openxmlformats.org/drawingml/2006/main">
          <a:off x="3952876" y="1267908"/>
          <a:ext cx="1068962" cy="240917"/>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r>
            <a:rPr lang="en-US" sz="1200"/>
            <a:t>DA</a:t>
          </a:r>
          <a:r>
            <a:rPr lang="en-US" sz="1200" baseline="-25000"/>
            <a:t>medel</a:t>
          </a:r>
          <a:r>
            <a:rPr lang="en-US" sz="1200"/>
            <a:t> 65 %</a:t>
          </a:r>
        </a:p>
      </cdr:txBody>
    </cdr:sp>
  </cdr:relSizeAnchor>
  <cdr:relSizeAnchor xmlns:cdr="http://schemas.openxmlformats.org/drawingml/2006/chartDrawing">
    <cdr:from>
      <cdr:x>0.86119</cdr:x>
      <cdr:y>0.0032</cdr:y>
    </cdr:from>
    <cdr:to>
      <cdr:x>0.99291</cdr:x>
      <cdr:y>0.13634</cdr:y>
    </cdr:to>
    <cdr:pic>
      <cdr:nvPicPr>
        <cdr:cNvPr id="56" name="Bildobjekt 43"/>
        <cdr:cNvPicPr preferRelativeResize="0">
          <a:picLocks xmlns:a="http://schemas.openxmlformats.org/drawingml/2006/main" noChangeAspect="1"/>
        </cdr:cNvPicPr>
      </cdr:nvPicPr>
      <cdr:blipFill rotWithShape="1">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l="8927" t="-4908" r="18024" b="4791"/>
        <a:stretch xmlns:a="http://schemas.openxmlformats.org/drawingml/2006/main"/>
      </cdr:blipFill>
      <cdr:spPr bwMode="auto">
        <a:xfrm xmlns:a="http://schemas.openxmlformats.org/drawingml/2006/main">
          <a:off x="4978905" y="12691"/>
          <a:ext cx="761515" cy="52808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dr:relSizeAnchor xmlns:cdr="http://schemas.openxmlformats.org/drawingml/2006/chartDrawing">
    <cdr:from>
      <cdr:x>0.09622</cdr:x>
      <cdr:y>0.15381</cdr:y>
    </cdr:from>
    <cdr:to>
      <cdr:x>0.11053</cdr:x>
      <cdr:y>0.83195</cdr:y>
    </cdr:to>
    <cdr:pic>
      <cdr:nvPicPr>
        <cdr:cNvPr id="59"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557240" y="609100"/>
          <a:ext cx="82877" cy="2685429"/>
        </a:xfrm>
        <a:prstGeom xmlns:a="http://schemas.openxmlformats.org/drawingml/2006/main" prst="rect">
          <a:avLst/>
        </a:prstGeom>
      </cdr:spPr>
    </cdr:pic>
  </cdr:relSizeAnchor>
  <cdr:relSizeAnchor xmlns:cdr="http://schemas.openxmlformats.org/drawingml/2006/chartDrawing">
    <cdr:from>
      <cdr:x>0.1031</cdr:x>
      <cdr:y>0.72584</cdr:y>
    </cdr:from>
    <cdr:to>
      <cdr:x>0.10326</cdr:x>
      <cdr:y>0.83425</cdr:y>
    </cdr:to>
    <cdr:cxnSp macro="">
      <cdr:nvCxnSpPr>
        <cdr:cNvPr id="60" name="Rak 59"/>
        <cdr:cNvCxnSpPr/>
      </cdr:nvCxnSpPr>
      <cdr:spPr>
        <a:xfrm xmlns:a="http://schemas.openxmlformats.org/drawingml/2006/main">
          <a:off x="597109" y="2874309"/>
          <a:ext cx="897" cy="429324"/>
        </a:xfrm>
        <a:prstGeom xmlns:a="http://schemas.openxmlformats.org/drawingml/2006/main" prst="line">
          <a:avLst/>
        </a:prstGeom>
        <a:ln xmlns:a="http://schemas.openxmlformats.org/drawingml/2006/main" w="88900">
          <a:solidFill>
            <a:schemeClr val="tx1">
              <a:lumMod val="50000"/>
              <a:lumOff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0.13714</cdr:x>
      <cdr:y>0.52512</cdr:y>
    </cdr:from>
    <cdr:to>
      <cdr:x>0.20543</cdr:x>
      <cdr:y>0.67574</cdr:y>
    </cdr:to>
    <cdr:cxnSp macro="">
      <cdr:nvCxnSpPr>
        <cdr:cNvPr id="54" name="Rak pil 29"/>
        <cdr:cNvCxnSpPr>
          <a:stCxn xmlns:a="http://schemas.openxmlformats.org/drawingml/2006/main" id="3" idx="1"/>
        </cdr:cNvCxnSpPr>
      </cdr:nvCxnSpPr>
      <cdr:spPr>
        <a:xfrm xmlns:a="http://schemas.openxmlformats.org/drawingml/2006/main" flipH="1" flipV="1">
          <a:off x="792839" y="2082800"/>
          <a:ext cx="394865" cy="597436"/>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0.00882</cdr:x>
      <cdr:y>0.01111</cdr:y>
    </cdr:from>
    <cdr:to>
      <cdr:x>0.13288</cdr:x>
      <cdr:y>0.14384</cdr:y>
    </cdr:to>
    <cdr:pic>
      <cdr:nvPicPr>
        <cdr:cNvPr id="15" name="Bildobjekt 14"/>
        <cdr:cNvPicPr/>
      </cdr:nvPicPr>
      <cdr:blipFill rotWithShape="1">
        <a:blip xmlns:a="http://schemas.openxmlformats.org/drawingml/2006/main" xmlns:r="http://schemas.openxmlformats.org/officeDocument/2006/relationships" r:embed="rId3">
          <a:extLst>
            <a:ext uri="{28A0092B-C50C-407E-A947-70E740481C1C}">
              <a14:useLocalDpi xmlns:a14="http://schemas.microsoft.com/office/drawing/2010/main" val="0"/>
            </a:ext>
          </a:extLst>
        </a:blip>
        <a:srcRect xmlns:a="http://schemas.openxmlformats.org/drawingml/2006/main" l="7273" t="3227" r="12396" b="5665"/>
        <a:stretch xmlns:a="http://schemas.openxmlformats.org/drawingml/2006/main"/>
      </cdr:blipFill>
      <cdr:spPr bwMode="auto">
        <a:xfrm xmlns:a="http://schemas.openxmlformats.org/drawingml/2006/main">
          <a:off x="50800" y="43976"/>
          <a:ext cx="714521" cy="52560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3644</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Bengt Dahlgren AB</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Kaia Eichler</dc:creator>
  <cp:lastModifiedBy>Kaia Eichler</cp:lastModifiedBy>
  <cp:revision>2</cp:revision>
  <cp:lastPrinted>2013-04-08T15:30:00Z</cp:lastPrinted>
  <dcterms:created xsi:type="dcterms:W3CDTF">2013-04-08T15:34:00Z</dcterms:created>
  <dcterms:modified xsi:type="dcterms:W3CDTF">2013-04-08T15:34:00Z</dcterms:modified>
</cp:coreProperties>
</file>