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4AC90" w14:textId="06374B38" w:rsidR="00B961AA" w:rsidRDefault="002A33F5" w:rsidP="009D09EC">
      <w:pPr>
        <w:jc w:val="center"/>
        <w:rPr>
          <w:rFonts w:eastAsia="Arial" w:cstheme="minorHAnsi"/>
          <w:b/>
          <w:bCs/>
          <w:sz w:val="32"/>
          <w:szCs w:val="32"/>
          <w:lang w:eastAsia="it-IT"/>
        </w:rPr>
      </w:pPr>
      <w:bookmarkStart w:id="0" w:name="_Hlk63762387"/>
      <w:r w:rsidRPr="008528C9">
        <w:rPr>
          <w:rFonts w:eastAsia="Arial" w:cstheme="minorHAnsi"/>
          <w:b/>
          <w:bCs/>
          <w:sz w:val="32"/>
          <w:szCs w:val="32"/>
          <w:lang w:eastAsia="it-IT"/>
        </w:rPr>
        <w:t xml:space="preserve"> </w:t>
      </w:r>
      <w:r w:rsidR="00B961AA" w:rsidRPr="008528C9">
        <w:rPr>
          <w:rFonts w:eastAsia="Arial" w:cstheme="minorHAnsi"/>
          <w:b/>
          <w:bCs/>
          <w:sz w:val="32"/>
          <w:szCs w:val="32"/>
          <w:lang w:eastAsia="it-IT"/>
        </w:rPr>
        <w:t>Al via</w:t>
      </w:r>
      <w:r w:rsidR="009D09EC" w:rsidRPr="008528C9">
        <w:rPr>
          <w:rFonts w:eastAsia="Arial" w:cstheme="minorHAnsi"/>
          <w:b/>
          <w:bCs/>
          <w:sz w:val="32"/>
          <w:szCs w:val="32"/>
          <w:lang w:eastAsia="it-IT"/>
        </w:rPr>
        <w:t xml:space="preserve"> </w:t>
      </w:r>
      <w:r w:rsidR="00B80F31" w:rsidRPr="008528C9">
        <w:rPr>
          <w:rFonts w:eastAsia="Arial" w:cstheme="minorHAnsi"/>
          <w:b/>
          <w:bCs/>
          <w:sz w:val="32"/>
          <w:szCs w:val="32"/>
          <w:lang w:eastAsia="it-IT"/>
        </w:rPr>
        <w:t xml:space="preserve">Nexi </w:t>
      </w:r>
      <w:r w:rsidR="009D09EC" w:rsidRPr="008528C9">
        <w:rPr>
          <w:rFonts w:eastAsia="Arial" w:cstheme="minorHAnsi"/>
          <w:b/>
          <w:bCs/>
          <w:sz w:val="32"/>
          <w:szCs w:val="32"/>
          <w:lang w:eastAsia="it-IT"/>
        </w:rPr>
        <w:t>Academy PA,</w:t>
      </w:r>
      <w:r w:rsidR="00B961AA" w:rsidRPr="008528C9">
        <w:rPr>
          <w:rFonts w:eastAsia="Arial" w:cstheme="minorHAnsi"/>
          <w:b/>
          <w:bCs/>
          <w:sz w:val="32"/>
          <w:szCs w:val="32"/>
          <w:lang w:eastAsia="it-IT"/>
        </w:rPr>
        <w:t xml:space="preserve"> </w:t>
      </w:r>
      <w:r w:rsidR="00B961AA" w:rsidRPr="008528C9">
        <w:rPr>
          <w:rFonts w:eastAsia="Arial" w:cstheme="minorHAnsi"/>
          <w:b/>
          <w:bCs/>
          <w:sz w:val="32"/>
          <w:szCs w:val="32"/>
          <w:lang w:eastAsia="it-IT"/>
        </w:rPr>
        <w:br/>
      </w:r>
      <w:r w:rsidR="009D09EC" w:rsidRPr="008528C9">
        <w:rPr>
          <w:rFonts w:eastAsia="Arial" w:cstheme="minorHAnsi"/>
          <w:b/>
          <w:bCs/>
          <w:sz w:val="32"/>
          <w:szCs w:val="32"/>
          <w:lang w:eastAsia="it-IT"/>
        </w:rPr>
        <w:t xml:space="preserve">l’iniziativa di formazione </w:t>
      </w:r>
      <w:r w:rsidR="006469FD" w:rsidRPr="008528C9">
        <w:rPr>
          <w:rFonts w:eastAsia="Arial" w:cstheme="minorHAnsi"/>
          <w:b/>
          <w:bCs/>
          <w:sz w:val="32"/>
          <w:szCs w:val="32"/>
          <w:lang w:eastAsia="it-IT"/>
        </w:rPr>
        <w:t>sui pagamenti digitali per i Comuni Italiani</w:t>
      </w:r>
      <w:r w:rsidR="009D09EC" w:rsidRPr="008528C9">
        <w:rPr>
          <w:rFonts w:eastAsia="Arial" w:cstheme="minorHAnsi"/>
          <w:b/>
          <w:bCs/>
          <w:sz w:val="32"/>
          <w:szCs w:val="32"/>
          <w:lang w:eastAsia="it-IT"/>
        </w:rPr>
        <w:t xml:space="preserve"> </w:t>
      </w:r>
    </w:p>
    <w:p w14:paraId="124D546D" w14:textId="77777777" w:rsidR="008528C9" w:rsidRPr="008528C9" w:rsidRDefault="008528C9" w:rsidP="009D09EC">
      <w:pPr>
        <w:jc w:val="center"/>
        <w:rPr>
          <w:rFonts w:eastAsia="Arial" w:cstheme="minorHAnsi"/>
          <w:b/>
          <w:bCs/>
          <w:lang w:eastAsia="it-IT"/>
        </w:rPr>
      </w:pPr>
    </w:p>
    <w:p w14:paraId="29690406" w14:textId="707E1D12" w:rsidR="00B961AA" w:rsidRPr="008528C9" w:rsidRDefault="00B80F31" w:rsidP="009D09EC">
      <w:pPr>
        <w:jc w:val="center"/>
        <w:rPr>
          <w:rFonts w:eastAsia="Arial" w:cstheme="minorHAnsi"/>
          <w:b/>
          <w:i/>
          <w:lang w:eastAsia="it-IT"/>
        </w:rPr>
      </w:pPr>
      <w:r w:rsidRPr="008528C9">
        <w:rPr>
          <w:rFonts w:eastAsia="Arial" w:cstheme="minorHAnsi"/>
          <w:b/>
          <w:i/>
          <w:lang w:eastAsia="it-IT"/>
        </w:rPr>
        <w:t>Realizzata in collaborazione con</w:t>
      </w:r>
      <w:r w:rsidR="00B961AA" w:rsidRPr="008528C9">
        <w:rPr>
          <w:rFonts w:eastAsia="Arial" w:cstheme="minorHAnsi"/>
          <w:b/>
          <w:i/>
          <w:lang w:eastAsia="it-IT"/>
        </w:rPr>
        <w:t xml:space="preserve"> Visa, prevede un ciclo di webinar gratuiti </w:t>
      </w:r>
      <w:r w:rsidR="00B961AA" w:rsidRPr="008528C9">
        <w:rPr>
          <w:rFonts w:eastAsia="Arial" w:cstheme="minorHAnsi"/>
          <w:b/>
          <w:i/>
          <w:lang w:eastAsia="it-IT"/>
        </w:rPr>
        <w:br/>
        <w:t xml:space="preserve">e un canale di informazione online sempre aggiornato. </w:t>
      </w:r>
    </w:p>
    <w:p w14:paraId="50213315" w14:textId="7831227C" w:rsidR="008528C9" w:rsidRDefault="00B961AA" w:rsidP="00D87F21">
      <w:pPr>
        <w:jc w:val="center"/>
        <w:rPr>
          <w:rFonts w:eastAsia="Arial" w:cstheme="minorHAnsi"/>
          <w:b/>
          <w:i/>
          <w:lang w:eastAsia="it-IT"/>
        </w:rPr>
      </w:pPr>
      <w:r w:rsidRPr="008528C9">
        <w:rPr>
          <w:rFonts w:eastAsia="Arial" w:cstheme="minorHAnsi"/>
          <w:b/>
          <w:i/>
          <w:lang w:eastAsia="it-IT"/>
        </w:rPr>
        <w:t>Supporterà i Comuni nell’adesione a PagoPA</w:t>
      </w:r>
      <w:r w:rsidR="00A43B9F" w:rsidRPr="008528C9">
        <w:rPr>
          <w:rFonts w:eastAsia="Arial" w:cstheme="minorHAnsi"/>
          <w:b/>
          <w:i/>
          <w:lang w:eastAsia="it-IT"/>
        </w:rPr>
        <w:t xml:space="preserve"> prevista dal DL Semplificazioni</w:t>
      </w:r>
      <w:r w:rsidRPr="008528C9">
        <w:rPr>
          <w:rFonts w:eastAsia="Arial" w:cstheme="minorHAnsi"/>
          <w:b/>
          <w:i/>
          <w:lang w:eastAsia="it-IT"/>
        </w:rPr>
        <w:t xml:space="preserve"> </w:t>
      </w:r>
      <w:r w:rsidRPr="008528C9">
        <w:rPr>
          <w:rFonts w:eastAsia="Arial" w:cstheme="minorHAnsi"/>
          <w:b/>
          <w:i/>
          <w:lang w:eastAsia="it-IT"/>
        </w:rPr>
        <w:br/>
        <w:t>e illustrerà le evoluzioni del mercato dei pagamenti digitali.</w:t>
      </w:r>
    </w:p>
    <w:p w14:paraId="13CF22EF" w14:textId="77777777" w:rsidR="008528C9" w:rsidRPr="008528C9" w:rsidRDefault="008528C9" w:rsidP="00D87F21">
      <w:pPr>
        <w:jc w:val="center"/>
        <w:rPr>
          <w:rFonts w:eastAsia="Arial" w:cstheme="minorHAnsi"/>
          <w:b/>
          <w:i/>
          <w:lang w:eastAsia="it-IT"/>
        </w:rPr>
      </w:pPr>
    </w:p>
    <w:p w14:paraId="598ECB63" w14:textId="6427B15E" w:rsidR="00BD219F" w:rsidRPr="008528C9" w:rsidRDefault="00D87F21" w:rsidP="004F444B">
      <w:pPr>
        <w:spacing w:after="0" w:line="276" w:lineRule="auto"/>
        <w:jc w:val="both"/>
        <w:rPr>
          <w:rFonts w:eastAsia="Arial" w:cstheme="minorHAnsi"/>
          <w:lang w:eastAsia="it-IT"/>
        </w:rPr>
      </w:pPr>
      <w:r w:rsidRPr="008528C9">
        <w:rPr>
          <w:rFonts w:eastAsia="Arial" w:cstheme="minorHAnsi"/>
          <w:b/>
          <w:i/>
          <w:iCs/>
          <w:lang w:eastAsia="it-IT"/>
        </w:rPr>
        <w:t xml:space="preserve">Milano, </w:t>
      </w:r>
      <w:r w:rsidR="004B6CFB" w:rsidRPr="008528C9">
        <w:rPr>
          <w:rFonts w:eastAsia="Arial" w:cstheme="minorHAnsi"/>
          <w:b/>
          <w:i/>
          <w:iCs/>
          <w:lang w:eastAsia="it-IT"/>
        </w:rPr>
        <w:t>22</w:t>
      </w:r>
      <w:r w:rsidRPr="008528C9">
        <w:rPr>
          <w:rFonts w:eastAsia="Arial" w:cstheme="minorHAnsi"/>
          <w:b/>
          <w:i/>
          <w:iCs/>
          <w:lang w:eastAsia="it-IT"/>
        </w:rPr>
        <w:t xml:space="preserve"> </w:t>
      </w:r>
      <w:r w:rsidR="004B6CFB" w:rsidRPr="008528C9">
        <w:rPr>
          <w:rFonts w:eastAsia="Arial" w:cstheme="minorHAnsi"/>
          <w:b/>
          <w:i/>
          <w:iCs/>
          <w:lang w:eastAsia="it-IT"/>
        </w:rPr>
        <w:t>febbraio</w:t>
      </w:r>
      <w:r w:rsidRPr="008528C9">
        <w:rPr>
          <w:rFonts w:eastAsia="Arial" w:cstheme="minorHAnsi"/>
          <w:b/>
          <w:i/>
          <w:iCs/>
          <w:lang w:eastAsia="it-IT"/>
        </w:rPr>
        <w:t xml:space="preserve"> </w:t>
      </w:r>
      <w:r w:rsidR="004A4A79" w:rsidRPr="008528C9">
        <w:rPr>
          <w:rFonts w:eastAsia="Arial" w:cstheme="minorHAnsi"/>
          <w:b/>
          <w:i/>
          <w:iCs/>
          <w:lang w:eastAsia="it-IT"/>
        </w:rPr>
        <w:t>2021</w:t>
      </w:r>
      <w:r w:rsidR="00166386" w:rsidRPr="008528C9">
        <w:rPr>
          <w:rFonts w:eastAsia="Arial" w:cstheme="minorHAnsi"/>
          <w:b/>
          <w:i/>
          <w:iCs/>
          <w:lang w:eastAsia="it-IT"/>
        </w:rPr>
        <w:t xml:space="preserve"> </w:t>
      </w:r>
      <w:r w:rsidRPr="008528C9">
        <w:rPr>
          <w:rFonts w:eastAsia="Arial" w:cstheme="minorHAnsi"/>
          <w:lang w:eastAsia="it-IT"/>
        </w:rPr>
        <w:t>–</w:t>
      </w:r>
      <w:r w:rsidR="004F444B" w:rsidRPr="008528C9">
        <w:rPr>
          <w:rFonts w:eastAsia="Arial" w:cstheme="minorHAnsi"/>
          <w:lang w:eastAsia="it-IT"/>
        </w:rPr>
        <w:t xml:space="preserve"> Prenderà il via l’8 marzo </w:t>
      </w:r>
      <w:r w:rsidR="00B80F31" w:rsidRPr="008528C9">
        <w:rPr>
          <w:rFonts w:eastAsia="Arial" w:cstheme="minorHAnsi"/>
          <w:b/>
          <w:lang w:eastAsia="it-IT"/>
        </w:rPr>
        <w:t xml:space="preserve">Nexi </w:t>
      </w:r>
      <w:r w:rsidR="004F444B" w:rsidRPr="008528C9">
        <w:rPr>
          <w:rFonts w:eastAsia="Arial" w:cstheme="minorHAnsi"/>
          <w:b/>
          <w:lang w:eastAsia="it-IT"/>
        </w:rPr>
        <w:t>Academy PA</w:t>
      </w:r>
      <w:r w:rsidR="004F444B" w:rsidRPr="008528C9">
        <w:rPr>
          <w:rFonts w:eastAsia="Arial" w:cstheme="minorHAnsi"/>
          <w:lang w:eastAsia="it-IT"/>
        </w:rPr>
        <w:t xml:space="preserve">, il programma di formazione ed educazione sui </w:t>
      </w:r>
      <w:r w:rsidR="004F444B" w:rsidRPr="008528C9">
        <w:rPr>
          <w:rFonts w:eastAsia="Arial" w:cstheme="minorHAnsi"/>
          <w:b/>
          <w:lang w:eastAsia="it-IT"/>
        </w:rPr>
        <w:t>pagamenti digitali</w:t>
      </w:r>
      <w:r w:rsidR="004F444B" w:rsidRPr="008528C9">
        <w:rPr>
          <w:rFonts w:eastAsia="Arial" w:cstheme="minorHAnsi"/>
          <w:lang w:eastAsia="it-IT"/>
        </w:rPr>
        <w:t xml:space="preserve"> realizzato da </w:t>
      </w:r>
      <w:r w:rsidR="006A1004" w:rsidRPr="008528C9">
        <w:rPr>
          <w:rFonts w:eastAsia="Arial" w:cstheme="minorHAnsi"/>
          <w:b/>
          <w:lang w:eastAsia="it-IT"/>
        </w:rPr>
        <w:t xml:space="preserve">Nexi </w:t>
      </w:r>
      <w:r w:rsidR="006A1004" w:rsidRPr="008528C9">
        <w:rPr>
          <w:rFonts w:eastAsia="Arial" w:cstheme="minorHAnsi"/>
          <w:lang w:eastAsia="it-IT"/>
        </w:rPr>
        <w:t>in collaborazione con</w:t>
      </w:r>
      <w:r w:rsidR="004F444B" w:rsidRPr="008528C9">
        <w:rPr>
          <w:rFonts w:eastAsia="Arial" w:cstheme="minorHAnsi"/>
          <w:b/>
          <w:lang w:eastAsia="it-IT"/>
        </w:rPr>
        <w:t xml:space="preserve"> Visa</w:t>
      </w:r>
      <w:r w:rsidR="004F444B" w:rsidRPr="008528C9">
        <w:rPr>
          <w:rFonts w:eastAsia="Arial" w:cstheme="minorHAnsi"/>
          <w:lang w:eastAsia="it-IT"/>
        </w:rPr>
        <w:t xml:space="preserve"> e destinato ai </w:t>
      </w:r>
      <w:r w:rsidR="004F444B" w:rsidRPr="008528C9">
        <w:rPr>
          <w:rFonts w:eastAsia="Arial" w:cstheme="minorHAnsi"/>
          <w:b/>
          <w:lang w:eastAsia="it-IT"/>
        </w:rPr>
        <w:t>Comuni Italiani</w:t>
      </w:r>
      <w:r w:rsidR="004F444B" w:rsidRPr="008528C9">
        <w:rPr>
          <w:rFonts w:eastAsia="Arial" w:cstheme="minorHAnsi"/>
          <w:lang w:eastAsia="it-IT"/>
        </w:rPr>
        <w:t xml:space="preserve">: l’iniziativa, completamente gratuita e fruibile via web, consiste in una serie di webinar di formazione </w:t>
      </w:r>
      <w:r w:rsidR="009D09EC" w:rsidRPr="008528C9">
        <w:rPr>
          <w:rFonts w:eastAsia="Arial" w:cstheme="minorHAnsi"/>
          <w:lang w:eastAsia="it-IT"/>
        </w:rPr>
        <w:t xml:space="preserve">ed educazione </w:t>
      </w:r>
      <w:r w:rsidR="004F444B" w:rsidRPr="008528C9">
        <w:rPr>
          <w:rFonts w:eastAsia="Arial" w:cstheme="minorHAnsi"/>
          <w:lang w:eastAsia="it-IT"/>
        </w:rPr>
        <w:t xml:space="preserve">sull’evoluzione dei pagamenti digitali nella PA, in particolare alla luce della </w:t>
      </w:r>
      <w:r w:rsidR="00417786" w:rsidRPr="008528C9">
        <w:rPr>
          <w:rFonts w:eastAsia="Arial" w:cstheme="minorHAnsi"/>
          <w:lang w:eastAsia="it-IT"/>
        </w:rPr>
        <w:t xml:space="preserve">normativa del </w:t>
      </w:r>
      <w:r w:rsidR="00417786" w:rsidRPr="008528C9">
        <w:rPr>
          <w:rFonts w:eastAsia="Arial" w:cstheme="minorHAnsi"/>
          <w:b/>
          <w:lang w:eastAsia="it-IT"/>
        </w:rPr>
        <w:t>DL S</w:t>
      </w:r>
      <w:r w:rsidR="004F444B" w:rsidRPr="008528C9">
        <w:rPr>
          <w:rFonts w:eastAsia="Arial" w:cstheme="minorHAnsi"/>
          <w:b/>
          <w:lang w:eastAsia="it-IT"/>
        </w:rPr>
        <w:t>emplificazioni</w:t>
      </w:r>
      <w:r w:rsidR="004F444B" w:rsidRPr="008528C9">
        <w:rPr>
          <w:rFonts w:eastAsia="Arial" w:cstheme="minorHAnsi"/>
          <w:lang w:eastAsia="it-IT"/>
        </w:rPr>
        <w:t xml:space="preserve"> che prevede </w:t>
      </w:r>
      <w:r w:rsidR="004F444B" w:rsidRPr="008528C9">
        <w:rPr>
          <w:rFonts w:eastAsia="Arial" w:cstheme="minorHAnsi"/>
          <w:b/>
          <w:lang w:eastAsia="it-IT"/>
        </w:rPr>
        <w:t>l’obbligo di adesione a PagoPA</w:t>
      </w:r>
      <w:r w:rsidR="004F444B" w:rsidRPr="008528C9">
        <w:rPr>
          <w:rFonts w:eastAsia="Arial" w:cstheme="minorHAnsi"/>
          <w:lang w:eastAsia="it-IT"/>
        </w:rPr>
        <w:t xml:space="preserve"> da parte di tutte le Pubbliche Amministrazioni del nostro Paese.</w:t>
      </w:r>
    </w:p>
    <w:p w14:paraId="3E4B13D5" w14:textId="77777777" w:rsidR="004F444B" w:rsidRPr="008528C9" w:rsidRDefault="004F444B" w:rsidP="004F444B">
      <w:pPr>
        <w:spacing w:after="0" w:line="276" w:lineRule="auto"/>
        <w:jc w:val="both"/>
        <w:rPr>
          <w:rFonts w:eastAsia="Arial" w:cstheme="minorHAnsi"/>
          <w:lang w:eastAsia="it-IT"/>
        </w:rPr>
      </w:pPr>
    </w:p>
    <w:p w14:paraId="50766BAF" w14:textId="176E49DD" w:rsidR="004F444B" w:rsidRPr="008528C9" w:rsidRDefault="004F444B" w:rsidP="006A1004">
      <w:pPr>
        <w:pStyle w:val="Normale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528C9">
        <w:rPr>
          <w:rFonts w:asciiTheme="minorHAnsi" w:eastAsia="Arial" w:hAnsiTheme="minorHAnsi" w:cstheme="minorHAnsi"/>
          <w:sz w:val="22"/>
          <w:szCs w:val="22"/>
        </w:rPr>
        <w:t xml:space="preserve">Durante gli incontri, </w:t>
      </w:r>
      <w:r w:rsidRPr="008528C9">
        <w:rPr>
          <w:rFonts w:asciiTheme="minorHAnsi" w:eastAsia="Arial" w:hAnsiTheme="minorHAnsi" w:cstheme="minorHAnsi"/>
          <w:b/>
          <w:sz w:val="22"/>
          <w:szCs w:val="22"/>
        </w:rPr>
        <w:t>manager di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528C9">
        <w:rPr>
          <w:rFonts w:asciiTheme="minorHAnsi" w:eastAsia="Arial" w:hAnsiTheme="minorHAnsi" w:cstheme="minorHAnsi"/>
          <w:b/>
          <w:sz w:val="22"/>
          <w:szCs w:val="22"/>
        </w:rPr>
        <w:t>Nexi e di Visa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, rappresentanti di </w:t>
      </w:r>
      <w:r w:rsidRPr="008528C9">
        <w:rPr>
          <w:rFonts w:asciiTheme="minorHAnsi" w:eastAsia="Arial" w:hAnsiTheme="minorHAnsi" w:cstheme="minorHAnsi"/>
          <w:b/>
          <w:sz w:val="22"/>
          <w:szCs w:val="22"/>
        </w:rPr>
        <w:t>Istituzioni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 e </w:t>
      </w:r>
      <w:r w:rsidRPr="008528C9">
        <w:rPr>
          <w:rFonts w:asciiTheme="minorHAnsi" w:eastAsia="Arial" w:hAnsiTheme="minorHAnsi" w:cstheme="minorHAnsi"/>
          <w:b/>
          <w:sz w:val="22"/>
          <w:szCs w:val="22"/>
        </w:rPr>
        <w:t>Associazioni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 ed </w:t>
      </w:r>
      <w:r w:rsidRPr="008528C9">
        <w:rPr>
          <w:rFonts w:asciiTheme="minorHAnsi" w:eastAsia="Arial" w:hAnsiTheme="minorHAnsi" w:cstheme="minorHAnsi"/>
          <w:b/>
          <w:sz w:val="22"/>
          <w:szCs w:val="22"/>
        </w:rPr>
        <w:t>esperti del settore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 spiegheranno come rispettare la normativa per la gestione di pagamenti e incassi e per consentire</w:t>
      </w:r>
      <w:r w:rsidR="006A1004" w:rsidRPr="008528C9">
        <w:rPr>
          <w:rFonts w:asciiTheme="minorHAnsi" w:eastAsia="Arial" w:hAnsiTheme="minorHAnsi" w:cstheme="minorHAnsi"/>
          <w:sz w:val="22"/>
          <w:szCs w:val="22"/>
        </w:rPr>
        <w:t xml:space="preserve"> ai cittadini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 l’</w:t>
      </w:r>
      <w:r w:rsidR="00417786" w:rsidRPr="008528C9">
        <w:rPr>
          <w:rFonts w:asciiTheme="minorHAnsi" w:eastAsia="Arial" w:hAnsiTheme="minorHAnsi" w:cstheme="minorHAnsi"/>
          <w:sz w:val="22"/>
          <w:szCs w:val="22"/>
        </w:rPr>
        <w:t>accesso ai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 servizi digitali </w:t>
      </w:r>
      <w:r w:rsidR="00417786" w:rsidRPr="008528C9">
        <w:rPr>
          <w:rFonts w:asciiTheme="minorHAnsi" w:eastAsia="Arial" w:hAnsiTheme="minorHAnsi" w:cstheme="minorHAnsi"/>
          <w:sz w:val="22"/>
          <w:szCs w:val="22"/>
        </w:rPr>
        <w:t>del proprio Comune</w:t>
      </w:r>
      <w:r w:rsidR="00A43B9F" w:rsidRPr="008528C9">
        <w:rPr>
          <w:rFonts w:asciiTheme="minorHAnsi" w:eastAsia="Arial" w:hAnsiTheme="minorHAnsi" w:cstheme="minorHAnsi"/>
          <w:sz w:val="22"/>
          <w:szCs w:val="22"/>
        </w:rPr>
        <w:t>,</w:t>
      </w:r>
      <w:r w:rsidR="00417786" w:rsidRPr="008528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70841" w:rsidRPr="008528C9">
        <w:rPr>
          <w:rFonts w:asciiTheme="minorHAnsi" w:eastAsia="Arial" w:hAnsiTheme="minorHAnsi" w:cstheme="minorHAnsi"/>
          <w:sz w:val="22"/>
          <w:szCs w:val="22"/>
        </w:rPr>
        <w:t xml:space="preserve">anche 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tramite </w:t>
      </w:r>
      <w:r w:rsidRPr="008528C9">
        <w:rPr>
          <w:rFonts w:asciiTheme="minorHAnsi" w:eastAsia="Arial" w:hAnsiTheme="minorHAnsi" w:cstheme="minorHAnsi"/>
          <w:b/>
          <w:sz w:val="22"/>
          <w:szCs w:val="22"/>
        </w:rPr>
        <w:t>l’app IO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, faranno il punto sulle nuove frontiere dei digital payments in </w:t>
      </w:r>
      <w:r w:rsidRPr="008528C9">
        <w:rPr>
          <w:rFonts w:asciiTheme="minorHAnsi" w:eastAsia="Arial" w:hAnsiTheme="minorHAnsi" w:cstheme="minorHAnsi"/>
          <w:b/>
          <w:sz w:val="22"/>
          <w:szCs w:val="22"/>
        </w:rPr>
        <w:t>Italia e in Europa</w:t>
      </w:r>
      <w:r w:rsidRPr="008528C9">
        <w:rPr>
          <w:rFonts w:asciiTheme="minorHAnsi" w:eastAsia="Arial" w:hAnsiTheme="minorHAnsi" w:cstheme="minorHAnsi"/>
          <w:sz w:val="22"/>
          <w:szCs w:val="22"/>
        </w:rPr>
        <w:t>, anche in chia</w:t>
      </w:r>
      <w:r w:rsidR="008667A8" w:rsidRPr="008528C9">
        <w:rPr>
          <w:rFonts w:asciiTheme="minorHAnsi" w:eastAsia="Arial" w:hAnsiTheme="minorHAnsi" w:cstheme="minorHAnsi"/>
          <w:sz w:val="22"/>
          <w:szCs w:val="22"/>
        </w:rPr>
        <w:t>ve prospettica, illustreranno le</w:t>
      </w:r>
      <w:r w:rsidR="006A1004" w:rsidRPr="008528C9">
        <w:rPr>
          <w:rFonts w:asciiTheme="minorHAnsi" w:eastAsia="Arial" w:hAnsiTheme="minorHAnsi" w:cstheme="minorHAnsi"/>
          <w:sz w:val="22"/>
          <w:szCs w:val="22"/>
        </w:rPr>
        <w:t xml:space="preserve"> principali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17786" w:rsidRPr="008528C9">
        <w:rPr>
          <w:rFonts w:asciiTheme="minorHAnsi" w:eastAsia="Arial" w:hAnsiTheme="minorHAnsi" w:cstheme="minorHAnsi"/>
          <w:sz w:val="22"/>
          <w:szCs w:val="22"/>
        </w:rPr>
        <w:t>evoluzioni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 di settore</w:t>
      </w:r>
      <w:r w:rsidR="006A1004" w:rsidRPr="008528C9">
        <w:rPr>
          <w:rFonts w:asciiTheme="minorHAnsi" w:eastAsia="Arial" w:hAnsiTheme="minorHAnsi" w:cstheme="minorHAnsi"/>
          <w:sz w:val="22"/>
          <w:szCs w:val="22"/>
        </w:rPr>
        <w:t>,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 come l’omn</w:t>
      </w:r>
      <w:r w:rsidR="00E34BC1" w:rsidRPr="008528C9">
        <w:rPr>
          <w:rFonts w:asciiTheme="minorHAnsi" w:eastAsia="Arial" w:hAnsiTheme="minorHAnsi" w:cstheme="minorHAnsi"/>
          <w:sz w:val="22"/>
          <w:szCs w:val="22"/>
        </w:rPr>
        <w:t>i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canalità, il social commerce, i pagamenti in prossimità, </w:t>
      </w:r>
      <w:r w:rsidR="006A1004" w:rsidRPr="008528C9">
        <w:rPr>
          <w:rFonts w:asciiTheme="minorHAnsi" w:eastAsia="Arial" w:hAnsiTheme="minorHAnsi" w:cstheme="minorHAnsi"/>
          <w:sz w:val="22"/>
          <w:szCs w:val="22"/>
        </w:rPr>
        <w:t>ospiteranno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 i </w:t>
      </w:r>
      <w:r w:rsidR="006A1004" w:rsidRPr="008528C9">
        <w:rPr>
          <w:rFonts w:asciiTheme="minorHAnsi" w:eastAsia="Arial" w:hAnsiTheme="minorHAnsi" w:cstheme="minorHAnsi"/>
          <w:sz w:val="22"/>
          <w:szCs w:val="22"/>
        </w:rPr>
        <w:t xml:space="preserve">Comuni Italiani più evoluti sul fronte dei pagamenti digitali, illustrandone i </w:t>
      </w:r>
      <w:r w:rsidRPr="008528C9">
        <w:rPr>
          <w:rFonts w:asciiTheme="minorHAnsi" w:eastAsia="Arial" w:hAnsiTheme="minorHAnsi" w:cstheme="minorHAnsi"/>
          <w:sz w:val="22"/>
          <w:szCs w:val="22"/>
        </w:rPr>
        <w:t>casi</w:t>
      </w:r>
      <w:r w:rsidR="006A1004" w:rsidRPr="008528C9">
        <w:rPr>
          <w:rFonts w:asciiTheme="minorHAnsi" w:eastAsia="Arial" w:hAnsiTheme="minorHAnsi" w:cstheme="minorHAnsi"/>
          <w:sz w:val="22"/>
          <w:szCs w:val="22"/>
        </w:rPr>
        <w:t xml:space="preserve"> di successo</w:t>
      </w:r>
      <w:r w:rsidRPr="008528C9">
        <w:rPr>
          <w:rFonts w:asciiTheme="minorHAnsi" w:eastAsia="Arial" w:hAnsiTheme="minorHAnsi" w:cstheme="minorHAnsi"/>
          <w:sz w:val="22"/>
          <w:szCs w:val="22"/>
        </w:rPr>
        <w:t>.</w:t>
      </w:r>
    </w:p>
    <w:p w14:paraId="228CD226" w14:textId="78A927B7" w:rsidR="004F444B" w:rsidRPr="008528C9" w:rsidRDefault="006A1004" w:rsidP="004F444B">
      <w:pPr>
        <w:spacing w:after="0" w:line="276" w:lineRule="auto"/>
        <w:jc w:val="both"/>
        <w:rPr>
          <w:rFonts w:eastAsia="Arial" w:cstheme="minorHAnsi"/>
          <w:lang w:eastAsia="it-IT"/>
        </w:rPr>
      </w:pPr>
      <w:r w:rsidRPr="008528C9">
        <w:rPr>
          <w:rFonts w:eastAsia="Arial" w:cstheme="minorHAnsi"/>
          <w:lang w:eastAsia="it-IT"/>
        </w:rPr>
        <w:t>L’iniziativa si inserisce in un momento storico in cui i pagamenti digitali, che nel nostro Paese sono meno diffusi rispetto alla media europea (</w:t>
      </w:r>
      <w:r w:rsidRPr="008528C9">
        <w:rPr>
          <w:rFonts w:eastAsia="Arial" w:cstheme="minorHAnsi"/>
          <w:b/>
          <w:lang w:eastAsia="it-IT"/>
        </w:rPr>
        <w:t>26% in Italia vs 50% media UE</w:t>
      </w:r>
      <w:r w:rsidRPr="008528C9">
        <w:rPr>
          <w:rFonts w:eastAsia="Arial" w:cstheme="minorHAnsi"/>
          <w:lang w:eastAsia="it-IT"/>
        </w:rPr>
        <w:t>), stanno crescendo a buon ritmo anche a seguito della pandemia</w:t>
      </w:r>
      <w:r w:rsidR="00A43B9F" w:rsidRPr="008528C9">
        <w:rPr>
          <w:rFonts w:eastAsia="Arial" w:cstheme="minorHAnsi"/>
          <w:lang w:eastAsia="it-IT"/>
        </w:rPr>
        <w:t>,</w:t>
      </w:r>
      <w:r w:rsidRPr="008528C9">
        <w:rPr>
          <w:rFonts w:eastAsia="Arial" w:cstheme="minorHAnsi"/>
          <w:lang w:eastAsia="it-IT"/>
        </w:rPr>
        <w:t xml:space="preserve"> che ha cambiato le abitudini di acquisto e di incasso degli Italiani: </w:t>
      </w:r>
      <w:r w:rsidR="00A615C5" w:rsidRPr="008528C9">
        <w:rPr>
          <w:rFonts w:eastAsia="Arial" w:cstheme="minorHAnsi"/>
          <w:lang w:eastAsia="it-IT"/>
        </w:rPr>
        <w:t xml:space="preserve">secondo un recente studio condotto da </w:t>
      </w:r>
      <w:r w:rsidR="00A615C5" w:rsidRPr="008528C9">
        <w:rPr>
          <w:rFonts w:eastAsia="Arial" w:cstheme="minorHAnsi"/>
          <w:b/>
          <w:lang w:eastAsia="it-IT"/>
        </w:rPr>
        <w:t>GFK</w:t>
      </w:r>
      <w:r w:rsidR="00067E9F" w:rsidRPr="008528C9">
        <w:rPr>
          <w:rFonts w:eastAsia="Arial" w:cstheme="minorHAnsi"/>
          <w:b/>
          <w:lang w:eastAsia="it-IT"/>
        </w:rPr>
        <w:t xml:space="preserve"> </w:t>
      </w:r>
      <w:r w:rsidR="00067E9F" w:rsidRPr="008528C9">
        <w:rPr>
          <w:rFonts w:eastAsia="Arial" w:cstheme="minorHAnsi"/>
          <w:lang w:eastAsia="it-IT"/>
        </w:rPr>
        <w:t>per conto di Visa</w:t>
      </w:r>
      <w:r w:rsidR="00A615C5" w:rsidRPr="008528C9">
        <w:rPr>
          <w:rFonts w:eastAsia="Arial" w:cstheme="minorHAnsi"/>
          <w:b/>
          <w:lang w:eastAsia="it-IT"/>
        </w:rPr>
        <w:t>,</w:t>
      </w:r>
      <w:r w:rsidR="00A43B9F" w:rsidRPr="008528C9">
        <w:rPr>
          <w:rFonts w:eastAsia="Arial" w:cstheme="minorHAnsi"/>
          <w:lang w:eastAsia="it-IT"/>
        </w:rPr>
        <w:t xml:space="preserve"> infatti, il</w:t>
      </w:r>
      <w:r w:rsidR="00E16F42" w:rsidRPr="008528C9">
        <w:rPr>
          <w:rFonts w:eastAsia="Arial" w:cstheme="minorHAnsi"/>
          <w:lang w:eastAsia="it-IT"/>
        </w:rPr>
        <w:t xml:space="preserve"> </w:t>
      </w:r>
      <w:r w:rsidR="00E16F42" w:rsidRPr="008528C9">
        <w:rPr>
          <w:rFonts w:eastAsia="Arial" w:cstheme="minorHAnsi"/>
          <w:b/>
          <w:lang w:eastAsia="it-IT"/>
        </w:rPr>
        <w:t>62% degli italiani</w:t>
      </w:r>
      <w:r w:rsidR="00E16F42" w:rsidRPr="008528C9">
        <w:rPr>
          <w:rFonts w:eastAsia="Arial" w:cstheme="minorHAnsi"/>
          <w:lang w:eastAsia="it-IT"/>
        </w:rPr>
        <w:t xml:space="preserve"> non considera più i pagamenti in contante preferibili a quelli digitali</w:t>
      </w:r>
      <w:r w:rsidR="00EE11D8" w:rsidRPr="008528C9">
        <w:rPr>
          <w:rFonts w:eastAsia="Arial" w:cstheme="minorHAnsi"/>
          <w:lang w:eastAsia="it-IT"/>
        </w:rPr>
        <w:t xml:space="preserve"> e il </w:t>
      </w:r>
      <w:r w:rsidR="00EE11D8" w:rsidRPr="008528C9">
        <w:rPr>
          <w:rFonts w:eastAsia="Arial" w:cstheme="minorHAnsi"/>
          <w:b/>
          <w:lang w:eastAsia="it-IT"/>
        </w:rPr>
        <w:t>31%</w:t>
      </w:r>
      <w:r w:rsidR="00EE11D8" w:rsidRPr="008528C9">
        <w:rPr>
          <w:rFonts w:eastAsia="Arial" w:cstheme="minorHAnsi"/>
          <w:lang w:eastAsia="it-IT"/>
        </w:rPr>
        <w:t xml:space="preserve"> prevede di aumentare la frequenza dei propri pagamenti con carta nel prossimo futuro</w:t>
      </w:r>
      <w:r w:rsidR="006B66E3" w:rsidRPr="008528C9">
        <w:rPr>
          <w:rStyle w:val="Rimandonotaapidipagina"/>
          <w:rFonts w:eastAsia="Arial" w:cstheme="minorHAnsi"/>
          <w:lang w:eastAsia="it-IT"/>
        </w:rPr>
        <w:footnoteReference w:id="1"/>
      </w:r>
      <w:r w:rsidR="00EE11D8" w:rsidRPr="008528C9">
        <w:rPr>
          <w:rFonts w:eastAsia="Arial" w:cstheme="minorHAnsi"/>
          <w:lang w:eastAsia="it-IT"/>
        </w:rPr>
        <w:t>.</w:t>
      </w:r>
    </w:p>
    <w:p w14:paraId="61751605" w14:textId="594F006B" w:rsidR="006A1004" w:rsidRPr="008528C9" w:rsidRDefault="00417786" w:rsidP="004F444B">
      <w:pPr>
        <w:spacing w:after="0" w:line="276" w:lineRule="auto"/>
        <w:jc w:val="both"/>
        <w:rPr>
          <w:rFonts w:eastAsia="Arial" w:cstheme="minorHAnsi"/>
          <w:lang w:eastAsia="it-IT"/>
        </w:rPr>
      </w:pPr>
      <w:r w:rsidRPr="008528C9">
        <w:rPr>
          <w:rFonts w:eastAsia="Arial" w:cstheme="minorHAnsi"/>
          <w:lang w:eastAsia="it-IT"/>
        </w:rPr>
        <w:t xml:space="preserve">Si tratta di </w:t>
      </w:r>
      <w:r w:rsidR="0089317C" w:rsidRPr="008528C9">
        <w:rPr>
          <w:rFonts w:eastAsia="Arial" w:cstheme="minorHAnsi"/>
          <w:lang w:eastAsia="it-IT"/>
        </w:rPr>
        <w:t xml:space="preserve">un </w:t>
      </w:r>
      <w:r w:rsidR="00C454BD" w:rsidRPr="008528C9">
        <w:rPr>
          <w:rFonts w:eastAsia="Arial" w:cstheme="minorHAnsi"/>
          <w:lang w:eastAsia="it-IT"/>
        </w:rPr>
        <w:t>import</w:t>
      </w:r>
      <w:r w:rsidR="0089317C" w:rsidRPr="008528C9">
        <w:rPr>
          <w:rFonts w:eastAsia="Arial" w:cstheme="minorHAnsi"/>
          <w:lang w:eastAsia="it-IT"/>
        </w:rPr>
        <w:t>a</w:t>
      </w:r>
      <w:r w:rsidR="00C454BD" w:rsidRPr="008528C9">
        <w:rPr>
          <w:rFonts w:eastAsia="Arial" w:cstheme="minorHAnsi"/>
          <w:lang w:eastAsia="it-IT"/>
        </w:rPr>
        <w:t xml:space="preserve">nte </w:t>
      </w:r>
      <w:r w:rsidR="00EE11D8" w:rsidRPr="008528C9">
        <w:rPr>
          <w:rFonts w:eastAsia="Arial" w:cstheme="minorHAnsi"/>
          <w:lang w:eastAsia="it-IT"/>
        </w:rPr>
        <w:t>cam</w:t>
      </w:r>
      <w:r w:rsidR="00C454BD" w:rsidRPr="008528C9">
        <w:rPr>
          <w:rFonts w:eastAsia="Arial" w:cstheme="minorHAnsi"/>
          <w:lang w:eastAsia="it-IT"/>
        </w:rPr>
        <w:t xml:space="preserve">biamento culturale e di </w:t>
      </w:r>
      <w:r w:rsidR="0089317C" w:rsidRPr="008528C9">
        <w:rPr>
          <w:rFonts w:eastAsia="Arial" w:cstheme="minorHAnsi"/>
          <w:lang w:eastAsia="it-IT"/>
        </w:rPr>
        <w:t>percezione</w:t>
      </w:r>
      <w:r w:rsidR="00C454BD" w:rsidRPr="008528C9">
        <w:rPr>
          <w:rFonts w:eastAsia="Arial" w:cstheme="minorHAnsi"/>
          <w:lang w:eastAsia="it-IT"/>
        </w:rPr>
        <w:t xml:space="preserve"> </w:t>
      </w:r>
      <w:r w:rsidRPr="008528C9">
        <w:rPr>
          <w:rFonts w:eastAsia="Arial" w:cstheme="minorHAnsi"/>
          <w:lang w:eastAsia="it-IT"/>
        </w:rPr>
        <w:t>che può rappresentare</w:t>
      </w:r>
      <w:r w:rsidR="006A1004" w:rsidRPr="008528C9">
        <w:rPr>
          <w:rFonts w:eastAsia="Arial" w:cstheme="minorHAnsi"/>
          <w:lang w:eastAsia="it-IT"/>
        </w:rPr>
        <w:t xml:space="preserve"> un’opportunità </w:t>
      </w:r>
      <w:r w:rsidRPr="008528C9">
        <w:rPr>
          <w:rFonts w:eastAsia="Arial" w:cstheme="minorHAnsi"/>
          <w:lang w:eastAsia="it-IT"/>
        </w:rPr>
        <w:t xml:space="preserve">unica </w:t>
      </w:r>
      <w:r w:rsidR="006A1004" w:rsidRPr="008528C9">
        <w:rPr>
          <w:rFonts w:eastAsia="Arial" w:cstheme="minorHAnsi"/>
          <w:lang w:eastAsia="it-IT"/>
        </w:rPr>
        <w:t xml:space="preserve">per accelerare la digitalizzazione del Paese, facendo leva </w:t>
      </w:r>
      <w:r w:rsidRPr="008528C9">
        <w:rPr>
          <w:rFonts w:eastAsia="Arial" w:cstheme="minorHAnsi"/>
          <w:lang w:eastAsia="it-IT"/>
        </w:rPr>
        <w:t xml:space="preserve">proprio </w:t>
      </w:r>
      <w:r w:rsidR="006A1004" w:rsidRPr="008528C9">
        <w:rPr>
          <w:rFonts w:eastAsia="Arial" w:cstheme="minorHAnsi"/>
          <w:lang w:eastAsia="it-IT"/>
        </w:rPr>
        <w:t xml:space="preserve">sui digital payments, ormai riconosciuti come </w:t>
      </w:r>
      <w:r w:rsidRPr="008528C9">
        <w:rPr>
          <w:rFonts w:eastAsia="Arial" w:cstheme="minorHAnsi"/>
          <w:lang w:eastAsia="it-IT"/>
        </w:rPr>
        <w:t>indispensabili</w:t>
      </w:r>
      <w:r w:rsidR="006A1004" w:rsidRPr="008528C9">
        <w:rPr>
          <w:rFonts w:eastAsia="Arial" w:cstheme="minorHAnsi"/>
          <w:lang w:eastAsia="it-IT"/>
        </w:rPr>
        <w:t xml:space="preserve"> non solo per </w:t>
      </w:r>
      <w:r w:rsidRPr="008528C9">
        <w:rPr>
          <w:rFonts w:eastAsia="Arial" w:cstheme="minorHAnsi"/>
          <w:lang w:eastAsia="it-IT"/>
        </w:rPr>
        <w:t>lo sviluppo economico,</w:t>
      </w:r>
      <w:r w:rsidR="006A1004" w:rsidRPr="008528C9">
        <w:rPr>
          <w:rFonts w:eastAsia="Arial" w:cstheme="minorHAnsi"/>
          <w:lang w:eastAsia="it-IT"/>
        </w:rPr>
        <w:t xml:space="preserve"> ma anche per rendere più innovativi e accessibili i servizi ai cittadini.</w:t>
      </w:r>
    </w:p>
    <w:p w14:paraId="01DBFAF5" w14:textId="77777777" w:rsidR="006A1004" w:rsidRPr="008528C9" w:rsidRDefault="006A1004" w:rsidP="004F444B">
      <w:pPr>
        <w:spacing w:after="0" w:line="276" w:lineRule="auto"/>
        <w:jc w:val="both"/>
        <w:rPr>
          <w:rFonts w:eastAsia="Arial" w:cstheme="minorHAnsi"/>
          <w:lang w:eastAsia="it-IT"/>
        </w:rPr>
      </w:pPr>
    </w:p>
    <w:p w14:paraId="3E81E400" w14:textId="675EFAF0" w:rsidR="00116F15" w:rsidRPr="008528C9" w:rsidRDefault="006A1004" w:rsidP="00116F15">
      <w:pPr>
        <w:jc w:val="both"/>
        <w:rPr>
          <w:rFonts w:eastAsia="Arial" w:cstheme="minorHAnsi"/>
          <w:i/>
          <w:lang w:eastAsia="it-IT"/>
        </w:rPr>
      </w:pPr>
      <w:r w:rsidRPr="008528C9">
        <w:rPr>
          <w:rFonts w:eastAsia="Arial" w:cstheme="minorHAnsi"/>
          <w:lang w:eastAsia="it-IT"/>
        </w:rPr>
        <w:t>“</w:t>
      </w:r>
      <w:r w:rsidR="00116F15" w:rsidRPr="008528C9">
        <w:rPr>
          <w:rFonts w:eastAsia="Arial" w:cstheme="minorHAnsi"/>
          <w:i/>
          <w:lang w:eastAsia="it-IT"/>
        </w:rPr>
        <w:t>I servizi pubblici digitali pesano per il 15% nel DESI, l’indice elaborato dalla Commissione Europea per misurare il livello di digi</w:t>
      </w:r>
      <w:r w:rsidR="00417786" w:rsidRPr="008528C9">
        <w:rPr>
          <w:rFonts w:eastAsia="Arial" w:cstheme="minorHAnsi"/>
          <w:i/>
          <w:lang w:eastAsia="it-IT"/>
        </w:rPr>
        <w:t>talizzazione dei P</w:t>
      </w:r>
      <w:r w:rsidR="00116F15" w:rsidRPr="008528C9">
        <w:rPr>
          <w:rFonts w:eastAsia="Arial" w:cstheme="minorHAnsi"/>
          <w:i/>
          <w:lang w:eastAsia="it-IT"/>
        </w:rPr>
        <w:t>aesi europei</w:t>
      </w:r>
      <w:r w:rsidR="005B2703" w:rsidRPr="008528C9">
        <w:rPr>
          <w:rFonts w:eastAsia="Arial" w:cstheme="minorHAnsi"/>
          <w:i/>
          <w:lang w:eastAsia="it-IT"/>
        </w:rPr>
        <w:t>,</w:t>
      </w:r>
      <w:r w:rsidR="00116F15" w:rsidRPr="008528C9">
        <w:rPr>
          <w:rFonts w:eastAsia="Arial" w:cstheme="minorHAnsi"/>
          <w:i/>
          <w:lang w:eastAsia="it-IT"/>
        </w:rPr>
        <w:t xml:space="preserve"> che vede l’Italia al 25esimo</w:t>
      </w:r>
      <w:r w:rsidR="008667A8" w:rsidRPr="008528C9">
        <w:rPr>
          <w:rFonts w:eastAsia="Arial" w:cstheme="minorHAnsi"/>
          <w:i/>
          <w:lang w:eastAsia="it-IT"/>
        </w:rPr>
        <w:t xml:space="preserve"> posto</w:t>
      </w:r>
      <w:r w:rsidR="00116F15" w:rsidRPr="008528C9">
        <w:rPr>
          <w:rFonts w:eastAsia="Arial" w:cstheme="minorHAnsi"/>
          <w:i/>
          <w:lang w:eastAsia="it-IT"/>
        </w:rPr>
        <w:t xml:space="preserve">: </w:t>
      </w:r>
      <w:r w:rsidR="005B2703" w:rsidRPr="008528C9">
        <w:rPr>
          <w:rFonts w:eastAsia="Arial" w:cstheme="minorHAnsi"/>
          <w:i/>
          <w:lang w:eastAsia="it-IT"/>
        </w:rPr>
        <w:t>per crescere su questo fronte, oltre a un’ottima</w:t>
      </w:r>
      <w:r w:rsidR="00417786" w:rsidRPr="008528C9">
        <w:rPr>
          <w:rFonts w:eastAsia="Arial" w:cstheme="minorHAnsi"/>
          <w:i/>
          <w:lang w:eastAsia="it-IT"/>
        </w:rPr>
        <w:t xml:space="preserve"> offerta di servizi</w:t>
      </w:r>
      <w:r w:rsidR="005B2703" w:rsidRPr="008528C9">
        <w:rPr>
          <w:rFonts w:eastAsia="Arial" w:cstheme="minorHAnsi"/>
          <w:i/>
          <w:lang w:eastAsia="it-IT"/>
        </w:rPr>
        <w:t>, serve che la PA abbia</w:t>
      </w:r>
      <w:r w:rsidR="00417786" w:rsidRPr="008528C9">
        <w:rPr>
          <w:rFonts w:eastAsia="Arial" w:cstheme="minorHAnsi"/>
          <w:i/>
          <w:lang w:eastAsia="it-IT"/>
        </w:rPr>
        <w:t xml:space="preserve"> anche </w:t>
      </w:r>
      <w:r w:rsidR="005B2703" w:rsidRPr="008528C9">
        <w:rPr>
          <w:rFonts w:eastAsia="Arial" w:cstheme="minorHAnsi"/>
          <w:i/>
          <w:lang w:eastAsia="it-IT"/>
        </w:rPr>
        <w:t xml:space="preserve">una adeguata cultura digitale e </w:t>
      </w:r>
      <w:r w:rsidR="009D09EC" w:rsidRPr="008528C9">
        <w:rPr>
          <w:rFonts w:eastAsia="Arial" w:cstheme="minorHAnsi"/>
          <w:i/>
          <w:lang w:eastAsia="it-IT"/>
        </w:rPr>
        <w:t xml:space="preserve">buone </w:t>
      </w:r>
      <w:r w:rsidR="00116F15" w:rsidRPr="008528C9">
        <w:rPr>
          <w:rFonts w:eastAsia="Arial" w:cstheme="minorHAnsi"/>
          <w:i/>
          <w:lang w:eastAsia="it-IT"/>
        </w:rPr>
        <w:t>competenze specifiche</w:t>
      </w:r>
      <w:r w:rsidR="005B2703" w:rsidRPr="008528C9">
        <w:rPr>
          <w:rFonts w:eastAsia="Arial" w:cstheme="minorHAnsi"/>
          <w:i/>
          <w:lang w:eastAsia="it-IT"/>
        </w:rPr>
        <w:t xml:space="preserve"> </w:t>
      </w:r>
      <w:r w:rsidR="00116F15" w:rsidRPr="008528C9">
        <w:rPr>
          <w:rFonts w:eastAsia="Arial" w:cstheme="minorHAnsi"/>
          <w:lang w:eastAsia="it-IT"/>
        </w:rPr>
        <w:t xml:space="preserve">– dichiara </w:t>
      </w:r>
      <w:r w:rsidR="00116F15" w:rsidRPr="008528C9">
        <w:rPr>
          <w:rFonts w:eastAsia="Arial" w:cstheme="minorHAnsi"/>
          <w:b/>
          <w:lang w:eastAsia="it-IT"/>
        </w:rPr>
        <w:t xml:space="preserve">Marco Torri, Head of Public Administration Advisory &amp; Sales di </w:t>
      </w:r>
      <w:proofErr w:type="spellStart"/>
      <w:r w:rsidR="00116F15" w:rsidRPr="008528C9">
        <w:rPr>
          <w:rFonts w:eastAsia="Arial" w:cstheme="minorHAnsi"/>
          <w:b/>
          <w:lang w:eastAsia="it-IT"/>
        </w:rPr>
        <w:t>Nexi</w:t>
      </w:r>
      <w:proofErr w:type="spellEnd"/>
      <w:r w:rsidR="00116F15" w:rsidRPr="008528C9">
        <w:rPr>
          <w:rFonts w:eastAsia="Arial" w:cstheme="minorHAnsi"/>
          <w:lang w:eastAsia="it-IT"/>
        </w:rPr>
        <w:t xml:space="preserve"> – </w:t>
      </w:r>
      <w:r w:rsidR="005B2703" w:rsidRPr="008528C9">
        <w:rPr>
          <w:rFonts w:eastAsia="Arial" w:cstheme="minorHAnsi"/>
          <w:i/>
          <w:lang w:eastAsia="it-IT"/>
        </w:rPr>
        <w:t xml:space="preserve">La nostra iniziativa ha proprio l’obiettivo di </w:t>
      </w:r>
      <w:r w:rsidR="009D09EC" w:rsidRPr="008528C9">
        <w:rPr>
          <w:rFonts w:eastAsia="Arial" w:cstheme="minorHAnsi"/>
          <w:i/>
          <w:lang w:eastAsia="it-IT"/>
        </w:rPr>
        <w:t xml:space="preserve">informare e </w:t>
      </w:r>
      <w:r w:rsidR="005B2703" w:rsidRPr="008528C9">
        <w:rPr>
          <w:rFonts w:eastAsia="Arial" w:cstheme="minorHAnsi"/>
          <w:i/>
          <w:lang w:eastAsia="it-IT"/>
        </w:rPr>
        <w:t xml:space="preserve">formare chi opera nella PA, nello specifico i </w:t>
      </w:r>
      <w:r w:rsidR="005B2703" w:rsidRPr="008528C9">
        <w:rPr>
          <w:rFonts w:eastAsia="Arial" w:cstheme="minorHAnsi"/>
          <w:i/>
          <w:lang w:eastAsia="it-IT"/>
        </w:rPr>
        <w:lastRenderedPageBreak/>
        <w:t xml:space="preserve">Comuni: lo facciamo sul mondo dei pagamenti digitali, nel quale siamo il player di riferimento, perché </w:t>
      </w:r>
      <w:r w:rsidR="00116F15" w:rsidRPr="008528C9">
        <w:rPr>
          <w:rFonts w:eastAsia="Arial" w:cstheme="minorHAnsi"/>
          <w:i/>
          <w:lang w:eastAsia="it-IT"/>
        </w:rPr>
        <w:t>rappresentano un</w:t>
      </w:r>
      <w:r w:rsidR="005B2703" w:rsidRPr="008528C9">
        <w:rPr>
          <w:rFonts w:eastAsia="Arial" w:cstheme="minorHAnsi"/>
          <w:i/>
          <w:lang w:eastAsia="it-IT"/>
        </w:rPr>
        <w:t>a leva fondamentale per la digitalizzazione dei servizi pubblici</w:t>
      </w:r>
      <w:r w:rsidR="009D09EC" w:rsidRPr="008528C9">
        <w:rPr>
          <w:rFonts w:eastAsia="Arial" w:cstheme="minorHAnsi"/>
          <w:i/>
          <w:lang w:eastAsia="it-IT"/>
        </w:rPr>
        <w:t xml:space="preserve"> e una straordinaria opportunità di crescita per il nostro Paese. Basti pensare che nel 2020 le adesioni a PagoPa sono cresciute del 69% </w:t>
      </w:r>
      <w:r w:rsidR="00C80219" w:rsidRPr="008528C9">
        <w:rPr>
          <w:rFonts w:eastAsia="Arial" w:cstheme="minorHAnsi"/>
          <w:i/>
          <w:lang w:eastAsia="it-IT"/>
        </w:rPr>
        <w:t xml:space="preserve">e sono state registrate </w:t>
      </w:r>
      <w:r w:rsidR="00A43B9F" w:rsidRPr="008528C9">
        <w:rPr>
          <w:rFonts w:eastAsia="Arial" w:cstheme="minorHAnsi"/>
          <w:i/>
          <w:lang w:eastAsia="it-IT"/>
        </w:rPr>
        <w:t>oltre</w:t>
      </w:r>
      <w:r w:rsidR="009D09EC" w:rsidRPr="008528C9">
        <w:rPr>
          <w:rFonts w:eastAsia="Arial" w:cstheme="minorHAnsi"/>
          <w:i/>
          <w:lang w:eastAsia="it-IT"/>
        </w:rPr>
        <w:t xml:space="preserve"> 97 milioni di transazioni per un valore di circa 18 miliardi di euro</w:t>
      </w:r>
      <w:r w:rsidR="00632DDD" w:rsidRPr="008528C9">
        <w:rPr>
          <w:rStyle w:val="Rimandonotaapidipagina"/>
          <w:rFonts w:eastAsia="Arial" w:cstheme="minorHAnsi"/>
          <w:i/>
          <w:lang w:eastAsia="it-IT"/>
        </w:rPr>
        <w:footnoteReference w:id="2"/>
      </w:r>
      <w:r w:rsidR="00417786" w:rsidRPr="008528C9">
        <w:rPr>
          <w:rFonts w:eastAsia="Arial" w:cstheme="minorHAnsi"/>
          <w:i/>
          <w:lang w:eastAsia="it-IT"/>
        </w:rPr>
        <w:t>”</w:t>
      </w:r>
      <w:r w:rsidR="00116F15" w:rsidRPr="008528C9">
        <w:rPr>
          <w:rFonts w:eastAsia="Arial" w:cstheme="minorHAnsi"/>
          <w:i/>
          <w:lang w:eastAsia="it-IT"/>
        </w:rPr>
        <w:t>.</w:t>
      </w:r>
    </w:p>
    <w:p w14:paraId="528A07DF" w14:textId="3BD8585B" w:rsidR="004F444B" w:rsidRPr="008528C9" w:rsidRDefault="009D09EC" w:rsidP="004F444B">
      <w:pPr>
        <w:pStyle w:val="NormaleWeb"/>
        <w:shd w:val="clear" w:color="auto" w:fill="FFFFFF"/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528C9">
        <w:rPr>
          <w:rFonts w:asciiTheme="minorHAnsi" w:eastAsia="Arial" w:hAnsiTheme="minorHAnsi" w:cstheme="minorHAnsi"/>
          <w:sz w:val="22"/>
          <w:szCs w:val="22"/>
        </w:rPr>
        <w:t>Oltre ai webinar realizzati in collaborazione con Visa, Nexi metterà a disposizione</w:t>
      </w:r>
      <w:r w:rsidR="004F444B" w:rsidRPr="008528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sul proprio sito </w:t>
      </w:r>
      <w:r w:rsidR="004F444B" w:rsidRPr="008528C9">
        <w:rPr>
          <w:rFonts w:asciiTheme="minorHAnsi" w:eastAsia="Arial" w:hAnsiTheme="minorHAnsi" w:cstheme="minorHAnsi"/>
          <w:b/>
          <w:sz w:val="22"/>
          <w:szCs w:val="22"/>
        </w:rPr>
        <w:t xml:space="preserve">un </w:t>
      </w:r>
      <w:r w:rsidRPr="008528C9">
        <w:rPr>
          <w:rFonts w:asciiTheme="minorHAnsi" w:eastAsia="Arial" w:hAnsiTheme="minorHAnsi" w:cstheme="minorHAnsi"/>
          <w:b/>
          <w:sz w:val="22"/>
          <w:szCs w:val="22"/>
        </w:rPr>
        <w:t>canale</w:t>
      </w:r>
      <w:r w:rsidR="004F444B" w:rsidRPr="008528C9">
        <w:rPr>
          <w:rFonts w:asciiTheme="minorHAnsi" w:eastAsia="Arial" w:hAnsiTheme="minorHAnsi" w:cstheme="minorHAnsi"/>
          <w:b/>
          <w:sz w:val="22"/>
          <w:szCs w:val="22"/>
        </w:rPr>
        <w:t xml:space="preserve"> dedicato </w:t>
      </w:r>
      <w:r w:rsidRPr="008528C9">
        <w:rPr>
          <w:rFonts w:asciiTheme="minorHAnsi" w:eastAsia="Arial" w:hAnsiTheme="minorHAnsi" w:cstheme="minorHAnsi"/>
          <w:b/>
          <w:sz w:val="22"/>
          <w:szCs w:val="22"/>
        </w:rPr>
        <w:t>ai pagamenti digitali nella PA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 nel quale sarà possibile</w:t>
      </w:r>
      <w:r w:rsidR="004F444B" w:rsidRPr="008528C9">
        <w:rPr>
          <w:rFonts w:asciiTheme="minorHAnsi" w:eastAsia="Arial" w:hAnsiTheme="minorHAnsi" w:cstheme="minorHAnsi"/>
          <w:sz w:val="22"/>
          <w:szCs w:val="22"/>
        </w:rPr>
        <w:t xml:space="preserve"> consultare i materiali dei corsi, </w:t>
      </w:r>
      <w:r w:rsidRPr="008528C9">
        <w:rPr>
          <w:rFonts w:asciiTheme="minorHAnsi" w:eastAsia="Arial" w:hAnsiTheme="minorHAnsi" w:cstheme="minorHAnsi"/>
          <w:sz w:val="22"/>
          <w:szCs w:val="22"/>
        </w:rPr>
        <w:t>aggiornarsi tramite video informativi, consultare materiali attinenti</w:t>
      </w:r>
      <w:r w:rsidR="004F444B" w:rsidRPr="008528C9">
        <w:rPr>
          <w:rFonts w:asciiTheme="minorHAnsi" w:eastAsia="Arial" w:hAnsiTheme="minorHAnsi" w:cstheme="minorHAnsi"/>
          <w:sz w:val="22"/>
          <w:szCs w:val="22"/>
        </w:rPr>
        <w:t xml:space="preserve"> al mondo dei pagamenti, avere risposte ai propri dubbi sull’evoluzione digitale</w:t>
      </w:r>
      <w:r w:rsidRPr="008528C9">
        <w:rPr>
          <w:rFonts w:asciiTheme="minorHAnsi" w:eastAsia="Arial" w:hAnsiTheme="minorHAnsi" w:cstheme="minorHAnsi"/>
          <w:sz w:val="22"/>
          <w:szCs w:val="22"/>
        </w:rPr>
        <w:t xml:space="preserve"> del settore e sulle nuove tendenze, tenersi informati sulla normativa vigente</w:t>
      </w:r>
      <w:r w:rsidR="004F444B" w:rsidRPr="008528C9">
        <w:rPr>
          <w:rFonts w:asciiTheme="minorHAnsi" w:eastAsia="Arial" w:hAnsiTheme="minorHAnsi" w:cstheme="minorHAnsi"/>
          <w:sz w:val="22"/>
          <w:szCs w:val="22"/>
        </w:rPr>
        <w:t>.</w:t>
      </w:r>
    </w:p>
    <w:p w14:paraId="18DD9F57" w14:textId="44852D34" w:rsidR="008A5226" w:rsidRPr="008528C9" w:rsidRDefault="00CD1326" w:rsidP="008A522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Arial" w:hAnsiTheme="minorHAnsi" w:cstheme="minorHAnsi"/>
          <w:i/>
          <w:sz w:val="22"/>
          <w:szCs w:val="22"/>
        </w:rPr>
      </w:pPr>
      <w:r w:rsidRPr="008528C9">
        <w:rPr>
          <w:rFonts w:asciiTheme="minorHAnsi" w:eastAsia="Arial" w:hAnsiTheme="minorHAnsi" w:cstheme="minorHAnsi"/>
          <w:i/>
          <w:sz w:val="22"/>
          <w:szCs w:val="22"/>
        </w:rPr>
        <w:t>“</w:t>
      </w:r>
      <w:r w:rsidR="009D09EC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L’iniziativa che abbiamo realizzato con Nexi vuole contribuire a far crescere </w:t>
      </w:r>
      <w:r w:rsidR="00F5563D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le </w:t>
      </w:r>
      <w:r w:rsidR="009D09EC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competenze digitali nella PA, </w:t>
      </w:r>
      <w:r w:rsidR="00EE3277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con il duplice obiettivo di </w:t>
      </w:r>
      <w:r w:rsidR="009D09EC" w:rsidRPr="008528C9">
        <w:rPr>
          <w:rFonts w:asciiTheme="minorHAnsi" w:eastAsia="Arial" w:hAnsiTheme="minorHAnsi" w:cstheme="minorHAnsi"/>
          <w:i/>
          <w:sz w:val="22"/>
          <w:szCs w:val="22"/>
        </w:rPr>
        <w:t>risponde</w:t>
      </w:r>
      <w:r w:rsidR="00EE3277" w:rsidRPr="008528C9">
        <w:rPr>
          <w:rFonts w:asciiTheme="minorHAnsi" w:eastAsia="Arial" w:hAnsiTheme="minorHAnsi" w:cstheme="minorHAnsi"/>
          <w:i/>
          <w:sz w:val="22"/>
          <w:szCs w:val="22"/>
        </w:rPr>
        <w:t>re</w:t>
      </w:r>
      <w:r w:rsidR="009D09EC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 </w:t>
      </w:r>
      <w:r w:rsidR="007256C2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alle </w:t>
      </w:r>
      <w:r w:rsidR="006453D8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nuove abitudini di spesa dei cittadini, come nel caso della </w:t>
      </w:r>
      <w:r w:rsidR="009D09EC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crescente penetrazione dei pagamenti digitali nel nostro Paese, </w:t>
      </w:r>
      <w:r w:rsidR="006D6526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e di supportare </w:t>
      </w:r>
      <w:r w:rsidR="009D09EC" w:rsidRPr="008528C9">
        <w:rPr>
          <w:rFonts w:asciiTheme="minorHAnsi" w:eastAsia="Arial" w:hAnsiTheme="minorHAnsi" w:cstheme="minorHAnsi"/>
          <w:i/>
          <w:sz w:val="22"/>
          <w:szCs w:val="22"/>
        </w:rPr>
        <w:t>la PA stessa ad adeguarsi alla nuova normativa</w:t>
      </w:r>
      <w:r w:rsidR="00C23388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 </w:t>
      </w:r>
      <w:r w:rsidR="009D09EC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– </w:t>
      </w:r>
      <w:r w:rsidR="009D09EC" w:rsidRPr="008528C9">
        <w:rPr>
          <w:rFonts w:asciiTheme="minorHAnsi" w:eastAsia="Arial" w:hAnsiTheme="minorHAnsi" w:cstheme="minorHAnsi"/>
          <w:sz w:val="22"/>
          <w:szCs w:val="22"/>
        </w:rPr>
        <w:t xml:space="preserve">dichiara </w:t>
      </w:r>
      <w:r w:rsidR="00067E9F" w:rsidRPr="008528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Filippo Manca, </w:t>
      </w:r>
      <w:proofErr w:type="spellStart"/>
      <w:r w:rsidR="00067E9F" w:rsidRPr="008528C9">
        <w:rPr>
          <w:rFonts w:asciiTheme="minorHAnsi" w:eastAsia="Arial" w:hAnsiTheme="minorHAnsi" w:cstheme="minorHAnsi"/>
          <w:b/>
          <w:bCs/>
          <w:sz w:val="22"/>
          <w:szCs w:val="22"/>
        </w:rPr>
        <w:t>Merchants</w:t>
      </w:r>
      <w:proofErr w:type="spellEnd"/>
      <w:r w:rsidR="00067E9F" w:rsidRPr="008528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and </w:t>
      </w:r>
      <w:proofErr w:type="spellStart"/>
      <w:r w:rsidR="00DF5D9E" w:rsidRPr="008528C9">
        <w:rPr>
          <w:rFonts w:asciiTheme="minorHAnsi" w:eastAsia="Arial" w:hAnsiTheme="minorHAnsi" w:cstheme="minorHAnsi"/>
          <w:b/>
          <w:bCs/>
          <w:sz w:val="22"/>
          <w:szCs w:val="22"/>
        </w:rPr>
        <w:t>A</w:t>
      </w:r>
      <w:r w:rsidR="007B07A0" w:rsidRPr="008528C9">
        <w:rPr>
          <w:rFonts w:asciiTheme="minorHAnsi" w:eastAsia="Arial" w:hAnsiTheme="minorHAnsi" w:cstheme="minorHAnsi"/>
          <w:b/>
          <w:bCs/>
          <w:sz w:val="22"/>
          <w:szCs w:val="22"/>
        </w:rPr>
        <w:t>c</w:t>
      </w:r>
      <w:r w:rsidR="00DF5D9E" w:rsidRPr="008528C9">
        <w:rPr>
          <w:rFonts w:asciiTheme="minorHAnsi" w:eastAsia="Arial" w:hAnsiTheme="minorHAnsi" w:cstheme="minorHAnsi"/>
          <w:b/>
          <w:bCs/>
          <w:sz w:val="22"/>
          <w:szCs w:val="22"/>
        </w:rPr>
        <w:t>quiring</w:t>
      </w:r>
      <w:proofErr w:type="spellEnd"/>
      <w:r w:rsidR="00DF5D9E" w:rsidRPr="008528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D261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Manager </w:t>
      </w:r>
      <w:r w:rsidR="009D09EC" w:rsidRPr="008528C9">
        <w:rPr>
          <w:rFonts w:asciiTheme="minorHAnsi" w:eastAsia="Arial" w:hAnsiTheme="minorHAnsi" w:cstheme="minorHAnsi"/>
          <w:b/>
          <w:bCs/>
          <w:sz w:val="22"/>
          <w:szCs w:val="22"/>
        </w:rPr>
        <w:t>di V</w:t>
      </w:r>
      <w:r w:rsidR="00432031">
        <w:rPr>
          <w:rFonts w:asciiTheme="minorHAnsi" w:eastAsia="Arial" w:hAnsiTheme="minorHAnsi" w:cstheme="minorHAnsi"/>
          <w:b/>
          <w:bCs/>
          <w:sz w:val="22"/>
          <w:szCs w:val="22"/>
        </w:rPr>
        <w:t>isa</w:t>
      </w:r>
      <w:r w:rsidR="00DF5D9E" w:rsidRPr="008528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Italia</w:t>
      </w:r>
      <w:r w:rsidR="009D09EC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 – I Comuni Italiani sono sempre più sensibili a questo argomento: lo dimostra il fatto che sono stati oltre 7.200 quelli che hanno richiesto di accedere al Fondo per l’Innovazione e la digitalizzazione promosso tra fine 2020 e inizio 2021 dal Governo</w:t>
      </w:r>
      <w:r w:rsidR="00924605" w:rsidRPr="008528C9">
        <w:rPr>
          <w:rStyle w:val="Rimandonotaapidipagina"/>
          <w:rFonts w:asciiTheme="minorHAnsi" w:eastAsia="Arial" w:hAnsiTheme="minorHAnsi" w:cstheme="minorHAnsi"/>
          <w:i/>
          <w:sz w:val="22"/>
          <w:szCs w:val="22"/>
        </w:rPr>
        <w:footnoteReference w:id="3"/>
      </w:r>
      <w:r w:rsidR="009D09EC" w:rsidRPr="008528C9">
        <w:rPr>
          <w:rFonts w:asciiTheme="minorHAnsi" w:eastAsia="Arial" w:hAnsiTheme="minorHAnsi" w:cstheme="minorHAnsi"/>
          <w:i/>
          <w:sz w:val="22"/>
          <w:szCs w:val="22"/>
        </w:rPr>
        <w:t>. Insieme a Nexi forniremo competenze specifiche ed informazioni puntuali sugli strumenti e sulle soluzioni a disposizione della pubblica amministrazione per migliorare i servizi ai cittadini</w:t>
      </w:r>
      <w:r w:rsidR="002A33F5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 e sull’evoluzione di un settore, quello dei pagamenti digitali, </w:t>
      </w:r>
      <w:r w:rsidR="00A43B9F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che rappresenta un’opportunità </w:t>
      </w:r>
      <w:r w:rsidR="002A33F5" w:rsidRPr="008528C9">
        <w:rPr>
          <w:rFonts w:asciiTheme="minorHAnsi" w:eastAsia="Arial" w:hAnsiTheme="minorHAnsi" w:cstheme="minorHAnsi"/>
          <w:i/>
          <w:sz w:val="22"/>
          <w:szCs w:val="22"/>
        </w:rPr>
        <w:t>fondamentale</w:t>
      </w:r>
      <w:r w:rsidR="000A076D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 per lo</w:t>
      </w:r>
      <w:r w:rsidR="002A33F5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 sviluppo </w:t>
      </w:r>
      <w:r w:rsidR="000A076D" w:rsidRPr="008528C9">
        <w:rPr>
          <w:rFonts w:asciiTheme="minorHAnsi" w:eastAsia="Arial" w:hAnsiTheme="minorHAnsi" w:cstheme="minorHAnsi"/>
          <w:i/>
          <w:sz w:val="22"/>
          <w:szCs w:val="22"/>
        </w:rPr>
        <w:t>e l’</w:t>
      </w:r>
      <w:r w:rsidR="002A33F5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innovazione </w:t>
      </w:r>
      <w:r w:rsidR="000A076D" w:rsidRPr="008528C9">
        <w:rPr>
          <w:rFonts w:asciiTheme="minorHAnsi" w:eastAsia="Arial" w:hAnsiTheme="minorHAnsi" w:cstheme="minorHAnsi"/>
          <w:i/>
          <w:sz w:val="22"/>
          <w:szCs w:val="22"/>
        </w:rPr>
        <w:t>del</w:t>
      </w:r>
      <w:r w:rsidR="00A43B9F" w:rsidRPr="008528C9">
        <w:rPr>
          <w:rFonts w:asciiTheme="minorHAnsi" w:eastAsia="Arial" w:hAnsiTheme="minorHAnsi" w:cstheme="minorHAnsi"/>
          <w:i/>
          <w:sz w:val="22"/>
          <w:szCs w:val="22"/>
        </w:rPr>
        <w:t xml:space="preserve"> P</w:t>
      </w:r>
      <w:r w:rsidR="002A33F5" w:rsidRPr="008528C9">
        <w:rPr>
          <w:rFonts w:asciiTheme="minorHAnsi" w:eastAsia="Arial" w:hAnsiTheme="minorHAnsi" w:cstheme="minorHAnsi"/>
          <w:i/>
          <w:sz w:val="22"/>
          <w:szCs w:val="22"/>
        </w:rPr>
        <w:t>aese.</w:t>
      </w:r>
      <w:r w:rsidR="00C72942" w:rsidRPr="008528C9">
        <w:rPr>
          <w:rFonts w:asciiTheme="minorHAnsi" w:eastAsia="Arial" w:hAnsiTheme="minorHAnsi" w:cstheme="minorHAnsi"/>
          <w:i/>
          <w:sz w:val="22"/>
          <w:szCs w:val="22"/>
        </w:rPr>
        <w:t>”</w:t>
      </w:r>
    </w:p>
    <w:bookmarkEnd w:id="0"/>
    <w:p w14:paraId="43FBB77C" w14:textId="77777777" w:rsidR="004B6CFB" w:rsidRPr="008528C9" w:rsidRDefault="004B6CFB" w:rsidP="008A522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16CB6A8" w14:textId="77777777" w:rsidR="00082F34" w:rsidRPr="008528C9" w:rsidRDefault="00082F34" w:rsidP="00C72942">
      <w:pPr>
        <w:spacing w:after="0" w:line="276" w:lineRule="auto"/>
        <w:jc w:val="both"/>
        <w:rPr>
          <w:rFonts w:eastAsia="Arial" w:cstheme="minorHAnsi"/>
          <w:lang w:eastAsia="it-IT"/>
        </w:rPr>
      </w:pPr>
    </w:p>
    <w:p w14:paraId="0F5E0025" w14:textId="12F7B448" w:rsidR="00082F34" w:rsidRPr="008528C9" w:rsidRDefault="00082F34" w:rsidP="004B6CFB">
      <w:pPr>
        <w:pStyle w:val="Body"/>
        <w:tabs>
          <w:tab w:val="left" w:pos="1479"/>
        </w:tabs>
        <w:rPr>
          <w:rFonts w:asciiTheme="minorHAnsi" w:eastAsia="Arial" w:hAnsiTheme="minorHAnsi" w:cstheme="minorHAnsi"/>
          <w:b/>
          <w:kern w:val="0"/>
          <w:sz w:val="22"/>
          <w:szCs w:val="22"/>
          <w:u w:val="single"/>
          <w:lang w:eastAsia="it-IT"/>
        </w:rPr>
      </w:pPr>
      <w:r w:rsidRPr="008528C9">
        <w:rPr>
          <w:rFonts w:asciiTheme="minorHAnsi" w:eastAsia="Arial" w:hAnsiTheme="minorHAnsi" w:cstheme="minorHAnsi"/>
          <w:b/>
          <w:kern w:val="0"/>
          <w:sz w:val="22"/>
          <w:szCs w:val="22"/>
          <w:u w:val="single"/>
          <w:lang w:eastAsia="it-IT"/>
        </w:rPr>
        <w:t>Nexi</w:t>
      </w:r>
    </w:p>
    <w:p w14:paraId="67BD5099" w14:textId="70ADD8AC" w:rsidR="004B6CFB" w:rsidRPr="008528C9" w:rsidRDefault="00082F34" w:rsidP="00082F34">
      <w:pPr>
        <w:pStyle w:val="Body"/>
        <w:spacing w:after="0" w:line="240" w:lineRule="auto"/>
        <w:rPr>
          <w:rFonts w:asciiTheme="minorHAnsi" w:eastAsia="Arial" w:hAnsiTheme="minorHAnsi" w:cstheme="minorHAnsi"/>
          <w:kern w:val="0"/>
          <w:szCs w:val="20"/>
          <w:lang w:val="en-ZA" w:eastAsia="it-IT"/>
        </w:rPr>
      </w:pPr>
      <w:r w:rsidRPr="008528C9">
        <w:rPr>
          <w:rFonts w:asciiTheme="minorHAnsi" w:eastAsia="Arial" w:hAnsiTheme="minorHAnsi" w:cstheme="minorHAnsi"/>
          <w:kern w:val="0"/>
          <w:szCs w:val="20"/>
          <w:lang w:eastAsia="it-IT"/>
        </w:rPr>
        <w:t>Nexi è la PayTech leader in Italia, il riferimento per i pagamenti digitali nel nostro Paese. La società</w:t>
      </w:r>
      <w:r w:rsidR="004B6CFB" w:rsidRPr="008528C9">
        <w:rPr>
          <w:rFonts w:asciiTheme="minorHAnsi" w:eastAsia="Arial" w:hAnsiTheme="minorHAnsi" w:cstheme="minorHAnsi"/>
          <w:kern w:val="0"/>
          <w:szCs w:val="20"/>
          <w:lang w:eastAsia="it-IT"/>
        </w:rPr>
        <w:t>, quotata sul mercato MTA di Borsa Italiana,</w:t>
      </w:r>
      <w:r w:rsidRPr="008528C9">
        <w:rPr>
          <w:rFonts w:asciiTheme="minorHAnsi" w:eastAsia="Arial" w:hAnsiTheme="minorHAnsi" w:cstheme="minorHAnsi"/>
          <w:kern w:val="0"/>
          <w:szCs w:val="20"/>
          <w:lang w:eastAsia="it-IT"/>
        </w:rPr>
        <w:t xml:space="preserve"> opera in partnership consolidate con circa 150 istituti bancari: attraverso la sua tecnologia connette banche, punti vendita e cittadini con l’obiettivo di cambiare il modo in cui le persone e le aziende pagano ed incassano ogni giorno, accelerando così la diffusione dei pagamenti digitali e la transizione a una cashless society, indispensabile per la modernizzazione del Paese. </w:t>
      </w:r>
      <w:proofErr w:type="spellStart"/>
      <w:r w:rsidRPr="008528C9">
        <w:rPr>
          <w:rFonts w:asciiTheme="minorHAnsi" w:eastAsia="Arial" w:hAnsiTheme="minorHAnsi" w:cstheme="minorHAnsi"/>
          <w:kern w:val="0"/>
          <w:szCs w:val="20"/>
          <w:lang w:val="en-ZA" w:eastAsia="it-IT"/>
        </w:rPr>
        <w:t>Nexi</w:t>
      </w:r>
      <w:proofErr w:type="spellEnd"/>
      <w:r w:rsidRPr="008528C9">
        <w:rPr>
          <w:rFonts w:asciiTheme="minorHAnsi" w:eastAsia="Arial" w:hAnsiTheme="minorHAnsi" w:cstheme="minorHAnsi"/>
          <w:kern w:val="0"/>
          <w:szCs w:val="20"/>
          <w:lang w:val="en-ZA" w:eastAsia="it-IT"/>
        </w:rPr>
        <w:t xml:space="preserve"> opera in </w:t>
      </w:r>
      <w:proofErr w:type="spellStart"/>
      <w:r w:rsidRPr="008528C9">
        <w:rPr>
          <w:rFonts w:asciiTheme="minorHAnsi" w:eastAsia="Arial" w:hAnsiTheme="minorHAnsi" w:cstheme="minorHAnsi"/>
          <w:kern w:val="0"/>
          <w:szCs w:val="20"/>
          <w:lang w:val="en-ZA" w:eastAsia="it-IT"/>
        </w:rPr>
        <w:t>tre</w:t>
      </w:r>
      <w:proofErr w:type="spellEnd"/>
      <w:r w:rsidRPr="008528C9">
        <w:rPr>
          <w:rFonts w:asciiTheme="minorHAnsi" w:eastAsia="Arial" w:hAnsiTheme="minorHAnsi" w:cstheme="minorHAnsi"/>
          <w:kern w:val="0"/>
          <w:szCs w:val="20"/>
          <w:lang w:val="en-ZA" w:eastAsia="it-IT"/>
        </w:rPr>
        <w:t xml:space="preserve"> </w:t>
      </w:r>
      <w:proofErr w:type="spellStart"/>
      <w:r w:rsidRPr="008528C9">
        <w:rPr>
          <w:rFonts w:asciiTheme="minorHAnsi" w:eastAsia="Arial" w:hAnsiTheme="minorHAnsi" w:cstheme="minorHAnsi"/>
          <w:kern w:val="0"/>
          <w:szCs w:val="20"/>
          <w:lang w:val="en-ZA" w:eastAsia="it-IT"/>
        </w:rPr>
        <w:t>segmenti</w:t>
      </w:r>
      <w:proofErr w:type="spellEnd"/>
      <w:r w:rsidRPr="008528C9">
        <w:rPr>
          <w:rFonts w:asciiTheme="minorHAnsi" w:eastAsia="Arial" w:hAnsiTheme="minorHAnsi" w:cstheme="minorHAnsi"/>
          <w:kern w:val="0"/>
          <w:szCs w:val="20"/>
          <w:lang w:val="en-ZA" w:eastAsia="it-IT"/>
        </w:rPr>
        <w:t xml:space="preserve"> di </w:t>
      </w:r>
      <w:proofErr w:type="spellStart"/>
      <w:r w:rsidRPr="008528C9">
        <w:rPr>
          <w:rFonts w:asciiTheme="minorHAnsi" w:eastAsia="Arial" w:hAnsiTheme="minorHAnsi" w:cstheme="minorHAnsi"/>
          <w:kern w:val="0"/>
          <w:szCs w:val="20"/>
          <w:lang w:val="en-ZA" w:eastAsia="it-IT"/>
        </w:rPr>
        <w:t>mercato</w:t>
      </w:r>
      <w:proofErr w:type="spellEnd"/>
      <w:r w:rsidRPr="008528C9">
        <w:rPr>
          <w:rFonts w:asciiTheme="minorHAnsi" w:eastAsia="Arial" w:hAnsiTheme="minorHAnsi" w:cstheme="minorHAnsi"/>
          <w:kern w:val="0"/>
          <w:szCs w:val="20"/>
          <w:lang w:val="en-ZA" w:eastAsia="it-IT"/>
        </w:rPr>
        <w:t>: Merchant Services &amp; Solutions, Cards &amp; Digital Payme</w:t>
      </w:r>
      <w:r w:rsidR="004B6CFB" w:rsidRPr="008528C9">
        <w:rPr>
          <w:rFonts w:asciiTheme="minorHAnsi" w:eastAsia="Arial" w:hAnsiTheme="minorHAnsi" w:cstheme="minorHAnsi"/>
          <w:kern w:val="0"/>
          <w:szCs w:val="20"/>
          <w:lang w:val="en-ZA" w:eastAsia="it-IT"/>
        </w:rPr>
        <w:t>nts e Digital Banking Solutions.</w:t>
      </w:r>
    </w:p>
    <w:p w14:paraId="73AA3E1C" w14:textId="2621A969" w:rsidR="00082F34" w:rsidRPr="008528C9" w:rsidRDefault="00082F34" w:rsidP="00082F34">
      <w:pPr>
        <w:pStyle w:val="Body"/>
        <w:spacing w:after="0" w:line="240" w:lineRule="auto"/>
        <w:rPr>
          <w:rFonts w:asciiTheme="minorHAnsi" w:eastAsia="Arial" w:hAnsiTheme="minorHAnsi" w:cstheme="minorHAnsi"/>
          <w:kern w:val="0"/>
          <w:szCs w:val="20"/>
          <w:lang w:eastAsia="it-IT"/>
        </w:rPr>
      </w:pPr>
      <w:r w:rsidRPr="008528C9">
        <w:rPr>
          <w:rFonts w:asciiTheme="minorHAnsi" w:eastAsia="Arial" w:hAnsiTheme="minorHAnsi" w:cstheme="minorHAnsi"/>
          <w:kern w:val="0"/>
          <w:szCs w:val="20"/>
          <w:lang w:eastAsia="it-IT"/>
        </w:rPr>
        <w:t>Merchant Services &amp; Solutions: Nexi, insieme alle Banche partner, serve circa 900.000 commercianti;</w:t>
      </w:r>
      <w:r w:rsidRPr="008528C9">
        <w:rPr>
          <w:rFonts w:asciiTheme="minorHAnsi" w:eastAsia="Arial" w:hAnsiTheme="minorHAnsi" w:cstheme="minorHAnsi"/>
          <w:kern w:val="0"/>
          <w:szCs w:val="20"/>
          <w:lang w:eastAsia="it-IT"/>
        </w:rPr>
        <w:br/>
        <w:t>Cards &amp; Digital Payments: Nexi e le Banche partner gestiscono 41,6 milioni di carte di pagamento;</w:t>
      </w:r>
      <w:r w:rsidRPr="008528C9">
        <w:rPr>
          <w:rFonts w:asciiTheme="minorHAnsi" w:eastAsia="Arial" w:hAnsiTheme="minorHAnsi" w:cstheme="minorHAnsi"/>
          <w:kern w:val="0"/>
          <w:szCs w:val="20"/>
          <w:lang w:eastAsia="it-IT"/>
        </w:rPr>
        <w:br/>
        <w:t xml:space="preserve">Digital Banking Solutions: Nexi gestisce 13.100 ATM, circa 469 mila postazioni di e-banking e 947 milioni di transazioni nei servizi di clearing. Inoltre ha sviluppato, come partner tecnologico, il sistema open banking di CBI S.c.p.a. al quale hanno già aderito le principali Banche Italiane. </w:t>
      </w:r>
      <w:hyperlink r:id="rId8" w:history="1">
        <w:r w:rsidR="00E24BEF" w:rsidRPr="008528C9">
          <w:rPr>
            <w:rFonts w:asciiTheme="minorHAnsi" w:eastAsia="Arial" w:hAnsiTheme="minorHAnsi" w:cstheme="minorHAnsi"/>
            <w:kern w:val="0"/>
            <w:szCs w:val="20"/>
            <w:lang w:eastAsia="it-IT"/>
          </w:rPr>
          <w:t>www.nexi.it</w:t>
        </w:r>
      </w:hyperlink>
      <w:r w:rsidR="00E24BEF" w:rsidRPr="008528C9">
        <w:rPr>
          <w:rFonts w:asciiTheme="minorHAnsi" w:eastAsia="Arial" w:hAnsiTheme="minorHAnsi" w:cstheme="minorHAnsi"/>
          <w:kern w:val="0"/>
          <w:szCs w:val="20"/>
          <w:lang w:eastAsia="it-IT"/>
        </w:rPr>
        <w:t xml:space="preserve"> </w:t>
      </w:r>
    </w:p>
    <w:p w14:paraId="6C01E865" w14:textId="203D5564" w:rsidR="002C3ABD" w:rsidRPr="008528C9" w:rsidRDefault="002C3ABD" w:rsidP="00082F34">
      <w:pPr>
        <w:pStyle w:val="Body"/>
        <w:spacing w:after="0" w:line="240" w:lineRule="auto"/>
        <w:rPr>
          <w:rFonts w:asciiTheme="minorHAnsi" w:eastAsia="Arial" w:hAnsiTheme="minorHAnsi" w:cstheme="minorHAnsi"/>
          <w:kern w:val="0"/>
          <w:szCs w:val="20"/>
          <w:lang w:eastAsia="it-IT"/>
        </w:rPr>
      </w:pPr>
    </w:p>
    <w:p w14:paraId="6E735754" w14:textId="77777777" w:rsidR="001B2FCA" w:rsidRPr="008528C9" w:rsidRDefault="001B2FCA" w:rsidP="00A43B9F">
      <w:pPr>
        <w:pStyle w:val="Body"/>
        <w:tabs>
          <w:tab w:val="left" w:pos="1479"/>
        </w:tabs>
        <w:rPr>
          <w:rFonts w:asciiTheme="minorHAnsi" w:eastAsia="Arial" w:hAnsiTheme="minorHAnsi" w:cstheme="minorHAnsi"/>
          <w:b/>
          <w:kern w:val="0"/>
          <w:sz w:val="22"/>
          <w:szCs w:val="22"/>
          <w:u w:val="single"/>
          <w:lang w:eastAsia="it-IT"/>
        </w:rPr>
      </w:pPr>
      <w:r w:rsidRPr="008528C9">
        <w:rPr>
          <w:rFonts w:asciiTheme="minorHAnsi" w:eastAsia="Arial" w:hAnsiTheme="minorHAnsi" w:cstheme="minorHAnsi"/>
          <w:b/>
          <w:kern w:val="0"/>
          <w:sz w:val="22"/>
          <w:szCs w:val="22"/>
          <w:u w:val="single"/>
          <w:lang w:eastAsia="it-IT"/>
        </w:rPr>
        <w:t xml:space="preserve">Visa </w:t>
      </w:r>
    </w:p>
    <w:p w14:paraId="59EA12FF" w14:textId="77777777" w:rsidR="001B2FCA" w:rsidRPr="008528C9" w:rsidRDefault="001B2FCA" w:rsidP="00E24BEF">
      <w:pPr>
        <w:spacing w:line="240" w:lineRule="auto"/>
        <w:jc w:val="both"/>
        <w:rPr>
          <w:rFonts w:eastAsia="Arial" w:cstheme="minorHAnsi"/>
          <w:sz w:val="20"/>
          <w:szCs w:val="20"/>
          <w:lang w:eastAsia="it-IT"/>
        </w:rPr>
      </w:pPr>
      <w:r w:rsidRPr="008528C9">
        <w:rPr>
          <w:rFonts w:eastAsia="Arial" w:cstheme="minorHAnsi"/>
          <w:sz w:val="20"/>
          <w:szCs w:val="20"/>
          <w:lang w:eastAsia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per tutti, ovunque. Mentre il mondo si muove dall'analogico al digitale, Visa sta dedicando il brand, i prodotti, le persone, la rete e le dimensioni per rimodellare il futuro del commercio. </w:t>
      </w:r>
    </w:p>
    <w:p w14:paraId="03E7A69E" w14:textId="77777777" w:rsidR="001B2FCA" w:rsidRPr="008528C9" w:rsidRDefault="001B2FCA" w:rsidP="001B2FCA">
      <w:pPr>
        <w:jc w:val="both"/>
        <w:rPr>
          <w:rFonts w:eastAsia="Arial" w:cstheme="minorHAnsi"/>
          <w:sz w:val="20"/>
          <w:szCs w:val="20"/>
          <w:lang w:eastAsia="it-IT"/>
        </w:rPr>
      </w:pPr>
      <w:r w:rsidRPr="008528C9">
        <w:rPr>
          <w:rFonts w:eastAsia="Arial" w:cstheme="minorHAnsi"/>
          <w:sz w:val="20"/>
          <w:szCs w:val="20"/>
          <w:lang w:eastAsia="it-IT"/>
        </w:rPr>
        <w:lastRenderedPageBreak/>
        <w:t xml:space="preserve">Per maggiori informazioni, visita </w:t>
      </w:r>
      <w:hyperlink r:id="rId9" w:history="1">
        <w:r w:rsidRPr="008528C9">
          <w:rPr>
            <w:rFonts w:eastAsia="Arial" w:cstheme="minorHAnsi"/>
            <w:sz w:val="20"/>
            <w:szCs w:val="20"/>
            <w:lang w:eastAsia="it-IT"/>
          </w:rPr>
          <w:t>https://www.visaitalia.com/</w:t>
        </w:r>
      </w:hyperlink>
      <w:r w:rsidRPr="008528C9">
        <w:rPr>
          <w:rFonts w:eastAsia="Arial" w:cstheme="minorHAnsi"/>
          <w:sz w:val="20"/>
          <w:szCs w:val="20"/>
          <w:lang w:eastAsia="it-IT"/>
        </w:rPr>
        <w:t xml:space="preserve"> e seguici su Twitter </w:t>
      </w:r>
      <w:hyperlink r:id="rId10" w:history="1">
        <w:r w:rsidRPr="008528C9">
          <w:rPr>
            <w:rFonts w:eastAsia="Arial" w:cstheme="minorHAnsi"/>
            <w:sz w:val="20"/>
            <w:szCs w:val="20"/>
            <w:lang w:eastAsia="it-IT"/>
          </w:rPr>
          <w:t>@Visa_IT</w:t>
        </w:r>
      </w:hyperlink>
      <w:r w:rsidRPr="008528C9">
        <w:rPr>
          <w:rFonts w:eastAsia="Arial" w:cstheme="minorHAnsi"/>
          <w:sz w:val="20"/>
          <w:szCs w:val="20"/>
          <w:lang w:eastAsia="it-IT"/>
        </w:rPr>
        <w:t>.</w:t>
      </w:r>
    </w:p>
    <w:p w14:paraId="73977A86" w14:textId="77777777" w:rsidR="00A43B9F" w:rsidRPr="008528C9" w:rsidRDefault="00A43B9F" w:rsidP="00082F34">
      <w:pPr>
        <w:spacing w:line="260" w:lineRule="auto"/>
        <w:jc w:val="both"/>
        <w:rPr>
          <w:rFonts w:eastAsia="Arial" w:cstheme="minorHAnsi"/>
          <w:b/>
          <w:sz w:val="20"/>
          <w:szCs w:val="20"/>
          <w:u w:val="single"/>
          <w:lang w:eastAsia="it-IT"/>
        </w:rPr>
      </w:pPr>
    </w:p>
    <w:p w14:paraId="40A25AE1" w14:textId="471C52B0" w:rsidR="00082F34" w:rsidRPr="008528C9" w:rsidRDefault="00082F34" w:rsidP="00082F34">
      <w:pPr>
        <w:spacing w:line="260" w:lineRule="auto"/>
        <w:jc w:val="both"/>
        <w:rPr>
          <w:rFonts w:eastAsia="Arial" w:cstheme="minorHAnsi"/>
          <w:b/>
          <w:sz w:val="20"/>
          <w:szCs w:val="20"/>
          <w:u w:val="single"/>
          <w:lang w:eastAsia="it-IT"/>
        </w:rPr>
      </w:pPr>
      <w:proofErr w:type="spellStart"/>
      <w:r w:rsidRPr="008528C9">
        <w:rPr>
          <w:rFonts w:eastAsia="Arial" w:cstheme="minorHAnsi"/>
          <w:b/>
          <w:sz w:val="20"/>
          <w:szCs w:val="20"/>
          <w:u w:val="single"/>
          <w:lang w:eastAsia="it-IT"/>
        </w:rPr>
        <w:t>External</w:t>
      </w:r>
      <w:proofErr w:type="spellEnd"/>
      <w:r w:rsidRPr="008528C9">
        <w:rPr>
          <w:rFonts w:eastAsia="Arial" w:cstheme="minorHAnsi"/>
          <w:b/>
          <w:sz w:val="20"/>
          <w:szCs w:val="20"/>
          <w:u w:val="single"/>
          <w:lang w:eastAsia="it-IT"/>
        </w:rPr>
        <w:t xml:space="preserve"> Communication &amp; Media Relations - Nexi</w:t>
      </w:r>
    </w:p>
    <w:p w14:paraId="233CBBF2" w14:textId="43CBE860" w:rsidR="00082F34" w:rsidRPr="008528C9" w:rsidRDefault="00082F34" w:rsidP="00082F34">
      <w:pPr>
        <w:spacing w:line="260" w:lineRule="auto"/>
        <w:rPr>
          <w:rFonts w:eastAsia="Arial" w:cstheme="minorHAnsi"/>
          <w:sz w:val="20"/>
          <w:szCs w:val="20"/>
          <w:lang w:eastAsia="it-IT"/>
        </w:rPr>
      </w:pPr>
      <w:r w:rsidRPr="008528C9">
        <w:rPr>
          <w:rFonts w:eastAsia="Arial" w:cstheme="minorHAnsi"/>
          <w:sz w:val="20"/>
          <w:szCs w:val="20"/>
          <w:lang w:eastAsia="it-IT"/>
        </w:rPr>
        <w:t>Daniele de Sanctis</w:t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  <w:t>Matteo Abbondanza</w:t>
      </w:r>
      <w:r w:rsidRPr="008528C9">
        <w:rPr>
          <w:rFonts w:eastAsia="Arial" w:cstheme="minorHAnsi"/>
          <w:sz w:val="20"/>
          <w:szCs w:val="20"/>
          <w:lang w:eastAsia="it-IT"/>
        </w:rPr>
        <w:br/>
      </w:r>
      <w:hyperlink r:id="rId11">
        <w:r w:rsidRPr="008528C9">
          <w:rPr>
            <w:rFonts w:eastAsia="Arial" w:cstheme="minorHAnsi"/>
            <w:sz w:val="20"/>
            <w:szCs w:val="20"/>
            <w:lang w:eastAsia="it-IT"/>
          </w:rPr>
          <w:t>daniele.desanctis@nexi.it</w:t>
        </w:r>
      </w:hyperlink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  <w:t>matteo.abbondanza@nexi.it</w:t>
      </w:r>
      <w:r w:rsidRPr="008528C9">
        <w:rPr>
          <w:rFonts w:eastAsia="Arial" w:cstheme="minorHAnsi"/>
          <w:sz w:val="20"/>
          <w:szCs w:val="20"/>
          <w:lang w:eastAsia="it-IT"/>
        </w:rPr>
        <w:br/>
        <w:t>Mobile: +39 346/015.1000</w:t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  <w:t>Mobile:</w:t>
      </w:r>
      <w:r w:rsidR="004B6CFB" w:rsidRPr="008528C9">
        <w:rPr>
          <w:rFonts w:eastAsia="Arial" w:cstheme="minorHAnsi"/>
          <w:sz w:val="20"/>
          <w:szCs w:val="20"/>
          <w:lang w:eastAsia="it-IT"/>
        </w:rPr>
        <w:t xml:space="preserve"> </w:t>
      </w:r>
      <w:r w:rsidRPr="008528C9">
        <w:rPr>
          <w:rFonts w:eastAsia="Arial" w:cstheme="minorHAnsi"/>
          <w:sz w:val="20"/>
          <w:szCs w:val="20"/>
          <w:lang w:eastAsia="it-IT"/>
        </w:rPr>
        <w:t>+39.348/406.8858</w:t>
      </w:r>
      <w:r w:rsidRPr="008528C9">
        <w:rPr>
          <w:rFonts w:eastAsia="Arial" w:cstheme="minorHAnsi"/>
          <w:sz w:val="20"/>
          <w:szCs w:val="20"/>
          <w:lang w:eastAsia="it-IT"/>
        </w:rPr>
        <w:br/>
      </w:r>
    </w:p>
    <w:p w14:paraId="4A043CC7" w14:textId="5EDED905" w:rsidR="00B02AC1" w:rsidRPr="008528C9" w:rsidRDefault="00B02AC1" w:rsidP="00A43B9F">
      <w:pPr>
        <w:spacing w:line="260" w:lineRule="auto"/>
        <w:jc w:val="both"/>
        <w:rPr>
          <w:rFonts w:eastAsia="Arial" w:cstheme="minorHAnsi"/>
          <w:b/>
          <w:sz w:val="20"/>
          <w:szCs w:val="20"/>
          <w:u w:val="single"/>
          <w:lang w:eastAsia="it-IT"/>
        </w:rPr>
      </w:pPr>
      <w:r w:rsidRPr="008528C9">
        <w:rPr>
          <w:rFonts w:eastAsia="Arial" w:cstheme="minorHAnsi"/>
          <w:b/>
          <w:sz w:val="20"/>
          <w:szCs w:val="20"/>
          <w:u w:val="single"/>
          <w:lang w:eastAsia="it-IT"/>
        </w:rPr>
        <w:t>Ufficio stampa Visa Italia</w:t>
      </w:r>
    </w:p>
    <w:p w14:paraId="47535090" w14:textId="58B7DF09" w:rsidR="00B02AC1" w:rsidRPr="008528C9" w:rsidRDefault="00B02AC1" w:rsidP="00B02AC1">
      <w:pPr>
        <w:spacing w:after="0" w:line="240" w:lineRule="auto"/>
        <w:rPr>
          <w:rFonts w:eastAsia="Arial" w:cstheme="minorHAnsi"/>
          <w:sz w:val="20"/>
          <w:szCs w:val="20"/>
          <w:lang w:eastAsia="it-IT"/>
        </w:rPr>
      </w:pPr>
      <w:r w:rsidRPr="008528C9">
        <w:rPr>
          <w:rFonts w:eastAsia="Arial" w:cstheme="minorHAnsi"/>
          <w:sz w:val="20"/>
          <w:szCs w:val="20"/>
          <w:lang w:eastAsia="it-IT"/>
        </w:rPr>
        <w:t>Luca Gentili, Corporate Communications Lead Visa Italy</w:t>
      </w:r>
      <w:r w:rsidR="00A43B9F" w:rsidRPr="008528C9">
        <w:rPr>
          <w:rFonts w:eastAsia="Arial" w:cstheme="minorHAnsi"/>
          <w:sz w:val="20"/>
          <w:szCs w:val="20"/>
          <w:lang w:eastAsia="it-IT"/>
        </w:rPr>
        <w:tab/>
      </w:r>
      <w:r w:rsidR="00A43B9F" w:rsidRPr="008528C9">
        <w:rPr>
          <w:rFonts w:eastAsia="Arial" w:cstheme="minorHAnsi"/>
          <w:sz w:val="20"/>
          <w:szCs w:val="20"/>
          <w:lang w:eastAsia="it-IT"/>
        </w:rPr>
        <w:tab/>
      </w:r>
      <w:r w:rsidR="00A43B9F" w:rsidRPr="008528C9">
        <w:rPr>
          <w:rFonts w:eastAsia="Arial" w:cstheme="minorHAnsi"/>
          <w:sz w:val="20"/>
          <w:szCs w:val="20"/>
          <w:lang w:eastAsia="it-IT"/>
        </w:rPr>
        <w:tab/>
        <w:t xml:space="preserve">             </w:t>
      </w:r>
      <w:r w:rsidRPr="008528C9">
        <w:rPr>
          <w:rFonts w:eastAsia="Arial" w:cstheme="minorHAnsi"/>
          <w:sz w:val="20"/>
          <w:szCs w:val="20"/>
          <w:lang w:eastAsia="it-IT"/>
        </w:rPr>
        <w:t xml:space="preserve"> </w:t>
      </w:r>
      <w:r w:rsidR="00A43B9F" w:rsidRPr="008528C9">
        <w:rPr>
          <w:rFonts w:eastAsia="Arial" w:cstheme="minorHAnsi"/>
          <w:sz w:val="20"/>
          <w:szCs w:val="20"/>
          <w:lang w:eastAsia="it-IT"/>
        </w:rPr>
        <w:t xml:space="preserve">  </w:t>
      </w:r>
      <w:hyperlink r:id="rId12" w:history="1">
        <w:r w:rsidRPr="008528C9">
          <w:rPr>
            <w:rFonts w:eastAsia="Arial"/>
            <w:lang w:eastAsia="it-IT"/>
          </w:rPr>
          <w:t>gentilil@visa.com</w:t>
        </w:r>
      </w:hyperlink>
      <w:r w:rsidRPr="008528C9">
        <w:rPr>
          <w:rFonts w:eastAsia="Arial" w:cstheme="minorHAnsi"/>
          <w:sz w:val="20"/>
          <w:szCs w:val="20"/>
          <w:lang w:eastAsia="it-IT"/>
        </w:rPr>
        <w:t xml:space="preserve"> </w:t>
      </w:r>
    </w:p>
    <w:p w14:paraId="1F9C6ED8" w14:textId="3ED3A6EE" w:rsidR="00B02AC1" w:rsidRPr="008528C9" w:rsidRDefault="00B02AC1" w:rsidP="00B02AC1">
      <w:pPr>
        <w:spacing w:after="0" w:line="240" w:lineRule="auto"/>
        <w:rPr>
          <w:rFonts w:eastAsia="Arial" w:cstheme="minorHAnsi"/>
          <w:sz w:val="20"/>
          <w:szCs w:val="20"/>
          <w:lang w:eastAsia="it-IT"/>
        </w:rPr>
      </w:pPr>
      <w:r w:rsidRPr="008528C9">
        <w:rPr>
          <w:rFonts w:eastAsia="Arial" w:cstheme="minorHAnsi"/>
          <w:sz w:val="20"/>
          <w:szCs w:val="20"/>
          <w:lang w:eastAsia="it-IT"/>
        </w:rPr>
        <w:t xml:space="preserve">Alessandro Zambetti, DAG Communication </w:t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hyperlink r:id="rId13" w:history="1">
        <w:r w:rsidRPr="008528C9">
          <w:rPr>
            <w:rFonts w:eastAsia="Arial"/>
            <w:lang w:eastAsia="it-IT"/>
          </w:rPr>
          <w:t>a.zambetti@dagcom.com</w:t>
        </w:r>
      </w:hyperlink>
      <w:r w:rsidR="00A43B9F"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>+39 3389241387</w:t>
      </w:r>
    </w:p>
    <w:p w14:paraId="0DA2AF21" w14:textId="77777777" w:rsidR="00B02AC1" w:rsidRPr="008528C9" w:rsidRDefault="00B02AC1" w:rsidP="00B02AC1">
      <w:pPr>
        <w:spacing w:after="0" w:line="240" w:lineRule="auto"/>
        <w:rPr>
          <w:rFonts w:eastAsia="Arial" w:cstheme="minorHAnsi"/>
          <w:sz w:val="20"/>
          <w:szCs w:val="20"/>
          <w:lang w:eastAsia="it-IT"/>
        </w:rPr>
      </w:pPr>
      <w:r w:rsidRPr="008528C9">
        <w:rPr>
          <w:rFonts w:eastAsia="Arial" w:cstheme="minorHAnsi"/>
          <w:sz w:val="20"/>
          <w:szCs w:val="20"/>
          <w:lang w:eastAsia="it-IT"/>
        </w:rPr>
        <w:t xml:space="preserve">Barbara D’Incecco, DAG Communication    </w:t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r w:rsidRPr="008528C9">
        <w:rPr>
          <w:rFonts w:eastAsia="Arial" w:cstheme="minorHAnsi"/>
          <w:sz w:val="20"/>
          <w:szCs w:val="20"/>
          <w:lang w:eastAsia="it-IT"/>
        </w:rPr>
        <w:tab/>
      </w:r>
      <w:hyperlink r:id="rId14" w:history="1">
        <w:r w:rsidRPr="008528C9">
          <w:rPr>
            <w:rFonts w:eastAsia="Arial"/>
            <w:lang w:eastAsia="it-IT"/>
          </w:rPr>
          <w:t>bdincecco@dagcom.com</w:t>
        </w:r>
      </w:hyperlink>
      <w:r w:rsidRPr="008528C9">
        <w:rPr>
          <w:rFonts w:eastAsia="Arial" w:cstheme="minorHAnsi"/>
          <w:sz w:val="20"/>
          <w:szCs w:val="20"/>
          <w:lang w:eastAsia="it-IT"/>
        </w:rPr>
        <w:t xml:space="preserve">   </w:t>
      </w:r>
      <w:r w:rsidRPr="008528C9">
        <w:rPr>
          <w:rFonts w:eastAsia="Arial" w:cstheme="minorHAnsi"/>
          <w:sz w:val="20"/>
          <w:szCs w:val="20"/>
          <w:lang w:eastAsia="it-IT"/>
        </w:rPr>
        <w:tab/>
        <w:t>+39 02 89054168</w:t>
      </w:r>
    </w:p>
    <w:p w14:paraId="539CC79B" w14:textId="77777777" w:rsidR="00082F34" w:rsidRPr="008528C9" w:rsidRDefault="00082F34" w:rsidP="00082F34">
      <w:pPr>
        <w:spacing w:after="0"/>
        <w:ind w:right="70"/>
        <w:rPr>
          <w:rFonts w:eastAsia="Arial" w:cstheme="minorHAnsi"/>
          <w:sz w:val="20"/>
          <w:szCs w:val="20"/>
          <w:lang w:eastAsia="it-IT"/>
        </w:rPr>
      </w:pPr>
    </w:p>
    <w:p w14:paraId="6169D939" w14:textId="77777777" w:rsidR="00082F34" w:rsidRDefault="00082F34" w:rsidP="00082F34">
      <w:pPr>
        <w:spacing w:after="0"/>
        <w:ind w:right="70"/>
        <w:rPr>
          <w:rFonts w:eastAsia="Arial" w:cstheme="minorHAnsi"/>
          <w:color w:val="808080"/>
          <w:sz w:val="20"/>
          <w:szCs w:val="20"/>
          <w:lang w:eastAsia="it-IT"/>
        </w:rPr>
      </w:pPr>
    </w:p>
    <w:p w14:paraId="754AAB32" w14:textId="77777777" w:rsidR="00082F34" w:rsidRDefault="00082F34" w:rsidP="00F30FAB">
      <w:pPr>
        <w:spacing w:after="0"/>
        <w:ind w:right="70"/>
        <w:jc w:val="both"/>
        <w:rPr>
          <w:rFonts w:eastAsia="Arial" w:cstheme="minorHAnsi"/>
          <w:color w:val="808080"/>
          <w:sz w:val="20"/>
          <w:szCs w:val="20"/>
          <w:lang w:eastAsia="it-IT"/>
        </w:rPr>
      </w:pPr>
    </w:p>
    <w:p w14:paraId="09F63AAB" w14:textId="77777777" w:rsidR="00693B17" w:rsidRPr="00082F34" w:rsidRDefault="00693B17" w:rsidP="00693B17">
      <w:pPr>
        <w:spacing w:before="240" w:after="240"/>
        <w:jc w:val="both"/>
        <w:rPr>
          <w:rFonts w:cstheme="minorHAnsi"/>
        </w:rPr>
      </w:pPr>
    </w:p>
    <w:sectPr w:rsidR="00693B17" w:rsidRPr="00082F34" w:rsidSect="009F7A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9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78859" w14:textId="77777777" w:rsidR="00485558" w:rsidRDefault="00485558" w:rsidP="00693B17">
      <w:pPr>
        <w:spacing w:after="0" w:line="240" w:lineRule="auto"/>
      </w:pPr>
      <w:r>
        <w:separator/>
      </w:r>
    </w:p>
  </w:endnote>
  <w:endnote w:type="continuationSeparator" w:id="0">
    <w:p w14:paraId="7BD55C1C" w14:textId="77777777" w:rsidR="00485558" w:rsidRDefault="00485558" w:rsidP="0069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FAB12" w14:textId="77777777" w:rsidR="00086920" w:rsidRDefault="000869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3F88D" w14:textId="77777777" w:rsidR="00086920" w:rsidRDefault="000869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EEFD5" w14:textId="77777777" w:rsidR="00086920" w:rsidRDefault="000869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7B163" w14:textId="77777777" w:rsidR="00485558" w:rsidRDefault="00485558" w:rsidP="00693B17">
      <w:pPr>
        <w:spacing w:after="0" w:line="240" w:lineRule="auto"/>
      </w:pPr>
      <w:r>
        <w:separator/>
      </w:r>
    </w:p>
  </w:footnote>
  <w:footnote w:type="continuationSeparator" w:id="0">
    <w:p w14:paraId="6B09CB9F" w14:textId="77777777" w:rsidR="00485558" w:rsidRDefault="00485558" w:rsidP="00693B17">
      <w:pPr>
        <w:spacing w:after="0" w:line="240" w:lineRule="auto"/>
      </w:pPr>
      <w:r>
        <w:continuationSeparator/>
      </w:r>
    </w:p>
  </w:footnote>
  <w:footnote w:id="1">
    <w:p w14:paraId="18046295" w14:textId="63104AC2" w:rsidR="006B66E3" w:rsidRPr="00C23388" w:rsidRDefault="006B66E3">
      <w:pPr>
        <w:pStyle w:val="Testonotaapidipagina"/>
      </w:pPr>
      <w:r w:rsidRPr="00E24BEF">
        <w:rPr>
          <w:rFonts w:eastAsia="Arial" w:cstheme="minorHAnsi"/>
          <w:color w:val="808080"/>
          <w:lang w:eastAsia="it-IT"/>
        </w:rPr>
        <w:footnoteRef/>
      </w:r>
      <w:r w:rsidRPr="00E24BEF">
        <w:rPr>
          <w:rFonts w:eastAsia="Arial" w:cstheme="minorHAnsi"/>
          <w:color w:val="808080"/>
          <w:lang w:eastAsia="it-IT"/>
        </w:rPr>
        <w:t xml:space="preserve"> </w:t>
      </w:r>
      <w:r w:rsidR="00583F87" w:rsidRPr="00E24BEF">
        <w:rPr>
          <w:rFonts w:eastAsia="Arial" w:cstheme="minorHAnsi"/>
          <w:color w:val="808080"/>
          <w:lang w:eastAsia="it-IT"/>
        </w:rPr>
        <w:t>“</w:t>
      </w:r>
      <w:r w:rsidR="00675668" w:rsidRPr="00E24BEF">
        <w:rPr>
          <w:rFonts w:eastAsia="Arial" w:cstheme="minorHAnsi"/>
          <w:color w:val="808080"/>
          <w:lang w:eastAsia="it-IT"/>
        </w:rPr>
        <w:t xml:space="preserve">Consumer Survey on Payments in </w:t>
      </w:r>
      <w:proofErr w:type="spellStart"/>
      <w:r w:rsidR="00675668" w:rsidRPr="00E24BEF">
        <w:rPr>
          <w:rFonts w:eastAsia="Arial" w:cstheme="minorHAnsi"/>
          <w:color w:val="808080"/>
          <w:lang w:eastAsia="it-IT"/>
        </w:rPr>
        <w:t>Italy</w:t>
      </w:r>
      <w:proofErr w:type="spellEnd"/>
      <w:r w:rsidR="00675668" w:rsidRPr="00E24BEF">
        <w:rPr>
          <w:rFonts w:eastAsia="Arial" w:cstheme="minorHAnsi"/>
          <w:color w:val="808080"/>
          <w:lang w:eastAsia="it-IT"/>
        </w:rPr>
        <w:t>, France, Spain and Portugal</w:t>
      </w:r>
      <w:r w:rsidR="00583F87" w:rsidRPr="00E24BEF">
        <w:rPr>
          <w:rFonts w:eastAsia="Arial" w:cstheme="minorHAnsi"/>
          <w:color w:val="808080"/>
          <w:lang w:eastAsia="it-IT"/>
        </w:rPr>
        <w:t xml:space="preserve">”, ricerca Condotta da </w:t>
      </w:r>
      <w:r w:rsidR="00675668" w:rsidRPr="00E24BEF">
        <w:rPr>
          <w:rFonts w:eastAsia="Arial" w:cstheme="minorHAnsi"/>
          <w:color w:val="808080"/>
          <w:lang w:eastAsia="it-IT"/>
        </w:rPr>
        <w:t xml:space="preserve">GFK per </w:t>
      </w:r>
      <w:r w:rsidR="00583F87" w:rsidRPr="00E24BEF">
        <w:rPr>
          <w:rFonts w:eastAsia="Arial" w:cstheme="minorHAnsi"/>
          <w:color w:val="808080"/>
          <w:lang w:eastAsia="it-IT"/>
        </w:rPr>
        <w:t xml:space="preserve">conto di </w:t>
      </w:r>
      <w:r w:rsidR="00675668" w:rsidRPr="00E24BEF">
        <w:rPr>
          <w:rFonts w:eastAsia="Arial" w:cstheme="minorHAnsi"/>
          <w:color w:val="808080"/>
          <w:lang w:eastAsia="it-IT"/>
        </w:rPr>
        <w:t xml:space="preserve">Visa </w:t>
      </w:r>
      <w:proofErr w:type="spellStart"/>
      <w:r w:rsidR="00675668" w:rsidRPr="00E24BEF">
        <w:rPr>
          <w:rFonts w:eastAsia="Arial" w:cstheme="minorHAnsi"/>
          <w:color w:val="808080"/>
          <w:lang w:eastAsia="it-IT"/>
        </w:rPr>
        <w:t>inc.</w:t>
      </w:r>
      <w:proofErr w:type="spellEnd"/>
      <w:r w:rsidR="00583F87" w:rsidRPr="00E24BEF">
        <w:rPr>
          <w:rFonts w:eastAsia="Arial" w:cstheme="minorHAnsi"/>
          <w:color w:val="808080"/>
          <w:lang w:eastAsia="it-IT"/>
        </w:rPr>
        <w:t xml:space="preserve"> su un campione di 3200 individui, settembre 2020</w:t>
      </w:r>
    </w:p>
  </w:footnote>
  <w:footnote w:id="2">
    <w:p w14:paraId="54C36252" w14:textId="6E7F81A4" w:rsidR="00632DDD" w:rsidRPr="00632DDD" w:rsidRDefault="00632DDD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C23388">
        <w:rPr>
          <w:lang w:val="en-ZA"/>
        </w:rPr>
        <w:t xml:space="preserve"> PagoPA December 2020 (https://www.pagopa.gov.it/it/pagopa-spa/comunicati-stampa/2020-12-22-comunicato)</w:t>
      </w:r>
    </w:p>
  </w:footnote>
  <w:footnote w:id="3">
    <w:p w14:paraId="36F4A71B" w14:textId="4FC20B80" w:rsidR="00924605" w:rsidRPr="00924605" w:rsidRDefault="00924605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C23388">
        <w:rPr>
          <w:lang w:val="en-ZA"/>
        </w:rPr>
        <w:t xml:space="preserve"> Italian Ministry for Innovation, December 2020 (https://innovazione.gov.it/notizie/articoli/i-comuni-verso-la-digitalizzazione-7-246-hanno-chiesto-l-accesso-al-fondo-per-l-innovazione/)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41275" w14:textId="77777777" w:rsidR="00086920" w:rsidRDefault="000869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DFFE5" w14:textId="31CF2D1F" w:rsidR="00693B17" w:rsidRDefault="0008692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402D1F4" wp14:editId="2D271F9F">
          <wp:simplePos x="0" y="0"/>
          <wp:positionH relativeFrom="column">
            <wp:posOffset>5010150</wp:posOffset>
          </wp:positionH>
          <wp:positionV relativeFrom="paragraph">
            <wp:posOffset>247015</wp:posOffset>
          </wp:positionV>
          <wp:extent cx="1104900" cy="6184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F34" w:rsidRPr="002374CD">
      <w:rPr>
        <w:b/>
        <w:noProof/>
        <w:color w:val="000000"/>
        <w:sz w:val="28"/>
        <w:szCs w:val="28"/>
        <w:highlight w:val="yellow"/>
        <w:lang w:eastAsia="it-IT"/>
      </w:rPr>
      <w:drawing>
        <wp:anchor distT="0" distB="0" distL="114300" distR="114300" simplePos="0" relativeHeight="251661312" behindDoc="0" locked="0" layoutInCell="1" allowOverlap="1" wp14:anchorId="03FD47AD" wp14:editId="654A96FD">
          <wp:simplePos x="0" y="0"/>
          <wp:positionH relativeFrom="margin">
            <wp:align>left</wp:align>
          </wp:positionH>
          <wp:positionV relativeFrom="paragraph">
            <wp:posOffset>341630</wp:posOffset>
          </wp:positionV>
          <wp:extent cx="1225550" cy="396875"/>
          <wp:effectExtent l="0" t="0" r="0" b="3175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5550" cy="39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E4CFD" w14:textId="77777777" w:rsidR="00086920" w:rsidRDefault="000869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B4C1E"/>
    <w:multiLevelType w:val="hybridMultilevel"/>
    <w:tmpl w:val="FE0E23EC"/>
    <w:lvl w:ilvl="0" w:tplc="0960E8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960E848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auto"/>
        <w:sz w:val="14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ZA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21"/>
    <w:rsid w:val="00010151"/>
    <w:rsid w:val="000108AB"/>
    <w:rsid w:val="00045677"/>
    <w:rsid w:val="00047AF0"/>
    <w:rsid w:val="00067E9F"/>
    <w:rsid w:val="00082F34"/>
    <w:rsid w:val="00086920"/>
    <w:rsid w:val="000A076D"/>
    <w:rsid w:val="00116F15"/>
    <w:rsid w:val="00166386"/>
    <w:rsid w:val="00184CA3"/>
    <w:rsid w:val="001A3845"/>
    <w:rsid w:val="001B2FCA"/>
    <w:rsid w:val="00215300"/>
    <w:rsid w:val="00261829"/>
    <w:rsid w:val="0026642C"/>
    <w:rsid w:val="002A33F5"/>
    <w:rsid w:val="002B3FF4"/>
    <w:rsid w:val="002C3ABD"/>
    <w:rsid w:val="0031498A"/>
    <w:rsid w:val="00314A2B"/>
    <w:rsid w:val="00380A6D"/>
    <w:rsid w:val="003F4284"/>
    <w:rsid w:val="004034F8"/>
    <w:rsid w:val="00412BB3"/>
    <w:rsid w:val="00417786"/>
    <w:rsid w:val="0042248D"/>
    <w:rsid w:val="00432031"/>
    <w:rsid w:val="00470841"/>
    <w:rsid w:val="00485558"/>
    <w:rsid w:val="004964FC"/>
    <w:rsid w:val="004A4A79"/>
    <w:rsid w:val="004B5942"/>
    <w:rsid w:val="004B6CFB"/>
    <w:rsid w:val="004E266A"/>
    <w:rsid w:val="004F444B"/>
    <w:rsid w:val="00511847"/>
    <w:rsid w:val="00514918"/>
    <w:rsid w:val="005303F5"/>
    <w:rsid w:val="005705A9"/>
    <w:rsid w:val="00583F87"/>
    <w:rsid w:val="00596406"/>
    <w:rsid w:val="005A1FA9"/>
    <w:rsid w:val="005B06B7"/>
    <w:rsid w:val="005B2703"/>
    <w:rsid w:val="00632DDD"/>
    <w:rsid w:val="00640D7E"/>
    <w:rsid w:val="006453D8"/>
    <w:rsid w:val="00645C29"/>
    <w:rsid w:val="006469FD"/>
    <w:rsid w:val="006656AF"/>
    <w:rsid w:val="00675668"/>
    <w:rsid w:val="00693B17"/>
    <w:rsid w:val="006A1004"/>
    <w:rsid w:val="006B66E3"/>
    <w:rsid w:val="006D6526"/>
    <w:rsid w:val="007256C2"/>
    <w:rsid w:val="00730187"/>
    <w:rsid w:val="007748AB"/>
    <w:rsid w:val="007B07A0"/>
    <w:rsid w:val="007C78FC"/>
    <w:rsid w:val="00821BD1"/>
    <w:rsid w:val="008528C9"/>
    <w:rsid w:val="00860343"/>
    <w:rsid w:val="008605E8"/>
    <w:rsid w:val="008643B2"/>
    <w:rsid w:val="008667A8"/>
    <w:rsid w:val="0089317C"/>
    <w:rsid w:val="008A5226"/>
    <w:rsid w:val="008F6CC7"/>
    <w:rsid w:val="008F7D83"/>
    <w:rsid w:val="00901EFC"/>
    <w:rsid w:val="00924605"/>
    <w:rsid w:val="00946822"/>
    <w:rsid w:val="00946A1C"/>
    <w:rsid w:val="009D09EC"/>
    <w:rsid w:val="009F7AE0"/>
    <w:rsid w:val="00A43B9F"/>
    <w:rsid w:val="00A615C5"/>
    <w:rsid w:val="00A67E5D"/>
    <w:rsid w:val="00A715F0"/>
    <w:rsid w:val="00AA6408"/>
    <w:rsid w:val="00AF73DB"/>
    <w:rsid w:val="00B02AC1"/>
    <w:rsid w:val="00B355B3"/>
    <w:rsid w:val="00B76D9C"/>
    <w:rsid w:val="00B80F31"/>
    <w:rsid w:val="00B961AA"/>
    <w:rsid w:val="00BD219F"/>
    <w:rsid w:val="00C043D8"/>
    <w:rsid w:val="00C22C08"/>
    <w:rsid w:val="00C23388"/>
    <w:rsid w:val="00C2511B"/>
    <w:rsid w:val="00C454BD"/>
    <w:rsid w:val="00C72942"/>
    <w:rsid w:val="00C80219"/>
    <w:rsid w:val="00CC52BE"/>
    <w:rsid w:val="00CD1326"/>
    <w:rsid w:val="00D32B0D"/>
    <w:rsid w:val="00D87F21"/>
    <w:rsid w:val="00DB464E"/>
    <w:rsid w:val="00DD43EA"/>
    <w:rsid w:val="00DF5D9E"/>
    <w:rsid w:val="00E16F42"/>
    <w:rsid w:val="00E24BEF"/>
    <w:rsid w:val="00E303A1"/>
    <w:rsid w:val="00E34BC1"/>
    <w:rsid w:val="00E46E99"/>
    <w:rsid w:val="00EA0D5A"/>
    <w:rsid w:val="00EA12B9"/>
    <w:rsid w:val="00EB776E"/>
    <w:rsid w:val="00ED2612"/>
    <w:rsid w:val="00EE11D8"/>
    <w:rsid w:val="00EE3277"/>
    <w:rsid w:val="00F2663A"/>
    <w:rsid w:val="00F30FAB"/>
    <w:rsid w:val="00F5563D"/>
    <w:rsid w:val="00FD0D40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9009FC"/>
  <w15:chartTrackingRefBased/>
  <w15:docId w15:val="{E1EEB400-50ED-43EA-B1BC-C61AFCD4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3B1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3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B17"/>
  </w:style>
  <w:style w:type="paragraph" w:styleId="Pidipagina">
    <w:name w:val="footer"/>
    <w:basedOn w:val="Normale"/>
    <w:link w:val="PidipaginaCarattere"/>
    <w:uiPriority w:val="99"/>
    <w:unhideWhenUsed/>
    <w:rsid w:val="00693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B1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1E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1E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1EFC"/>
    <w:rPr>
      <w:vertAlign w:val="superscript"/>
    </w:rPr>
  </w:style>
  <w:style w:type="paragraph" w:styleId="Paragrafoelenco">
    <w:name w:val="List Paragraph"/>
    <w:aliases w:val="Bullet List,numbered,Paragraphe de liste1,Bulletr List Paragraph,FooterText,List Paragraph1,List Paragraph21,List Paragraph11,Parágrafo da Lista1,Párrafo de lista1,リスト段落1,Listeafsnit1,Listenabsatz,リスト段落,Plan,Fo,List Pa,Par¨￠gr,Bullets,リ"/>
    <w:basedOn w:val="Normale"/>
    <w:link w:val="ParagrafoelencoCarattere"/>
    <w:uiPriority w:val="34"/>
    <w:qFormat/>
    <w:rsid w:val="00F2663A"/>
    <w:pPr>
      <w:spacing w:after="0" w:line="240" w:lineRule="auto"/>
      <w:ind w:left="720"/>
      <w:contextualSpacing/>
    </w:pPr>
    <w:rPr>
      <w:rFonts w:eastAsia="MS Mincho"/>
      <w:lang w:val="en-GB"/>
    </w:rPr>
  </w:style>
  <w:style w:type="character" w:customStyle="1" w:styleId="ParagrafoelencoCarattere">
    <w:name w:val="Paragrafo elenco Carattere"/>
    <w:aliases w:val="Bullet List Carattere,numbered Carattere,Paragraphe de liste1 Carattere,Bulletr List Paragraph Carattere,FooterText Carattere,List Paragraph1 Carattere,List Paragraph21 Carattere,List Paragraph11 Carattere,リスト段落1 Carattere"/>
    <w:basedOn w:val="Carpredefinitoparagrafo"/>
    <w:link w:val="Paragrafoelenco"/>
    <w:uiPriority w:val="34"/>
    <w:qFormat/>
    <w:locked/>
    <w:rsid w:val="00F2663A"/>
    <w:rPr>
      <w:rFonts w:eastAsia="MS Mincho"/>
      <w:lang w:val="en-GB"/>
    </w:rPr>
  </w:style>
  <w:style w:type="character" w:styleId="Enfasigrassetto">
    <w:name w:val="Strong"/>
    <w:basedOn w:val="Carpredefinitoparagrafo"/>
    <w:uiPriority w:val="22"/>
    <w:qFormat/>
    <w:rsid w:val="004A4A79"/>
    <w:rPr>
      <w:b/>
      <w:bCs/>
    </w:rPr>
  </w:style>
  <w:style w:type="character" w:customStyle="1" w:styleId="text-blue">
    <w:name w:val="text-blue"/>
    <w:basedOn w:val="Carpredefinitoparagrafo"/>
    <w:rsid w:val="004A4A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3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B46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46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46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46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464E"/>
    <w:rPr>
      <w:b/>
      <w:bCs/>
      <w:sz w:val="20"/>
      <w:szCs w:val="20"/>
    </w:rPr>
  </w:style>
  <w:style w:type="paragraph" w:customStyle="1" w:styleId="Body">
    <w:name w:val="Body"/>
    <w:basedOn w:val="Normale"/>
    <w:rsid w:val="00082F34"/>
    <w:p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i.it" TargetMode="External"/><Relationship Id="rId13" Type="http://schemas.openxmlformats.org/officeDocument/2006/relationships/hyperlink" Target="mailto:a.zambetti@dagcom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entilil@visa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e.desanctis@nexi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witter.com/Visa_I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isaitalia.com/" TargetMode="External"/><Relationship Id="rId14" Type="http://schemas.openxmlformats.org/officeDocument/2006/relationships/hyperlink" Target="mailto:bdincecco@dagcom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67C2-C952-4D86-9306-63BA9C30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Nexi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Abbondanza</dc:creator>
  <cp:keywords/>
  <dc:description/>
  <cp:lastModifiedBy>amarini@DAGCommunicationSrl.onmicrosoft.com</cp:lastModifiedBy>
  <cp:revision>11</cp:revision>
  <dcterms:created xsi:type="dcterms:W3CDTF">2021-02-17T11:47:00Z</dcterms:created>
  <dcterms:modified xsi:type="dcterms:W3CDTF">2021-02-22T10:28:00Z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1610470188</vt:lpwstr>
  </property>
</Properties>
</file>