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0F" w:rsidRPr="00BC2387" w:rsidRDefault="001C4DB3" w:rsidP="003D5DEA">
      <w:pPr>
        <w:rPr>
          <w:rFonts w:ascii="Effra" w:hAnsi="Effra"/>
        </w:rPr>
      </w:pPr>
      <w:bookmarkStart w:id="0" w:name="OLE_LINK3"/>
      <w:bookmarkStart w:id="1" w:name="OLE_LINK4"/>
      <w:r>
        <w:rPr>
          <w:rFonts w:ascii="Effra" w:hAnsi="Effra"/>
          <w:noProof/>
          <w:lang w:val="en-US" w:eastAsia="en-US" w:bidi="ar-SA"/>
        </w:rPr>
        <w:drawing>
          <wp:anchor distT="0" distB="0" distL="114300" distR="114300" simplePos="0" relativeHeight="251657728" behindDoc="0" locked="0" layoutInCell="1" allowOverlap="1">
            <wp:simplePos x="0" y="0"/>
            <wp:positionH relativeFrom="column">
              <wp:posOffset>0</wp:posOffset>
            </wp:positionH>
            <wp:positionV relativeFrom="paragraph">
              <wp:posOffset>-155575</wp:posOffset>
            </wp:positionV>
            <wp:extent cx="2914650" cy="478155"/>
            <wp:effectExtent l="0" t="0" r="0" b="0"/>
            <wp:wrapNone/>
            <wp:docPr id="7" name="Picture 7"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rgb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4781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C73C0F" w:rsidRPr="00BC2387" w:rsidRDefault="00C73C0F" w:rsidP="00C73C0F">
      <w:pPr>
        <w:jc w:val="right"/>
        <w:rPr>
          <w:rFonts w:ascii="Effra" w:hAnsi="Effra"/>
          <w:bCs/>
          <w:color w:val="006699"/>
        </w:rPr>
      </w:pPr>
    </w:p>
    <w:p w:rsidR="003D5DEA" w:rsidRPr="00BC2387" w:rsidRDefault="003D5DEA" w:rsidP="00C73C0F">
      <w:pPr>
        <w:jc w:val="right"/>
        <w:rPr>
          <w:rFonts w:ascii="Effra" w:hAnsi="Effra"/>
          <w:bCs/>
          <w:iCs/>
          <w:u w:val="single"/>
        </w:rPr>
      </w:pPr>
      <w:r>
        <w:rPr>
          <w:rFonts w:ascii="Effra" w:hAnsi="Effra"/>
          <w:color w:val="006699"/>
        </w:rPr>
        <w:t>PRESSEMEDDELELSE</w:t>
      </w:r>
    </w:p>
    <w:bookmarkEnd w:id="0"/>
    <w:bookmarkEnd w:id="1"/>
    <w:p w:rsidR="003D5DEA" w:rsidRPr="00BC2387" w:rsidRDefault="003D5DEA" w:rsidP="001C4DB3">
      <w:pPr>
        <w:tabs>
          <w:tab w:val="left" w:pos="4320"/>
          <w:tab w:val="left" w:pos="7200"/>
        </w:tabs>
        <w:jc w:val="right"/>
        <w:rPr>
          <w:rFonts w:ascii="Effra" w:hAnsi="Effra"/>
          <w:szCs w:val="24"/>
          <w:u w:val="single"/>
        </w:rPr>
      </w:pPr>
      <w:r>
        <w:tab/>
      </w:r>
      <w:r>
        <w:tab/>
      </w:r>
      <w:r>
        <w:tab/>
      </w:r>
      <w:r>
        <w:tab/>
      </w:r>
      <w:r>
        <w:tab/>
      </w:r>
      <w:r>
        <w:rPr>
          <w:rFonts w:ascii="Effra" w:hAnsi="Effra"/>
          <w:u w:val="single"/>
        </w:rPr>
        <w:t>Kontaktperson:</w:t>
      </w:r>
    </w:p>
    <w:p w:rsidR="003D5DEA" w:rsidRDefault="003D5DEA" w:rsidP="001C4DB3">
      <w:pPr>
        <w:tabs>
          <w:tab w:val="left" w:pos="4320"/>
          <w:tab w:val="left" w:pos="7200"/>
        </w:tabs>
        <w:jc w:val="right"/>
        <w:rPr>
          <w:rFonts w:ascii="Effra" w:hAnsi="Effra"/>
          <w:szCs w:val="24"/>
        </w:rPr>
      </w:pPr>
      <w:r>
        <w:tab/>
      </w:r>
      <w:r>
        <w:tab/>
      </w:r>
      <w:r>
        <w:tab/>
      </w:r>
      <w:r>
        <w:tab/>
      </w:r>
      <w:r>
        <w:tab/>
      </w:r>
      <w:r>
        <w:tab/>
      </w:r>
      <w:r>
        <w:rPr>
          <w:rFonts w:ascii="Effra" w:hAnsi="Effra"/>
        </w:rPr>
        <w:t>Marianne Reedtz Sparrevohn</w:t>
      </w:r>
    </w:p>
    <w:p w:rsidR="001C4DB3" w:rsidRDefault="001C4DB3" w:rsidP="001C4DB3">
      <w:pPr>
        <w:tabs>
          <w:tab w:val="left" w:pos="4320"/>
          <w:tab w:val="left" w:pos="7200"/>
        </w:tabs>
        <w:jc w:val="right"/>
        <w:rPr>
          <w:rFonts w:ascii="Effra" w:hAnsi="Effra"/>
          <w:szCs w:val="24"/>
        </w:rPr>
      </w:pPr>
      <w:r>
        <w:rPr>
          <w:rFonts w:ascii="Effra" w:hAnsi="Effra"/>
        </w:rPr>
        <w:t>Public Relations</w:t>
      </w:r>
    </w:p>
    <w:p w:rsidR="001C4DB3" w:rsidRPr="00BC2387" w:rsidRDefault="001C4DB3" w:rsidP="001C4DB3">
      <w:pPr>
        <w:tabs>
          <w:tab w:val="left" w:pos="4320"/>
          <w:tab w:val="left" w:pos="7200"/>
        </w:tabs>
        <w:jc w:val="right"/>
        <w:rPr>
          <w:rFonts w:ascii="Effra" w:hAnsi="Effra"/>
          <w:szCs w:val="24"/>
        </w:rPr>
      </w:pPr>
      <w:proofErr w:type="gramStart"/>
      <w:r>
        <w:rPr>
          <w:rFonts w:ascii="Effra" w:hAnsi="Effra"/>
        </w:rPr>
        <w:t>+45 51990833</w:t>
      </w:r>
      <w:proofErr w:type="gramEnd"/>
    </w:p>
    <w:p w:rsidR="003D5DEA" w:rsidRPr="00BC2387" w:rsidRDefault="003D5DEA" w:rsidP="003D5DEA">
      <w:pPr>
        <w:rPr>
          <w:rFonts w:ascii="Effra" w:hAnsi="Effra"/>
          <w:szCs w:val="24"/>
        </w:rPr>
      </w:pPr>
    </w:p>
    <w:p w:rsidR="003D5DEA" w:rsidRPr="00BC2387" w:rsidRDefault="003D5DEA" w:rsidP="003D5DEA">
      <w:pPr>
        <w:autoSpaceDE w:val="0"/>
        <w:autoSpaceDN w:val="0"/>
        <w:adjustRightInd w:val="0"/>
        <w:rPr>
          <w:rFonts w:ascii="Effra" w:hAnsi="Effra"/>
          <w:b/>
          <w:bCs/>
        </w:rPr>
      </w:pPr>
    </w:p>
    <w:p w:rsidR="003C4B70" w:rsidRDefault="00BA3131" w:rsidP="003D5DEA">
      <w:pPr>
        <w:autoSpaceDE w:val="0"/>
        <w:autoSpaceDN w:val="0"/>
        <w:adjustRightInd w:val="0"/>
        <w:jc w:val="center"/>
        <w:rPr>
          <w:rFonts w:ascii="Effra" w:hAnsi="Effra"/>
          <w:b/>
          <w:caps/>
        </w:rPr>
      </w:pPr>
      <w:r>
        <w:rPr>
          <w:rFonts w:ascii="Effra" w:hAnsi="Effra"/>
          <w:b/>
        </w:rPr>
        <w:t xml:space="preserve">Nye data viser fordele ved Medtronics insulinpumper </w:t>
      </w:r>
    </w:p>
    <w:p w:rsidR="003D5DEA" w:rsidRPr="00BC2387" w:rsidRDefault="00BA3131" w:rsidP="003D5DEA">
      <w:pPr>
        <w:autoSpaceDE w:val="0"/>
        <w:autoSpaceDN w:val="0"/>
        <w:adjustRightInd w:val="0"/>
        <w:jc w:val="center"/>
        <w:rPr>
          <w:rFonts w:ascii="Effra" w:hAnsi="Effra"/>
          <w:b/>
          <w:bCs/>
          <w:caps/>
        </w:rPr>
      </w:pPr>
      <w:r>
        <w:rPr>
          <w:rFonts w:ascii="Effra" w:hAnsi="Effra"/>
          <w:b/>
        </w:rPr>
        <w:t>for patienter med type 2-diabetes</w:t>
      </w:r>
    </w:p>
    <w:p w:rsidR="00781D08" w:rsidRPr="00BC2387" w:rsidRDefault="00781D08" w:rsidP="00781D08">
      <w:pPr>
        <w:autoSpaceDE w:val="0"/>
        <w:autoSpaceDN w:val="0"/>
        <w:adjustRightInd w:val="0"/>
        <w:rPr>
          <w:rFonts w:ascii="Effra" w:hAnsi="Effra"/>
          <w:bCs/>
          <w:caps/>
        </w:rPr>
      </w:pPr>
    </w:p>
    <w:p w:rsidR="00781D08" w:rsidRPr="00FC6AE9" w:rsidRDefault="000C15EE" w:rsidP="00781D08">
      <w:pPr>
        <w:autoSpaceDE w:val="0"/>
        <w:autoSpaceDN w:val="0"/>
        <w:adjustRightInd w:val="0"/>
        <w:jc w:val="center"/>
        <w:rPr>
          <w:rFonts w:ascii="Effra" w:hAnsi="Effra"/>
          <w:bCs/>
          <w:i/>
        </w:rPr>
      </w:pPr>
      <w:r>
        <w:rPr>
          <w:rFonts w:ascii="Effra" w:hAnsi="Effra"/>
          <w:i/>
        </w:rPr>
        <w:t>Forsøg viser, at insulinpumper gav signifikante, vedvarende og reproducerbare forbedringer af glukosekontrol på en sikker måde sammenlignet med flere daglige</w:t>
      </w:r>
      <w:r w:rsidR="00D87052">
        <w:rPr>
          <w:rFonts w:ascii="Effra" w:hAnsi="Effra"/>
          <w:i/>
        </w:rPr>
        <w:t> </w:t>
      </w:r>
      <w:r>
        <w:rPr>
          <w:rFonts w:ascii="Effra" w:hAnsi="Effra"/>
          <w:i/>
        </w:rPr>
        <w:t>injektioner</w:t>
      </w:r>
    </w:p>
    <w:p w:rsidR="003D5DEA" w:rsidRPr="00BC2387" w:rsidRDefault="003D5DEA" w:rsidP="003D5DEA">
      <w:pPr>
        <w:autoSpaceDE w:val="0"/>
        <w:autoSpaceDN w:val="0"/>
        <w:adjustRightInd w:val="0"/>
        <w:jc w:val="center"/>
        <w:rPr>
          <w:rFonts w:ascii="Effra" w:hAnsi="Effra"/>
          <w:bCs/>
          <w:iCs/>
        </w:rPr>
      </w:pPr>
    </w:p>
    <w:p w:rsidR="000C15EE" w:rsidRPr="000C15EE" w:rsidRDefault="00A4197A" w:rsidP="000C15EE">
      <w:pPr>
        <w:autoSpaceDE w:val="0"/>
        <w:autoSpaceDN w:val="0"/>
        <w:adjustRightInd w:val="0"/>
        <w:spacing w:line="360" w:lineRule="auto"/>
        <w:rPr>
          <w:rFonts w:ascii="Effra" w:hAnsi="Effra"/>
          <w:color w:val="000000"/>
        </w:rPr>
      </w:pPr>
      <w:r>
        <w:rPr>
          <w:rFonts w:ascii="Effra" w:hAnsi="Effra"/>
          <w:b/>
          <w:color w:val="000000"/>
        </w:rPr>
        <w:t xml:space="preserve">DUBLIN – </w:t>
      </w:r>
      <w:r w:rsidR="003C4B70">
        <w:rPr>
          <w:rFonts w:ascii="Effra" w:hAnsi="Effra"/>
          <w:b/>
          <w:color w:val="000000"/>
        </w:rPr>
        <w:t>13. april 2016</w:t>
      </w:r>
      <w:r>
        <w:rPr>
          <w:rFonts w:ascii="Effra" w:hAnsi="Effra"/>
          <w:b/>
          <w:color w:val="000000"/>
        </w:rPr>
        <w:t xml:space="preserve"> –</w:t>
      </w:r>
      <w:r>
        <w:rPr>
          <w:rFonts w:ascii="Effra" w:hAnsi="Effra"/>
          <w:color w:val="000000"/>
        </w:rPr>
        <w:t xml:space="preserve"> </w:t>
      </w:r>
      <w:hyperlink r:id="rId9">
        <w:r>
          <w:rPr>
            <w:rStyle w:val="Hyperlink"/>
            <w:rFonts w:ascii="Effra" w:hAnsi="Effra"/>
          </w:rPr>
          <w:t xml:space="preserve">Medtronic </w:t>
        </w:r>
        <w:proofErr w:type="spellStart"/>
        <w:r>
          <w:rPr>
            <w:rStyle w:val="Hyperlink"/>
            <w:rFonts w:ascii="Effra" w:hAnsi="Effra"/>
          </w:rPr>
          <w:t>plc</w:t>
        </w:r>
        <w:proofErr w:type="spellEnd"/>
      </w:hyperlink>
      <w:r>
        <w:rPr>
          <w:rFonts w:ascii="Effra" w:hAnsi="Effra"/>
          <w:color w:val="000000"/>
        </w:rPr>
        <w:t xml:space="preserve"> (NYSE:MDT), verdens førende virksomhed inden for </w:t>
      </w:r>
      <w:proofErr w:type="spellStart"/>
      <w:r>
        <w:rPr>
          <w:rFonts w:ascii="Effra" w:hAnsi="Effra"/>
          <w:color w:val="000000"/>
        </w:rPr>
        <w:t>medi</w:t>
      </w:r>
      <w:r w:rsidR="003C4B70">
        <w:rPr>
          <w:rFonts w:ascii="Effra" w:hAnsi="Effra"/>
          <w:color w:val="000000"/>
        </w:rPr>
        <w:t>k</w:t>
      </w:r>
      <w:r>
        <w:rPr>
          <w:rFonts w:ascii="Effra" w:hAnsi="Effra"/>
          <w:color w:val="000000"/>
        </w:rPr>
        <w:t>oteknologi</w:t>
      </w:r>
      <w:proofErr w:type="spellEnd"/>
      <w:r>
        <w:rPr>
          <w:rFonts w:ascii="Effra" w:hAnsi="Effra"/>
          <w:color w:val="000000"/>
        </w:rPr>
        <w:t xml:space="preserve"> bekendtgjorde i dag offentliggørelsen af nye data i </w:t>
      </w:r>
      <w:r>
        <w:rPr>
          <w:rFonts w:ascii="Effra" w:hAnsi="Effra"/>
          <w:i/>
          <w:color w:val="000000"/>
        </w:rPr>
        <w:t xml:space="preserve">Diabetes, </w:t>
      </w:r>
      <w:proofErr w:type="spellStart"/>
      <w:r>
        <w:rPr>
          <w:rFonts w:ascii="Effra" w:hAnsi="Effra"/>
          <w:i/>
          <w:color w:val="000000"/>
        </w:rPr>
        <w:t>Obesity</w:t>
      </w:r>
      <w:proofErr w:type="spellEnd"/>
      <w:r>
        <w:rPr>
          <w:rFonts w:ascii="Effra" w:hAnsi="Effra"/>
          <w:i/>
          <w:color w:val="000000"/>
        </w:rPr>
        <w:t xml:space="preserve"> and </w:t>
      </w:r>
      <w:proofErr w:type="spellStart"/>
      <w:r>
        <w:rPr>
          <w:rFonts w:ascii="Effra" w:hAnsi="Effra"/>
          <w:i/>
          <w:color w:val="000000"/>
        </w:rPr>
        <w:t>Metabolism</w:t>
      </w:r>
      <w:proofErr w:type="spellEnd"/>
      <w:r>
        <w:rPr>
          <w:rFonts w:ascii="Effra" w:hAnsi="Effra"/>
          <w:color w:val="000000"/>
        </w:rPr>
        <w:t xml:space="preserve"> fra forlængelsesfasen af OpT2mise-forsøget, som giver yderligere klinisk evidens til støtte for insulinpumper til patienter med in</w:t>
      </w:r>
      <w:r w:rsidR="0083288F">
        <w:rPr>
          <w:rFonts w:ascii="Effra" w:hAnsi="Effra"/>
          <w:color w:val="000000"/>
        </w:rPr>
        <w:t xml:space="preserve">sulinkrævende type </w:t>
      </w:r>
      <w:r w:rsidR="00F37E84">
        <w:rPr>
          <w:rFonts w:ascii="Effra" w:hAnsi="Effra"/>
          <w:color w:val="000000"/>
        </w:rPr>
        <w:br/>
      </w:r>
      <w:r w:rsidR="0083288F">
        <w:rPr>
          <w:rFonts w:ascii="Effra" w:hAnsi="Effra"/>
          <w:color w:val="000000"/>
        </w:rPr>
        <w:t xml:space="preserve">2-diabetes. </w:t>
      </w:r>
      <w:r>
        <w:rPr>
          <w:rFonts w:ascii="Effra" w:hAnsi="Effra"/>
          <w:color w:val="000000"/>
        </w:rPr>
        <w:t xml:space="preserve">OpT2mise-forsøget er det største </w:t>
      </w:r>
      <w:proofErr w:type="spellStart"/>
      <w:r>
        <w:rPr>
          <w:rFonts w:ascii="Effra" w:hAnsi="Effra"/>
          <w:color w:val="000000"/>
        </w:rPr>
        <w:t>randomiserede</w:t>
      </w:r>
      <w:proofErr w:type="spellEnd"/>
      <w:r>
        <w:rPr>
          <w:rFonts w:ascii="Effra" w:hAnsi="Effra"/>
          <w:color w:val="000000"/>
        </w:rPr>
        <w:t xml:space="preserve"> kontrollerede forsøg til sammenligning af effekten af og sikkerheden ved behandling med insulinpumpe kontra flere daglige injektioner (MDI) til patienter med dårligt kontrolleret type 2-diabetes. </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Resultaterne af forsøget viste, at </w:t>
      </w:r>
      <w:proofErr w:type="spellStart"/>
      <w:r>
        <w:rPr>
          <w:rFonts w:ascii="Effra" w:hAnsi="Effra"/>
          <w:color w:val="000000"/>
        </w:rPr>
        <w:t>MiniMed</w:t>
      </w:r>
      <w:proofErr w:type="spellEnd"/>
      <w:r>
        <w:rPr>
          <w:rFonts w:ascii="Lucida Grande" w:hAnsi="Lucida Grande"/>
          <w:b/>
          <w:color w:val="000000"/>
          <w:vertAlign w:val="superscript"/>
        </w:rPr>
        <w:t>®</w:t>
      </w:r>
      <w:r>
        <w:rPr>
          <w:rFonts w:ascii="Effra" w:hAnsi="Effra"/>
          <w:color w:val="000000"/>
        </w:rPr>
        <w:t xml:space="preserve">-insulinpumper gav signifikante, vedvarende og reproducerbare forbedringer i glukosekontrol på en sikker måde sammenlignet med MDI. Efter 12 måneder havde den gruppe, som skiftede over til </w:t>
      </w:r>
      <w:proofErr w:type="spellStart"/>
      <w:r>
        <w:rPr>
          <w:rFonts w:ascii="Effra" w:hAnsi="Effra"/>
          <w:color w:val="000000"/>
        </w:rPr>
        <w:t>MiniMed</w:t>
      </w:r>
      <w:proofErr w:type="spellEnd"/>
      <w:r>
        <w:rPr>
          <w:rFonts w:ascii="Effra" w:hAnsi="Effra"/>
          <w:color w:val="000000"/>
        </w:rPr>
        <w:t>-insulinpumper ef</w:t>
      </w:r>
      <w:r w:rsidR="003C4B70">
        <w:rPr>
          <w:rFonts w:ascii="Effra" w:hAnsi="Effra"/>
          <w:color w:val="000000"/>
        </w:rPr>
        <w:t>ter de første 6 måneder med MDI</w:t>
      </w:r>
      <w:r w:rsidR="002A32B9">
        <w:rPr>
          <w:rFonts w:ascii="Effra" w:hAnsi="Effra"/>
          <w:color w:val="000000"/>
        </w:rPr>
        <w:t xml:space="preserve">, forbedret deres A1C med en reduktion fra 0,4 % til 0,8 %, </w:t>
      </w:r>
      <w:bookmarkStart w:id="2" w:name="_GoBack"/>
      <w:bookmarkEnd w:id="2"/>
      <w:r>
        <w:rPr>
          <w:rFonts w:ascii="Effra" w:hAnsi="Effra"/>
          <w:color w:val="000000"/>
        </w:rPr>
        <w:t>og de brugte 19 % mindre insulin.</w:t>
      </w:r>
      <w:r w:rsidR="003C4B70">
        <w:rPr>
          <w:rFonts w:ascii="Effra" w:hAnsi="Effra"/>
          <w:color w:val="000000"/>
        </w:rPr>
        <w:t xml:space="preserve"> </w:t>
      </w:r>
      <w:r w:rsidR="003C4B70" w:rsidRPr="002A32B9">
        <w:rPr>
          <w:rFonts w:ascii="Effra" w:hAnsi="Effra"/>
          <w:color w:val="000000"/>
        </w:rPr>
        <w:t>(</w:t>
      </w:r>
      <w:r w:rsidR="003C4B70" w:rsidRPr="002A32B9">
        <w:rPr>
          <w:rFonts w:ascii="Effra" w:hAnsi="Effra"/>
          <w:color w:val="000000"/>
        </w:rPr>
        <w:t xml:space="preserve">A1C er </w:t>
      </w:r>
      <w:r w:rsidR="003C4B70" w:rsidRPr="002A32B9">
        <w:rPr>
          <w:rFonts w:ascii="Effra" w:hAnsi="Effra"/>
          <w:color w:val="000000"/>
        </w:rPr>
        <w:t>en blodmåling til angivelse af glukosekontrol)</w:t>
      </w:r>
      <w:r w:rsidR="005D37EF" w:rsidRPr="002A32B9">
        <w:rPr>
          <w:rFonts w:ascii="Effra" w:hAnsi="Effra"/>
          <w:color w:val="000000"/>
        </w:rPr>
        <w:t>.</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“Forlængelsesfasen af OpT2mise bygger på resultaterne af den indledende forsøgsperiode, som viste, at insulinpumper hjalp deltagere med insulinkrævende type 2-diabetes med at opnå glukosekontrol på en sikker måde med lavere insulindoser end ved MDI,” sagde Ronnie </w:t>
      </w:r>
      <w:proofErr w:type="spellStart"/>
      <w:r>
        <w:rPr>
          <w:rFonts w:ascii="Effra" w:hAnsi="Effra"/>
          <w:color w:val="000000"/>
        </w:rPr>
        <w:t>Aronson</w:t>
      </w:r>
      <w:proofErr w:type="spellEnd"/>
      <w:r>
        <w:rPr>
          <w:rFonts w:ascii="Effra" w:hAnsi="Effra"/>
          <w:color w:val="000000"/>
        </w:rPr>
        <w:t xml:space="preserve"> MD, FRCPC, FACE, hovedforfatter af forlængelsesfasen af </w:t>
      </w:r>
      <w:r>
        <w:rPr>
          <w:rFonts w:ascii="Effra" w:hAnsi="Effra"/>
          <w:color w:val="000000"/>
        </w:rPr>
        <w:lastRenderedPageBreak/>
        <w:t xml:space="preserve">forsøget og </w:t>
      </w:r>
      <w:proofErr w:type="spellStart"/>
      <w:r>
        <w:rPr>
          <w:rFonts w:ascii="Effra" w:hAnsi="Effra"/>
          <w:color w:val="000000"/>
        </w:rPr>
        <w:t>executive</w:t>
      </w:r>
      <w:proofErr w:type="spellEnd"/>
      <w:r>
        <w:rPr>
          <w:rFonts w:ascii="Effra" w:hAnsi="Effra"/>
          <w:color w:val="000000"/>
        </w:rPr>
        <w:t xml:space="preserve"> </w:t>
      </w:r>
      <w:proofErr w:type="spellStart"/>
      <w:r>
        <w:rPr>
          <w:rFonts w:ascii="Effra" w:hAnsi="Effra"/>
          <w:color w:val="000000"/>
        </w:rPr>
        <w:t>director</w:t>
      </w:r>
      <w:proofErr w:type="spellEnd"/>
      <w:r>
        <w:rPr>
          <w:rFonts w:ascii="Effra" w:hAnsi="Effra"/>
          <w:color w:val="000000"/>
        </w:rPr>
        <w:t xml:space="preserve"> hos LMC Diabetes &amp; </w:t>
      </w:r>
      <w:proofErr w:type="spellStart"/>
      <w:r>
        <w:rPr>
          <w:rFonts w:ascii="Effra" w:hAnsi="Effra"/>
          <w:color w:val="000000"/>
        </w:rPr>
        <w:t>Endocrinology</w:t>
      </w:r>
      <w:proofErr w:type="spellEnd"/>
      <w:r>
        <w:rPr>
          <w:rFonts w:ascii="Effra" w:hAnsi="Effra"/>
          <w:color w:val="000000"/>
        </w:rPr>
        <w:t xml:space="preserve"> i Toronto, </w:t>
      </w:r>
      <w:proofErr w:type="spellStart"/>
      <w:r>
        <w:rPr>
          <w:rFonts w:ascii="Effra" w:hAnsi="Effra"/>
          <w:color w:val="000000"/>
        </w:rPr>
        <w:t>Ontario</w:t>
      </w:r>
      <w:proofErr w:type="spellEnd"/>
      <w:r>
        <w:rPr>
          <w:rFonts w:ascii="Effra" w:hAnsi="Effra"/>
          <w:color w:val="000000"/>
        </w:rPr>
        <w:t xml:space="preserve">, Canada. “Vi fandt, at deltagere, som skiftede fra MDI til insulinpumper, var i stand til at opnå de samme resultater efter 12 måneder. Med baggrund i at mange patienter med type 2-diabetes har problemer med at opnå </w:t>
      </w:r>
      <w:proofErr w:type="spellStart"/>
      <w:r>
        <w:rPr>
          <w:rFonts w:ascii="Effra" w:hAnsi="Effra"/>
          <w:color w:val="000000"/>
        </w:rPr>
        <w:t>glykæmisk</w:t>
      </w:r>
      <w:proofErr w:type="spellEnd"/>
      <w:r>
        <w:rPr>
          <w:rFonts w:ascii="Effra" w:hAnsi="Effra"/>
          <w:color w:val="000000"/>
        </w:rPr>
        <w:t xml:space="preserve"> kontrol, viser disse yderligere data, at insulinpumper indebærer en signifikant fordel i forhold til MDI med en sikker og stabil effekt.”</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For personer med diabetes er glukosekontrol nøglen til at forhindre både kortsigtede og langsigtede komplikationer</w:t>
      </w:r>
      <w:r w:rsidRPr="003C4B70">
        <w:rPr>
          <w:rFonts w:ascii="Effra" w:hAnsi="Effra"/>
          <w:color w:val="000000"/>
        </w:rPr>
        <w:t xml:space="preserve">. En reduktion på 1 % i A1C er forbundet med et fald i risikoen for langsigtede komplikationer som f.eks. apopleksi, hjertesygdom, øjenskade og nyresygdom på 40 %. </w:t>
      </w:r>
      <w:r w:rsidRPr="003C4B70">
        <w:rPr>
          <w:rFonts w:ascii="Effra" w:hAnsi="Effra"/>
          <w:color w:val="000000"/>
          <w:vertAlign w:val="superscript"/>
        </w:rPr>
        <w:endnoteReference w:id="1"/>
      </w:r>
      <w:r w:rsidRPr="003C4B70">
        <w:rPr>
          <w:rFonts w:ascii="Effra" w:hAnsi="Effra"/>
          <w:color w:val="000000"/>
          <w:vertAlign w:val="superscript"/>
        </w:rPr>
        <w:t>,</w:t>
      </w:r>
      <w:r w:rsidRPr="003C4B70">
        <w:rPr>
          <w:rFonts w:ascii="Effra" w:hAnsi="Effra"/>
          <w:color w:val="000000"/>
          <w:vertAlign w:val="superscript"/>
        </w:rPr>
        <w:endnoteReference w:id="2"/>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De første resultater fra OpT2mise viste, at efter 6 måneder opnåede patienter med insulinkrævende type 2-diabetes, som brugte </w:t>
      </w:r>
      <w:proofErr w:type="spellStart"/>
      <w:r>
        <w:rPr>
          <w:rFonts w:ascii="Effra" w:hAnsi="Effra"/>
          <w:color w:val="000000"/>
        </w:rPr>
        <w:t>MiniMed</w:t>
      </w:r>
      <w:proofErr w:type="spellEnd"/>
      <w:r>
        <w:rPr>
          <w:rFonts w:ascii="Effra" w:hAnsi="Effra"/>
          <w:color w:val="000000"/>
        </w:rPr>
        <w:t>-insulinpumper, bedre glukosekontrol end dem, der brugte MDI. Resultaterne efter 1 år omfatter:</w:t>
      </w:r>
    </w:p>
    <w:p w:rsidR="000C15EE" w:rsidRPr="00724D66" w:rsidRDefault="000C15EE" w:rsidP="000C15EE">
      <w:pPr>
        <w:numPr>
          <w:ilvl w:val="0"/>
          <w:numId w:val="2"/>
        </w:numPr>
        <w:autoSpaceDE w:val="0"/>
        <w:autoSpaceDN w:val="0"/>
        <w:adjustRightInd w:val="0"/>
        <w:spacing w:line="360" w:lineRule="auto"/>
        <w:rPr>
          <w:rFonts w:ascii="Effra" w:hAnsi="Effra"/>
          <w:color w:val="000000"/>
          <w:spacing w:val="-4"/>
        </w:rPr>
      </w:pPr>
      <w:r w:rsidRPr="00724D66">
        <w:rPr>
          <w:rFonts w:ascii="Effra" w:hAnsi="Effra"/>
          <w:color w:val="000000"/>
          <w:spacing w:val="-4"/>
        </w:rPr>
        <w:t xml:space="preserve">Signifikant forbedring af glukosekontrol for alle patienter. Patienter, som fik MDI i de første 6 måneder af forsøget, kunne opnå en yderligere A1C-reduktion på 0,8 % (p&lt;0,0001) efter skift til behandling med insulinpumpe; begge grupper opnåede en reduktion på 1,2 % i A1C efter 12 måneder sammenlignet med baseline. </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t>Den kliniske fordel ved brug af insulinpumpe var reproducerbar. MDI-gruppen, som skiftede til behandling med insulinpumpe efter 6 måneder, oplevede en lignende reduktion i A1C som den, der blev set i den oprindelige insulinpumpegruppe. Ved afslutningen af forlængelsesfasen viste deltagere, som skiftede fra MDI til insulinpumpe, derudover en reduktion på 19,0 % i den totale daglige insulindosis, hvilket gjorde den ens i begge behandlingsgrupper.</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t>Glukosekontrol med insulinpumpebehandling blev opretholdt i 12 måneder. Den oprindelige pumpegruppe viste en yderligere reduktion på 0,1 % i A1C og opnåede en endelig 12-måneders værdi på 7,8 %. Der var ingen forskel mellem grupper i forhold til vægtøgning.</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lastRenderedPageBreak/>
        <w:t xml:space="preserve">“Hos Medtronic Diabetes ser vi på, hvordan vi kan give større frihed og skabe bedre sundhed hos alle med diabetes, også dem med type 2,” sagde Francine R. </w:t>
      </w:r>
      <w:proofErr w:type="spellStart"/>
      <w:r>
        <w:rPr>
          <w:rFonts w:ascii="Effra" w:hAnsi="Effra"/>
          <w:color w:val="000000"/>
        </w:rPr>
        <w:t>Kaufman</w:t>
      </w:r>
      <w:proofErr w:type="spellEnd"/>
      <w:r>
        <w:rPr>
          <w:rFonts w:ascii="Effra" w:hAnsi="Effra"/>
          <w:color w:val="000000"/>
        </w:rPr>
        <w:t xml:space="preserve">, M.D., </w:t>
      </w:r>
      <w:proofErr w:type="spellStart"/>
      <w:r>
        <w:rPr>
          <w:rFonts w:ascii="Effra" w:hAnsi="Effra"/>
          <w:color w:val="000000"/>
        </w:rPr>
        <w:t>chief</w:t>
      </w:r>
      <w:proofErr w:type="spellEnd"/>
      <w:r>
        <w:rPr>
          <w:rFonts w:ascii="Effra" w:hAnsi="Effra"/>
          <w:color w:val="000000"/>
        </w:rPr>
        <w:t xml:space="preserve"> </w:t>
      </w:r>
      <w:proofErr w:type="spellStart"/>
      <w:r>
        <w:rPr>
          <w:rFonts w:ascii="Effra" w:hAnsi="Effra"/>
          <w:color w:val="000000"/>
        </w:rPr>
        <w:t>medical</w:t>
      </w:r>
      <w:proofErr w:type="spellEnd"/>
      <w:r>
        <w:rPr>
          <w:rFonts w:ascii="Effra" w:hAnsi="Effra"/>
          <w:color w:val="000000"/>
        </w:rPr>
        <w:t xml:space="preserve"> officer og vice </w:t>
      </w:r>
      <w:proofErr w:type="spellStart"/>
      <w:r>
        <w:rPr>
          <w:rFonts w:ascii="Effra" w:hAnsi="Effra"/>
          <w:color w:val="000000"/>
        </w:rPr>
        <w:t>president</w:t>
      </w:r>
      <w:proofErr w:type="spellEnd"/>
      <w:r>
        <w:rPr>
          <w:rFonts w:ascii="Effra" w:hAnsi="Effra"/>
          <w:color w:val="000000"/>
        </w:rPr>
        <w:t xml:space="preserve"> for det globale, kliniske og medicinske område hos Medtronic Diabetes. “Resultaterne af OpT2mise-forsøget, som er det største forsøg af sin art, vil hjælpe os med at øge adgangen til insulinpumpebehandling som standardbehandling til det voksende antal patienter med insulinkrævende type 2-diabetes, så de kan få bedre kliniske udfald.”</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b/>
          <w:color w:val="000000"/>
        </w:rPr>
      </w:pPr>
      <w:r>
        <w:rPr>
          <w:rFonts w:ascii="Effra" w:hAnsi="Effra"/>
          <w:b/>
          <w:color w:val="000000"/>
        </w:rPr>
        <w:t>Om OpT2mise</w:t>
      </w: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Det </w:t>
      </w:r>
      <w:proofErr w:type="spellStart"/>
      <w:r>
        <w:rPr>
          <w:rFonts w:ascii="Effra" w:hAnsi="Effra"/>
          <w:color w:val="000000"/>
        </w:rPr>
        <w:t>randomiserede</w:t>
      </w:r>
      <w:proofErr w:type="spellEnd"/>
      <w:r>
        <w:rPr>
          <w:rFonts w:ascii="Effra" w:hAnsi="Effra"/>
          <w:color w:val="000000"/>
        </w:rPr>
        <w:t xml:space="preserve">, kontrollerede OpT2mise-forsøg var sponseret af Medtronic og blev udført med deltagelse af 331 patienter i alderen 30 til 75 år. De første 6-måneders forsøgsresultater, hvor </w:t>
      </w:r>
      <w:proofErr w:type="spellStart"/>
      <w:r>
        <w:rPr>
          <w:rFonts w:ascii="Effra" w:hAnsi="Effra"/>
          <w:color w:val="000000"/>
        </w:rPr>
        <w:t>MiniMed</w:t>
      </w:r>
      <w:proofErr w:type="spellEnd"/>
      <w:r>
        <w:rPr>
          <w:rFonts w:ascii="Effra" w:hAnsi="Effra"/>
          <w:color w:val="000000"/>
        </w:rPr>
        <w:t xml:space="preserve">-insulinpumpebehandling blev sammenlignet med MDI, blev publiceret i </w:t>
      </w:r>
      <w:r>
        <w:rPr>
          <w:rFonts w:ascii="Effra" w:hAnsi="Effra"/>
          <w:i/>
          <w:color w:val="000000"/>
        </w:rPr>
        <w:t>The Lancet</w:t>
      </w:r>
      <w:r>
        <w:rPr>
          <w:rFonts w:ascii="Effra" w:hAnsi="Effra"/>
          <w:color w:val="000000"/>
        </w:rPr>
        <w:t xml:space="preserve"> i juli 2014. I forsøgets 6-måneders forlængelsesfase blev MDI-gruppen skiftet over til behandling med </w:t>
      </w:r>
      <w:proofErr w:type="spellStart"/>
      <w:r>
        <w:rPr>
          <w:rFonts w:ascii="Effra" w:hAnsi="Effra"/>
          <w:color w:val="000000"/>
        </w:rPr>
        <w:t>MiniMed</w:t>
      </w:r>
      <w:proofErr w:type="spellEnd"/>
      <w:r>
        <w:rPr>
          <w:rFonts w:ascii="Effra" w:hAnsi="Effra"/>
          <w:color w:val="000000"/>
        </w:rPr>
        <w:t xml:space="preserve">-pumpen, og opfølgningen for begge grupper fortsatte, så forsøgsperioden var på i alt 12 måneder. </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b/>
          <w:color w:val="000000"/>
        </w:rPr>
        <w:t>Om Diabetes Group hos Medtronic</w:t>
      </w:r>
      <w:r>
        <w:rPr>
          <w:rFonts w:ascii="Effra" w:hAnsi="Effra"/>
          <w:color w:val="000000"/>
        </w:rPr>
        <w:t xml:space="preserve"> (</w:t>
      </w:r>
      <w:hyperlink r:id="rId10">
        <w:r>
          <w:rPr>
            <w:rStyle w:val="Hyperlink"/>
            <w:rFonts w:ascii="Effra" w:hAnsi="Effra"/>
          </w:rPr>
          <w:t>www.medtronicdiabetes.com</w:t>
        </w:r>
      </w:hyperlink>
      <w:r>
        <w:rPr>
          <w:rFonts w:ascii="Effra" w:hAnsi="Effra"/>
          <w:color w:val="000000"/>
        </w:rPr>
        <w:t>)</w:t>
      </w:r>
    </w:p>
    <w:p w:rsidR="003D5DEA" w:rsidRPr="00BC2387" w:rsidRDefault="000C15EE" w:rsidP="000C15EE">
      <w:pPr>
        <w:autoSpaceDE w:val="0"/>
        <w:autoSpaceDN w:val="0"/>
        <w:adjustRightInd w:val="0"/>
        <w:spacing w:line="360" w:lineRule="auto"/>
        <w:rPr>
          <w:rFonts w:ascii="Effra" w:hAnsi="Effra"/>
          <w:color w:val="000000"/>
        </w:rPr>
      </w:pPr>
      <w:r>
        <w:rPr>
          <w:rFonts w:ascii="Effra" w:hAnsi="Effra"/>
          <w:color w:val="000000"/>
        </w:rPr>
        <w:t>Medtronic samarbejder med det globale samfund for at ændre den måde, hvorpå folk håndterer diabetes. Virksomheden stræber efter at transformere diabetesbehandlingen ved at udvide adgangen, integrere behandlingen og forbedre udfaldene, så personer, der lever med diabetes, kan få større frihed og bedre sundhed.</w:t>
      </w:r>
    </w:p>
    <w:p w:rsidR="003D5DEA" w:rsidRPr="00BC2387" w:rsidRDefault="003D5DEA" w:rsidP="003D5DEA">
      <w:pPr>
        <w:autoSpaceDE w:val="0"/>
        <w:autoSpaceDN w:val="0"/>
        <w:adjustRightInd w:val="0"/>
        <w:spacing w:line="360" w:lineRule="auto"/>
        <w:rPr>
          <w:rFonts w:ascii="Effra" w:hAnsi="Effra"/>
          <w:color w:val="000000"/>
        </w:rPr>
      </w:pPr>
    </w:p>
    <w:p w:rsidR="00781D08" w:rsidRPr="00BC2387" w:rsidRDefault="00C54FE3" w:rsidP="003D5DEA">
      <w:pPr>
        <w:autoSpaceDE w:val="0"/>
        <w:autoSpaceDN w:val="0"/>
        <w:adjustRightInd w:val="0"/>
        <w:spacing w:line="360" w:lineRule="auto"/>
        <w:rPr>
          <w:rFonts w:ascii="Effra" w:hAnsi="Effra"/>
          <w:b/>
          <w:color w:val="000000"/>
          <w:u w:val="single"/>
        </w:rPr>
      </w:pPr>
      <w:r>
        <w:rPr>
          <w:rFonts w:ascii="Effra" w:hAnsi="Effra"/>
          <w:b/>
          <w:color w:val="000000"/>
          <w:u w:val="single"/>
        </w:rPr>
        <w:t>Om Medtronic</w:t>
      </w:r>
    </w:p>
    <w:p w:rsidR="003D5DEA" w:rsidRPr="00657D9E" w:rsidRDefault="003D5DEA" w:rsidP="003D5DEA">
      <w:pPr>
        <w:autoSpaceDE w:val="0"/>
        <w:autoSpaceDN w:val="0"/>
        <w:adjustRightInd w:val="0"/>
        <w:spacing w:line="360" w:lineRule="auto"/>
        <w:rPr>
          <w:rFonts w:ascii="Effra" w:hAnsi="Effra"/>
          <w:color w:val="000000"/>
          <w:spacing w:val="-4"/>
        </w:rPr>
      </w:pPr>
      <w:r w:rsidRPr="00657D9E">
        <w:rPr>
          <w:rFonts w:ascii="Effra" w:hAnsi="Effra"/>
          <w:color w:val="000000"/>
          <w:spacing w:val="-4"/>
        </w:rPr>
        <w:t xml:space="preserve">Medtronic </w:t>
      </w:r>
      <w:proofErr w:type="spellStart"/>
      <w:r w:rsidRPr="00657D9E">
        <w:rPr>
          <w:rFonts w:ascii="Effra" w:hAnsi="Effra"/>
          <w:color w:val="000000"/>
          <w:spacing w:val="-4"/>
        </w:rPr>
        <w:t>plc</w:t>
      </w:r>
      <w:proofErr w:type="spellEnd"/>
      <w:r w:rsidRPr="00657D9E">
        <w:rPr>
          <w:rFonts w:ascii="Effra" w:hAnsi="Effra"/>
          <w:color w:val="000000"/>
          <w:spacing w:val="-4"/>
        </w:rPr>
        <w:t>. (</w:t>
      </w:r>
      <w:hyperlink r:id="rId11">
        <w:r w:rsidRPr="00657D9E">
          <w:rPr>
            <w:rFonts w:ascii="Effra" w:hAnsi="Effra"/>
            <w:color w:val="0000FF"/>
            <w:spacing w:val="-4"/>
            <w:u w:val="single"/>
          </w:rPr>
          <w:t>www.medtronic.com</w:t>
        </w:r>
      </w:hyperlink>
      <w:r w:rsidRPr="00657D9E">
        <w:rPr>
          <w:rFonts w:ascii="Effra" w:hAnsi="Effra"/>
          <w:color w:val="000000"/>
          <w:spacing w:val="-4"/>
        </w:rPr>
        <w:t xml:space="preserve">) har hovedsæde i Dublin, Irland, og er blandt verdens førende virksomheder inden for </w:t>
      </w:r>
      <w:proofErr w:type="spellStart"/>
      <w:r w:rsidRPr="00657D9E">
        <w:rPr>
          <w:rFonts w:ascii="Effra" w:hAnsi="Effra"/>
          <w:color w:val="000000"/>
          <w:spacing w:val="-4"/>
        </w:rPr>
        <w:t>medikoteknologi</w:t>
      </w:r>
      <w:proofErr w:type="spellEnd"/>
      <w:r w:rsidRPr="00657D9E">
        <w:rPr>
          <w:rFonts w:ascii="Effra" w:hAnsi="Effra"/>
          <w:color w:val="000000"/>
          <w:spacing w:val="-4"/>
        </w:rPr>
        <w:t xml:space="preserve">, medicinske ydelser og løsninger til smertelindring, helbredelse og livsforlængelse for millioner af mennesker verden over. Medtronic har over 85.000 medarbejdere på verdensplan, som betjener læger, hospitaler og patienter i ca. 160 lande. Virksomheden har fokus på at samarbejde med interessenter over hele verden om at drive sundhedsplejen </w:t>
      </w:r>
      <w:proofErr w:type="spellStart"/>
      <w:r w:rsidR="003C4B70">
        <w:rPr>
          <w:rFonts w:ascii="Effra" w:hAnsi="Effra"/>
          <w:i/>
          <w:color w:val="000000"/>
          <w:spacing w:val="-4"/>
        </w:rPr>
        <w:t>Further</w:t>
      </w:r>
      <w:proofErr w:type="spellEnd"/>
      <w:r w:rsidR="003C4B70">
        <w:rPr>
          <w:rFonts w:ascii="Effra" w:hAnsi="Effra"/>
          <w:i/>
          <w:color w:val="000000"/>
          <w:spacing w:val="-4"/>
        </w:rPr>
        <w:t xml:space="preserve">, </w:t>
      </w:r>
      <w:proofErr w:type="spellStart"/>
      <w:r w:rsidR="003C4B70">
        <w:rPr>
          <w:rFonts w:ascii="Effra" w:hAnsi="Effra"/>
          <w:i/>
          <w:color w:val="000000"/>
          <w:spacing w:val="-4"/>
        </w:rPr>
        <w:t>Together</w:t>
      </w:r>
      <w:proofErr w:type="spellEnd"/>
      <w:r w:rsidRPr="00657D9E">
        <w:rPr>
          <w:rFonts w:ascii="Effra" w:hAnsi="Effra"/>
          <w:color w:val="000000"/>
          <w:spacing w:val="-4"/>
        </w:rPr>
        <w:t>.</w:t>
      </w:r>
    </w:p>
    <w:p w:rsidR="00C54FE3" w:rsidRPr="00BC2387" w:rsidRDefault="00C54FE3" w:rsidP="003D5DEA">
      <w:pPr>
        <w:autoSpaceDE w:val="0"/>
        <w:autoSpaceDN w:val="0"/>
        <w:adjustRightInd w:val="0"/>
        <w:spacing w:line="360" w:lineRule="auto"/>
        <w:rPr>
          <w:rFonts w:ascii="Effra" w:hAnsi="Effra"/>
          <w:color w:val="000000"/>
        </w:rPr>
      </w:pPr>
    </w:p>
    <w:p w:rsidR="00C54FE3" w:rsidRPr="00BC2387" w:rsidRDefault="00C54FE3" w:rsidP="00C54FE3">
      <w:pPr>
        <w:spacing w:before="100" w:beforeAutospacing="1" w:after="100" w:afterAutospacing="1"/>
        <w:rPr>
          <w:rFonts w:ascii="Effra" w:hAnsi="Effra"/>
          <w:b/>
          <w:szCs w:val="24"/>
        </w:rPr>
      </w:pPr>
      <w:r>
        <w:rPr>
          <w:rFonts w:ascii="Effra" w:hAnsi="Effra"/>
          <w:b/>
        </w:rPr>
        <w:lastRenderedPageBreak/>
        <w:t xml:space="preserve">Alle udsagn om fremtidige forhold er med forbehold for risiko og usikkerhed, som blandt andre er beskrevet i Medtronics årsrapporter, som er deponeret hos </w:t>
      </w:r>
      <w:proofErr w:type="spellStart"/>
      <w:r>
        <w:rPr>
          <w:rFonts w:ascii="Effra" w:hAnsi="Effra"/>
          <w:b/>
        </w:rPr>
        <w:t>Securities</w:t>
      </w:r>
      <w:proofErr w:type="spellEnd"/>
      <w:r>
        <w:rPr>
          <w:rFonts w:ascii="Effra" w:hAnsi="Effra"/>
          <w:b/>
        </w:rPr>
        <w:t xml:space="preserve"> and Exchange </w:t>
      </w:r>
      <w:proofErr w:type="spellStart"/>
      <w:r>
        <w:rPr>
          <w:rFonts w:ascii="Effra" w:hAnsi="Effra"/>
          <w:b/>
        </w:rPr>
        <w:t>Commission</w:t>
      </w:r>
      <w:proofErr w:type="spellEnd"/>
      <w:r>
        <w:rPr>
          <w:rFonts w:ascii="Effra" w:hAnsi="Effra"/>
          <w:b/>
        </w:rPr>
        <w:t xml:space="preserve">. Faktiske resultater kan afvige væsentligt fra forventede resultater. </w:t>
      </w:r>
    </w:p>
    <w:p w:rsidR="00B524D0" w:rsidRPr="00BC2387" w:rsidRDefault="00B524D0" w:rsidP="00C54FE3">
      <w:pPr>
        <w:suppressAutoHyphens/>
        <w:ind w:right="720"/>
        <w:jc w:val="both"/>
        <w:rPr>
          <w:rFonts w:ascii="Effra" w:hAnsi="Effra"/>
          <w:spacing w:val="-4"/>
          <w:szCs w:val="24"/>
        </w:rPr>
      </w:pPr>
    </w:p>
    <w:p w:rsidR="00901FFC" w:rsidRPr="00BC2387" w:rsidRDefault="00901FFC" w:rsidP="00901FFC">
      <w:pPr>
        <w:autoSpaceDE w:val="0"/>
        <w:autoSpaceDN w:val="0"/>
        <w:adjustRightInd w:val="0"/>
        <w:spacing w:line="360" w:lineRule="auto"/>
        <w:jc w:val="center"/>
        <w:rPr>
          <w:rFonts w:ascii="Effra" w:hAnsi="Effra"/>
          <w:color w:val="000000"/>
        </w:rPr>
      </w:pPr>
      <w:r>
        <w:rPr>
          <w:rFonts w:ascii="Effra" w:hAnsi="Effra"/>
          <w:color w:val="000000"/>
        </w:rPr>
        <w:t>-slut-</w:t>
      </w:r>
    </w:p>
    <w:p w:rsidR="00B524D0" w:rsidRPr="00BC2387" w:rsidRDefault="00B524D0">
      <w:pPr>
        <w:tabs>
          <w:tab w:val="left" w:pos="0"/>
        </w:tabs>
        <w:suppressAutoHyphens/>
        <w:jc w:val="both"/>
        <w:rPr>
          <w:rFonts w:ascii="Effra" w:hAnsi="Effra"/>
          <w:spacing w:val="-4"/>
          <w:szCs w:val="24"/>
        </w:rPr>
      </w:pPr>
    </w:p>
    <w:sectPr w:rsidR="00B524D0" w:rsidRPr="00BC2387" w:rsidSect="003D5DEA">
      <w:endnotePr>
        <w:numFmt w:val="decimal"/>
      </w:endnotePr>
      <w:pgSz w:w="12240" w:h="15840"/>
      <w:pgMar w:top="1440" w:right="1440" w:bottom="1440" w:left="1440" w:header="720" w:footer="10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31" w:rsidRDefault="009B7E31">
      <w:r>
        <w:separator/>
      </w:r>
    </w:p>
  </w:endnote>
  <w:endnote w:type="continuationSeparator" w:id="0">
    <w:p w:rsidR="009B7E31" w:rsidRDefault="009B7E31">
      <w:r>
        <w:continuationSeparator/>
      </w:r>
    </w:p>
  </w:endnote>
  <w:endnote w:id="1">
    <w:p w:rsidR="000C15EE" w:rsidRPr="0083288F" w:rsidRDefault="000C15EE" w:rsidP="000C15EE">
      <w:pPr>
        <w:rPr>
          <w:rFonts w:ascii="Effra" w:hAnsi="Effra"/>
          <w:sz w:val="20"/>
          <w:lang w:val="en-IN"/>
        </w:rPr>
      </w:pPr>
      <w:r>
        <w:rPr>
          <w:rStyle w:val="EndnoteReference"/>
          <w:rFonts w:ascii="Effra" w:hAnsi="Effra"/>
          <w:sz w:val="20"/>
        </w:rPr>
        <w:endnoteRef/>
      </w:r>
      <w:r w:rsidRPr="0083288F">
        <w:rPr>
          <w:rFonts w:ascii="Effra" w:hAnsi="Effra"/>
          <w:sz w:val="20"/>
          <w:lang w:val="en-IN"/>
        </w:rPr>
        <w:t xml:space="preserve"> </w:t>
      </w:r>
      <w:proofErr w:type="gramStart"/>
      <w:r w:rsidRPr="0083288F">
        <w:rPr>
          <w:rFonts w:ascii="Effra" w:hAnsi="Effra"/>
          <w:sz w:val="20"/>
          <w:lang w:val="en-IN"/>
        </w:rPr>
        <w:t>UK Prospective Diabetes Study (UKPDS) Group.</w:t>
      </w:r>
      <w:proofErr w:type="gramEnd"/>
      <w:r w:rsidRPr="0083288F">
        <w:rPr>
          <w:rFonts w:ascii="Effra" w:hAnsi="Effra"/>
          <w:sz w:val="20"/>
          <w:lang w:val="en-IN"/>
        </w:rPr>
        <w:t xml:space="preserve"> Intensive blood-glucose control with sulphonylureas or insulin compared with conventional treatment and risk of complication in patients with type 2 diabetes (UKPDS 33). </w:t>
      </w:r>
      <w:proofErr w:type="gramStart"/>
      <w:r w:rsidRPr="0083288F">
        <w:rPr>
          <w:rFonts w:ascii="Effra" w:hAnsi="Effra"/>
          <w:i/>
          <w:sz w:val="20"/>
          <w:lang w:val="en-IN"/>
        </w:rPr>
        <w:t>Lancet.</w:t>
      </w:r>
      <w:proofErr w:type="gramEnd"/>
      <w:r w:rsidRPr="0083288F">
        <w:rPr>
          <w:rFonts w:ascii="Effra" w:hAnsi="Effra"/>
          <w:sz w:val="20"/>
          <w:lang w:val="en-IN"/>
        </w:rPr>
        <w:t xml:space="preserve"> </w:t>
      </w:r>
      <w:proofErr w:type="gramStart"/>
      <w:r w:rsidRPr="0083288F">
        <w:rPr>
          <w:rFonts w:ascii="Effra" w:hAnsi="Effra"/>
          <w:sz w:val="20"/>
          <w:lang w:val="en-IN"/>
        </w:rPr>
        <w:t>1998; 352:837-853.</w:t>
      </w:r>
      <w:proofErr w:type="gramEnd"/>
    </w:p>
  </w:endnote>
  <w:endnote w:id="2">
    <w:p w:rsidR="000C15EE" w:rsidRPr="00741D72" w:rsidRDefault="000C15EE" w:rsidP="000C15EE">
      <w:pPr>
        <w:rPr>
          <w:rFonts w:ascii="Palatino Linotype" w:hAnsi="Palatino Linotype"/>
          <w:sz w:val="20"/>
        </w:rPr>
      </w:pPr>
      <w:r>
        <w:rPr>
          <w:rStyle w:val="EndnoteReference"/>
          <w:rFonts w:ascii="Effra" w:hAnsi="Effra"/>
          <w:sz w:val="20"/>
        </w:rPr>
        <w:endnoteRef/>
      </w:r>
      <w:r w:rsidRPr="0083288F">
        <w:rPr>
          <w:rFonts w:ascii="Effra" w:hAnsi="Effra"/>
          <w:sz w:val="20"/>
          <w:lang w:val="en-IN"/>
        </w:rPr>
        <w:t xml:space="preserve"> The post trial monitoring results: 10 years follow up: Holman RR, Paul SK, Bethel MA, Matthews DR, </w:t>
      </w:r>
      <w:proofErr w:type="gramStart"/>
      <w:r w:rsidRPr="0083288F">
        <w:rPr>
          <w:rFonts w:ascii="Effra" w:hAnsi="Effra"/>
          <w:sz w:val="20"/>
          <w:lang w:val="en-IN"/>
        </w:rPr>
        <w:t>Neil</w:t>
      </w:r>
      <w:proofErr w:type="gramEnd"/>
      <w:r w:rsidRPr="0083288F">
        <w:rPr>
          <w:rFonts w:ascii="Effra" w:hAnsi="Effra"/>
          <w:sz w:val="20"/>
          <w:lang w:val="en-IN"/>
        </w:rPr>
        <w:t xml:space="preserve"> HAW. </w:t>
      </w:r>
      <w:proofErr w:type="gramStart"/>
      <w:r w:rsidRPr="0083288F">
        <w:rPr>
          <w:rFonts w:ascii="Effra" w:hAnsi="Effra"/>
          <w:sz w:val="20"/>
          <w:lang w:val="en-IN"/>
        </w:rPr>
        <w:t>10-year follow-up of intensive glucose control in type 2 diabetes.</w:t>
      </w:r>
      <w:proofErr w:type="gramEnd"/>
      <w:r w:rsidRPr="0083288F">
        <w:rPr>
          <w:rFonts w:ascii="Effra" w:hAnsi="Effra"/>
          <w:sz w:val="20"/>
          <w:lang w:val="en-IN"/>
        </w:rPr>
        <w:t xml:space="preserve"> </w:t>
      </w:r>
      <w:r>
        <w:rPr>
          <w:rFonts w:ascii="Effra" w:hAnsi="Effra"/>
          <w:i/>
          <w:sz w:val="20"/>
        </w:rPr>
        <w:t xml:space="preserve">N </w:t>
      </w:r>
      <w:proofErr w:type="spellStart"/>
      <w:r>
        <w:rPr>
          <w:rFonts w:ascii="Effra" w:hAnsi="Effra"/>
          <w:i/>
          <w:sz w:val="20"/>
        </w:rPr>
        <w:t>Engl</w:t>
      </w:r>
      <w:proofErr w:type="spellEnd"/>
      <w:r>
        <w:rPr>
          <w:rFonts w:ascii="Effra" w:hAnsi="Effra"/>
          <w:i/>
          <w:sz w:val="20"/>
        </w:rPr>
        <w:t xml:space="preserve"> J Med.</w:t>
      </w:r>
      <w:r>
        <w:rPr>
          <w:rFonts w:ascii="Effra" w:hAnsi="Effra"/>
          <w:sz w:val="20"/>
        </w:rPr>
        <w:t xml:space="preserve"> 2008; </w:t>
      </w:r>
      <w:proofErr w:type="gramStart"/>
      <w:r>
        <w:rPr>
          <w:rFonts w:ascii="Effra" w:hAnsi="Effra"/>
          <w:sz w:val="20"/>
        </w:rPr>
        <w:t>359:1577</w:t>
      </w:r>
      <w:proofErr w:type="gramEnd"/>
      <w:r>
        <w:rPr>
          <w:rFonts w:ascii="Effra" w:hAnsi="Effra"/>
          <w:sz w:val="20"/>
        </w:rPr>
        <w:t>-1589.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panose1 w:val="020B0603020203020204"/>
    <w:charset w:val="00"/>
    <w:family w:val="swiss"/>
    <w:pitch w:val="variable"/>
    <w:sig w:usb0="A00002AF" w:usb1="5000205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31" w:rsidRDefault="009B7E31">
      <w:r>
        <w:separator/>
      </w:r>
    </w:p>
  </w:footnote>
  <w:footnote w:type="continuationSeparator" w:id="0">
    <w:p w:rsidR="009B7E31" w:rsidRDefault="009B7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C4B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FD3AE5"/>
    <w:multiLevelType w:val="hybridMultilevel"/>
    <w:tmpl w:val="48B8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98"/>
    <w:rsid w:val="00044172"/>
    <w:rsid w:val="00060029"/>
    <w:rsid w:val="00067386"/>
    <w:rsid w:val="00091305"/>
    <w:rsid w:val="0009156C"/>
    <w:rsid w:val="00093154"/>
    <w:rsid w:val="000C15EE"/>
    <w:rsid w:val="000C4A0E"/>
    <w:rsid w:val="001013F3"/>
    <w:rsid w:val="00101404"/>
    <w:rsid w:val="0010206F"/>
    <w:rsid w:val="00125118"/>
    <w:rsid w:val="001770BA"/>
    <w:rsid w:val="001948C8"/>
    <w:rsid w:val="001A2B3A"/>
    <w:rsid w:val="001C4DB3"/>
    <w:rsid w:val="001C67AC"/>
    <w:rsid w:val="001F45A0"/>
    <w:rsid w:val="00221BD3"/>
    <w:rsid w:val="002332E0"/>
    <w:rsid w:val="00276867"/>
    <w:rsid w:val="002A32B9"/>
    <w:rsid w:val="002A3FBD"/>
    <w:rsid w:val="002B11C7"/>
    <w:rsid w:val="00312F04"/>
    <w:rsid w:val="00322DC2"/>
    <w:rsid w:val="003315B4"/>
    <w:rsid w:val="00336A65"/>
    <w:rsid w:val="00375955"/>
    <w:rsid w:val="00381EEC"/>
    <w:rsid w:val="003922C3"/>
    <w:rsid w:val="003A0533"/>
    <w:rsid w:val="003C4B70"/>
    <w:rsid w:val="003D5DEA"/>
    <w:rsid w:val="003D700B"/>
    <w:rsid w:val="003F0380"/>
    <w:rsid w:val="00411541"/>
    <w:rsid w:val="00411999"/>
    <w:rsid w:val="00441EAE"/>
    <w:rsid w:val="0044227D"/>
    <w:rsid w:val="004563B7"/>
    <w:rsid w:val="00463CFF"/>
    <w:rsid w:val="00473090"/>
    <w:rsid w:val="0049259B"/>
    <w:rsid w:val="00493E7E"/>
    <w:rsid w:val="00497810"/>
    <w:rsid w:val="004A13EB"/>
    <w:rsid w:val="004C790E"/>
    <w:rsid w:val="004D476F"/>
    <w:rsid w:val="005762B0"/>
    <w:rsid w:val="005905E9"/>
    <w:rsid w:val="005A37DF"/>
    <w:rsid w:val="005C1DC2"/>
    <w:rsid w:val="005D37EF"/>
    <w:rsid w:val="005E005B"/>
    <w:rsid w:val="005E583A"/>
    <w:rsid w:val="006160DF"/>
    <w:rsid w:val="006341DF"/>
    <w:rsid w:val="00657D9E"/>
    <w:rsid w:val="00684955"/>
    <w:rsid w:val="00697045"/>
    <w:rsid w:val="006B0D24"/>
    <w:rsid w:val="006C2BE3"/>
    <w:rsid w:val="006D5EDE"/>
    <w:rsid w:val="006F1E94"/>
    <w:rsid w:val="006F41B6"/>
    <w:rsid w:val="006F48E5"/>
    <w:rsid w:val="00705D46"/>
    <w:rsid w:val="00724D66"/>
    <w:rsid w:val="00732E52"/>
    <w:rsid w:val="00744869"/>
    <w:rsid w:val="00753DEC"/>
    <w:rsid w:val="00771370"/>
    <w:rsid w:val="00781D08"/>
    <w:rsid w:val="007A2C05"/>
    <w:rsid w:val="007B1B14"/>
    <w:rsid w:val="007C3DD1"/>
    <w:rsid w:val="007E0884"/>
    <w:rsid w:val="007E6FD9"/>
    <w:rsid w:val="007F1407"/>
    <w:rsid w:val="007F1F2D"/>
    <w:rsid w:val="007F79B1"/>
    <w:rsid w:val="00806D2B"/>
    <w:rsid w:val="0083288F"/>
    <w:rsid w:val="008406C4"/>
    <w:rsid w:val="0085239E"/>
    <w:rsid w:val="008622CC"/>
    <w:rsid w:val="0086400C"/>
    <w:rsid w:val="008741A3"/>
    <w:rsid w:val="008B76B8"/>
    <w:rsid w:val="008E0CB4"/>
    <w:rsid w:val="008E5D01"/>
    <w:rsid w:val="008E71CC"/>
    <w:rsid w:val="008F1CCB"/>
    <w:rsid w:val="00901FFC"/>
    <w:rsid w:val="0091643C"/>
    <w:rsid w:val="00924CDC"/>
    <w:rsid w:val="009328B1"/>
    <w:rsid w:val="00940136"/>
    <w:rsid w:val="009436E2"/>
    <w:rsid w:val="00945102"/>
    <w:rsid w:val="009B7E31"/>
    <w:rsid w:val="009C05A9"/>
    <w:rsid w:val="00A4116E"/>
    <w:rsid w:val="00A4197A"/>
    <w:rsid w:val="00A82E9C"/>
    <w:rsid w:val="00A92698"/>
    <w:rsid w:val="00AA15D1"/>
    <w:rsid w:val="00AD53D4"/>
    <w:rsid w:val="00B21710"/>
    <w:rsid w:val="00B34E85"/>
    <w:rsid w:val="00B524D0"/>
    <w:rsid w:val="00B54F4E"/>
    <w:rsid w:val="00B619F9"/>
    <w:rsid w:val="00B648D6"/>
    <w:rsid w:val="00B83099"/>
    <w:rsid w:val="00B916D1"/>
    <w:rsid w:val="00BA3131"/>
    <w:rsid w:val="00BC1971"/>
    <w:rsid w:val="00BC2387"/>
    <w:rsid w:val="00BF58A8"/>
    <w:rsid w:val="00C06666"/>
    <w:rsid w:val="00C4122C"/>
    <w:rsid w:val="00C54FE3"/>
    <w:rsid w:val="00C6056C"/>
    <w:rsid w:val="00C61A22"/>
    <w:rsid w:val="00C73C0F"/>
    <w:rsid w:val="00CA77E7"/>
    <w:rsid w:val="00CD14D0"/>
    <w:rsid w:val="00CD7CB1"/>
    <w:rsid w:val="00CF062F"/>
    <w:rsid w:val="00D1443A"/>
    <w:rsid w:val="00D247F6"/>
    <w:rsid w:val="00D441C9"/>
    <w:rsid w:val="00D87052"/>
    <w:rsid w:val="00D943DE"/>
    <w:rsid w:val="00DA016E"/>
    <w:rsid w:val="00DA4F08"/>
    <w:rsid w:val="00DF49FD"/>
    <w:rsid w:val="00E03922"/>
    <w:rsid w:val="00E10DA2"/>
    <w:rsid w:val="00E423A1"/>
    <w:rsid w:val="00E51E8A"/>
    <w:rsid w:val="00E84DBF"/>
    <w:rsid w:val="00EF7772"/>
    <w:rsid w:val="00F26E54"/>
    <w:rsid w:val="00F37E84"/>
    <w:rsid w:val="00F47CDE"/>
    <w:rsid w:val="00F87496"/>
    <w:rsid w:val="00F93C28"/>
    <w:rsid w:val="00FC3984"/>
    <w:rsid w:val="00FC6AE9"/>
    <w:rsid w:val="00FC7D75"/>
    <w:rsid w:val="00FF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styleId="FootnoteReference">
    <w:name w:val="footnote reference"/>
    <w:uiPriority w:val="99"/>
    <w:rsid w:val="000C15EE"/>
    <w:rPr>
      <w:vertAlign w:val="superscript"/>
    </w:rPr>
  </w:style>
  <w:style w:type="character" w:styleId="Hyperlink">
    <w:name w:val="Hyperlink"/>
    <w:rsid w:val="000C15EE"/>
    <w:rPr>
      <w:color w:val="0000FF"/>
      <w:u w:val="single"/>
    </w:rPr>
  </w:style>
  <w:style w:type="paragraph" w:styleId="EndnoteText">
    <w:name w:val="endnote text"/>
    <w:basedOn w:val="Normal"/>
    <w:link w:val="EndnoteTextChar"/>
    <w:rsid w:val="000C15EE"/>
    <w:rPr>
      <w:szCs w:val="24"/>
    </w:rPr>
  </w:style>
  <w:style w:type="character" w:customStyle="1" w:styleId="EndnoteTextChar">
    <w:name w:val="Endnote Text Char"/>
    <w:link w:val="EndnoteText"/>
    <w:rsid w:val="000C15EE"/>
    <w:rPr>
      <w:rFonts w:ascii="Arial" w:hAnsi="Arial"/>
      <w:sz w:val="24"/>
      <w:szCs w:val="24"/>
    </w:rPr>
  </w:style>
  <w:style w:type="paragraph" w:styleId="FootnoteText">
    <w:name w:val="footnote text"/>
    <w:basedOn w:val="Normal"/>
    <w:link w:val="FootnoteTextChar"/>
    <w:rsid w:val="000C15EE"/>
    <w:rPr>
      <w:szCs w:val="24"/>
    </w:rPr>
  </w:style>
  <w:style w:type="character" w:customStyle="1" w:styleId="FootnoteTextChar">
    <w:name w:val="Footnote Text Char"/>
    <w:link w:val="FootnoteText"/>
    <w:rsid w:val="000C15EE"/>
    <w:rPr>
      <w:rFonts w:ascii="Arial" w:hAnsi="Arial"/>
      <w:sz w:val="24"/>
      <w:szCs w:val="24"/>
    </w:rPr>
  </w:style>
  <w:style w:type="character" w:styleId="EndnoteReference">
    <w:name w:val="endnote reference"/>
    <w:rsid w:val="000C1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styleId="FootnoteReference">
    <w:name w:val="footnote reference"/>
    <w:uiPriority w:val="99"/>
    <w:rsid w:val="000C15EE"/>
    <w:rPr>
      <w:vertAlign w:val="superscript"/>
    </w:rPr>
  </w:style>
  <w:style w:type="character" w:styleId="Hyperlink">
    <w:name w:val="Hyperlink"/>
    <w:rsid w:val="000C15EE"/>
    <w:rPr>
      <w:color w:val="0000FF"/>
      <w:u w:val="single"/>
    </w:rPr>
  </w:style>
  <w:style w:type="paragraph" w:styleId="EndnoteText">
    <w:name w:val="endnote text"/>
    <w:basedOn w:val="Normal"/>
    <w:link w:val="EndnoteTextChar"/>
    <w:rsid w:val="000C15EE"/>
    <w:rPr>
      <w:szCs w:val="24"/>
    </w:rPr>
  </w:style>
  <w:style w:type="character" w:customStyle="1" w:styleId="EndnoteTextChar">
    <w:name w:val="Endnote Text Char"/>
    <w:link w:val="EndnoteText"/>
    <w:rsid w:val="000C15EE"/>
    <w:rPr>
      <w:rFonts w:ascii="Arial" w:hAnsi="Arial"/>
      <w:sz w:val="24"/>
      <w:szCs w:val="24"/>
    </w:rPr>
  </w:style>
  <w:style w:type="paragraph" w:styleId="FootnoteText">
    <w:name w:val="footnote text"/>
    <w:basedOn w:val="Normal"/>
    <w:link w:val="FootnoteTextChar"/>
    <w:rsid w:val="000C15EE"/>
    <w:rPr>
      <w:szCs w:val="24"/>
    </w:rPr>
  </w:style>
  <w:style w:type="character" w:customStyle="1" w:styleId="FootnoteTextChar">
    <w:name w:val="Footnote Text Char"/>
    <w:link w:val="FootnoteText"/>
    <w:rsid w:val="000C15EE"/>
    <w:rPr>
      <w:rFonts w:ascii="Arial" w:hAnsi="Arial"/>
      <w:sz w:val="24"/>
      <w:szCs w:val="24"/>
    </w:rPr>
  </w:style>
  <w:style w:type="character" w:styleId="EndnoteReference">
    <w:name w:val="endnote reference"/>
    <w:rsid w:val="000C1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tronic.com/" TargetMode="External"/><Relationship Id="rId5" Type="http://schemas.openxmlformats.org/officeDocument/2006/relationships/webSettings" Target="webSettings.xml"/><Relationship Id="rId10" Type="http://schemas.openxmlformats.org/officeDocument/2006/relationships/hyperlink" Target="http://www.medtronicdiabetes.com/" TargetMode="External"/><Relationship Id="rId4" Type="http://schemas.openxmlformats.org/officeDocument/2006/relationships/settings" Target="settings.xml"/><Relationship Id="rId9" Type="http://schemas.openxmlformats.org/officeDocument/2006/relationships/hyperlink" Target="http://www.medtro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Medtronic, Inc.</Company>
  <LinksUpToDate>false</LinksUpToDate>
  <CharactersWithSpaces>6047</CharactersWithSpaces>
  <SharedDoc>false</SharedDoc>
  <HLinks>
    <vt:vector size="18" baseType="variant">
      <vt:variant>
        <vt:i4>5439494</vt:i4>
      </vt:variant>
      <vt:variant>
        <vt:i4>6</vt:i4>
      </vt:variant>
      <vt:variant>
        <vt:i4>0</vt:i4>
      </vt:variant>
      <vt:variant>
        <vt:i4>5</vt:i4>
      </vt:variant>
      <vt:variant>
        <vt:lpwstr>http://www.medtronic.com/</vt:lpwstr>
      </vt:variant>
      <vt:variant>
        <vt:lpwstr/>
      </vt:variant>
      <vt:variant>
        <vt:i4>6225923</vt:i4>
      </vt:variant>
      <vt:variant>
        <vt:i4>3</vt:i4>
      </vt:variant>
      <vt:variant>
        <vt:i4>0</vt:i4>
      </vt:variant>
      <vt:variant>
        <vt:i4>5</vt:i4>
      </vt:variant>
      <vt:variant>
        <vt:lpwstr>http://www.medtronicdiabetes.com/</vt:lpwstr>
      </vt:variant>
      <vt:variant>
        <vt:lpwstr/>
      </vt:variant>
      <vt:variant>
        <vt:i4>5439494</vt:i4>
      </vt:variant>
      <vt:variant>
        <vt:i4>0</vt:i4>
      </vt:variant>
      <vt:variant>
        <vt:i4>0</vt:i4>
      </vt:variant>
      <vt:variant>
        <vt:i4>5</vt:i4>
      </vt:variant>
      <vt:variant>
        <vt:lpwstr>http://www.medtronic.com/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Medtronic Employee</dc:creator>
  <cp:lastModifiedBy>Sparrevohn, Marianne</cp:lastModifiedBy>
  <cp:revision>2</cp:revision>
  <cp:lastPrinted>2007-09-24T21:36:00Z</cp:lastPrinted>
  <dcterms:created xsi:type="dcterms:W3CDTF">2016-04-13T11:15:00Z</dcterms:created>
  <dcterms:modified xsi:type="dcterms:W3CDTF">2016-04-13T11:15:00Z</dcterms:modified>
</cp:coreProperties>
</file>