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B1" w:rsidRDefault="006A49B1" w:rsidP="006A49B1">
      <w:pPr>
        <w:pStyle w:val="Ingetavstnd"/>
      </w:pPr>
      <w:r>
        <w:rPr>
          <w:noProof/>
        </w:rPr>
        <w:drawing>
          <wp:anchor distT="0" distB="0" distL="114300" distR="114300" simplePos="0" relativeHeight="251659264" behindDoc="1" locked="0" layoutInCell="1" allowOverlap="1" wp14:anchorId="34739362" wp14:editId="50E9F130">
            <wp:simplePos x="0" y="0"/>
            <wp:positionH relativeFrom="column">
              <wp:posOffset>2160905</wp:posOffset>
            </wp:positionH>
            <wp:positionV relativeFrom="paragraph">
              <wp:posOffset>-495300</wp:posOffset>
            </wp:positionV>
            <wp:extent cx="1263600" cy="1011600"/>
            <wp:effectExtent l="0" t="0" r="0" b="0"/>
            <wp:wrapTight wrapText="bothSides">
              <wp:wrapPolygon edited="0">
                <wp:start x="0" y="0"/>
                <wp:lineTo x="0" y="21153"/>
                <wp:lineTo x="21176" y="21153"/>
                <wp:lineTo x="21176" y="0"/>
                <wp:lineTo x="0" y="0"/>
              </wp:wrapPolygon>
            </wp:wrapTight>
            <wp:docPr id="1" name="Bildobjekt 1" descr="C:\Users\karolina.thorell@nshorse.se\AppData\Local\Microsoft\Windows\Temporary Internet Files\Content.Word\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a.thorell@nshorse.se\AppData\Local\Microsoft\Windows\Temporary Internet Files\Content.Word\HNS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9B1" w:rsidRPr="00C760A4" w:rsidRDefault="006A49B1" w:rsidP="006A49B1">
      <w:pPr>
        <w:jc w:val="center"/>
      </w:pPr>
    </w:p>
    <w:p w:rsidR="006A49B1" w:rsidRDefault="006A49B1" w:rsidP="006A49B1">
      <w:pPr>
        <w:outlineLvl w:val="0"/>
      </w:pPr>
    </w:p>
    <w:p w:rsidR="006A49B1" w:rsidRDefault="006A49B1" w:rsidP="006A49B1">
      <w:pPr>
        <w:outlineLvl w:val="0"/>
      </w:pPr>
    </w:p>
    <w:p w:rsidR="006A49B1" w:rsidRDefault="006A49B1" w:rsidP="006A49B1">
      <w:pPr>
        <w:outlineLvl w:val="0"/>
      </w:pPr>
    </w:p>
    <w:p w:rsidR="006A49B1" w:rsidRPr="00A250DE" w:rsidRDefault="006A49B1" w:rsidP="006A49B1">
      <w:pPr>
        <w:outlineLvl w:val="0"/>
        <w:rPr>
          <w:rFonts w:ascii="Garamond" w:hAnsi="Garamond"/>
        </w:rPr>
      </w:pPr>
      <w:r w:rsidRPr="00A250DE">
        <w:rPr>
          <w:rFonts w:ascii="Garamond" w:hAnsi="Garamond"/>
        </w:rPr>
        <w:t>Pressmeddelande, 2014-03-25</w:t>
      </w:r>
    </w:p>
    <w:p w:rsidR="006A49B1" w:rsidRPr="00BB48DD" w:rsidRDefault="006A49B1" w:rsidP="006A49B1">
      <w:pPr>
        <w:pStyle w:val="Rubrik1"/>
        <w:spacing w:after="0"/>
        <w:rPr>
          <w:rFonts w:asciiTheme="minorHAnsi" w:eastAsiaTheme="minorHAnsi" w:hAnsiTheme="minorHAnsi" w:cstheme="minorBidi"/>
          <w:bCs w:val="0"/>
          <w:sz w:val="22"/>
          <w:szCs w:val="22"/>
        </w:rPr>
      </w:pPr>
      <w:r>
        <w:rPr>
          <w:szCs w:val="24"/>
        </w:rPr>
        <w:br/>
      </w:r>
      <w:r w:rsidRPr="00BB48DD">
        <w:rPr>
          <w:szCs w:val="24"/>
        </w:rPr>
        <w:t>Politikerträffar i stallmiljö</w:t>
      </w:r>
      <w:r w:rsidRPr="00BB48DD">
        <w:rPr>
          <w:rFonts w:asciiTheme="minorHAnsi" w:eastAsiaTheme="minorHAnsi" w:hAnsiTheme="minorHAnsi" w:cstheme="minorBidi"/>
          <w:bCs w:val="0"/>
          <w:sz w:val="22"/>
          <w:szCs w:val="22"/>
        </w:rPr>
        <w:t xml:space="preserve"> </w:t>
      </w:r>
    </w:p>
    <w:p w:rsidR="006A49B1" w:rsidRDefault="006A49B1" w:rsidP="006A49B1">
      <w:pPr>
        <w:pStyle w:val="Rubrik1"/>
        <w:spacing w:after="0"/>
        <w:rPr>
          <w:rFonts w:ascii="Garamond" w:hAnsi="Garamond"/>
          <w:b/>
          <w:szCs w:val="24"/>
        </w:rPr>
      </w:pPr>
      <w:r w:rsidRPr="00BB48DD">
        <w:rPr>
          <w:sz w:val="60"/>
          <w:szCs w:val="60"/>
        </w:rPr>
        <w:t xml:space="preserve">Hästnäringen satsar </w:t>
      </w:r>
      <w:r>
        <w:rPr>
          <w:sz w:val="60"/>
          <w:szCs w:val="60"/>
        </w:rPr>
        <w:t>inför årets val</w:t>
      </w:r>
      <w:r w:rsidRPr="00BB48DD">
        <w:rPr>
          <w:sz w:val="60"/>
          <w:szCs w:val="60"/>
        </w:rPr>
        <w:t xml:space="preserve"> </w:t>
      </w:r>
      <w:r w:rsidRPr="00BB48DD">
        <w:rPr>
          <w:sz w:val="60"/>
          <w:szCs w:val="60"/>
        </w:rPr>
        <w:br/>
      </w:r>
    </w:p>
    <w:p w:rsidR="006A49B1" w:rsidRPr="00CE10D5" w:rsidRDefault="006A49B1" w:rsidP="006A49B1">
      <w:pPr>
        <w:pStyle w:val="Rubrik1"/>
        <w:spacing w:after="0"/>
        <w:rPr>
          <w:rFonts w:ascii="Garamond" w:eastAsiaTheme="minorHAnsi" w:hAnsi="Garamond" w:cstheme="minorBidi"/>
          <w:bCs w:val="0"/>
          <w:szCs w:val="24"/>
        </w:rPr>
      </w:pPr>
      <w:r w:rsidRPr="00CE10D5">
        <w:rPr>
          <w:rFonts w:ascii="Garamond" w:hAnsi="Garamond"/>
          <w:b/>
          <w:szCs w:val="24"/>
        </w:rPr>
        <w:t xml:space="preserve">Under våren och försommaren blir det fullt med politiker i våra stallar. Hästnäringen bjuder gemensamt in riksdagsledamöter, region- och kommunpolitiker till tio träffar med diskussioner och studiebesök. Besöken planeras från </w:t>
      </w:r>
      <w:proofErr w:type="spellStart"/>
      <w:r w:rsidRPr="00CE10D5">
        <w:rPr>
          <w:rFonts w:ascii="Garamond" w:hAnsi="Garamond"/>
          <w:b/>
          <w:szCs w:val="24"/>
        </w:rPr>
        <w:t>Hippologum</w:t>
      </w:r>
      <w:proofErr w:type="spellEnd"/>
      <w:r w:rsidRPr="00CE10D5">
        <w:rPr>
          <w:rFonts w:ascii="Garamond" w:hAnsi="Garamond"/>
          <w:b/>
          <w:szCs w:val="24"/>
        </w:rPr>
        <w:t xml:space="preserve"> i Umeå i norr till Malmö och Jägersro i söder.  </w:t>
      </w:r>
      <w:r w:rsidRPr="00CE10D5">
        <w:rPr>
          <w:rFonts w:ascii="Garamond" w:hAnsi="Garamond"/>
          <w:b/>
          <w:szCs w:val="24"/>
        </w:rPr>
        <w:br/>
      </w:r>
    </w:p>
    <w:p w:rsidR="006A49B1" w:rsidRPr="00CE10D5" w:rsidRDefault="006A49B1" w:rsidP="006A49B1">
      <w:pPr>
        <w:pStyle w:val="Ingetavstnd"/>
      </w:pPr>
      <w:r w:rsidRPr="00CE10D5">
        <w:t>2014 är ett riktigt supervalår. Det är första gången som Sverige har Europaparlamentsval och nationella allmänna val samma år. Det är med andra ord viktigt för hästnäringen att visa vad vi har för erbjudanden som gör samhället bättre samt vilka behov som finns för att det även i fortsättningen ska finnas en livskraftig hästnäring i hela landet.</w:t>
      </w:r>
      <w:r w:rsidRPr="00CE10D5">
        <w:br/>
      </w:r>
    </w:p>
    <w:p w:rsidR="006A49B1" w:rsidRPr="00CE10D5" w:rsidRDefault="006A49B1" w:rsidP="006A49B1">
      <w:pPr>
        <w:rPr>
          <w:rFonts w:ascii="Garamond" w:hAnsi="Garamond"/>
          <w:sz w:val="24"/>
          <w:szCs w:val="24"/>
        </w:rPr>
      </w:pPr>
      <w:r w:rsidRPr="00CE10D5">
        <w:rPr>
          <w:rFonts w:ascii="Garamond" w:hAnsi="Garamond"/>
          <w:sz w:val="24"/>
          <w:szCs w:val="24"/>
        </w:rPr>
        <w:t xml:space="preserve">Politikerträffarna gemomförs i samverkan </w:t>
      </w:r>
      <w:r w:rsidRPr="00CE10D5">
        <w:rPr>
          <w:rFonts w:ascii="Garamond" w:hAnsi="Garamond"/>
          <w:bCs/>
          <w:sz w:val="24"/>
          <w:szCs w:val="24"/>
        </w:rPr>
        <w:t xml:space="preserve">mellan </w:t>
      </w:r>
      <w:r w:rsidRPr="00CE10D5">
        <w:rPr>
          <w:rFonts w:ascii="Garamond" w:hAnsi="Garamond"/>
          <w:sz w:val="24"/>
          <w:szCs w:val="24"/>
        </w:rPr>
        <w:t xml:space="preserve">Hästnäringens Nationella Stiftelse (HNS), Svenska Ridsportförbundet, Svensk Travsport, Lantbrukarnas Riksförbund samt representanter från respektive regions hästnäring. Media är varmt välkommen till träffarna.  </w:t>
      </w:r>
    </w:p>
    <w:p w:rsidR="006A49B1" w:rsidRPr="00CE10D5" w:rsidRDefault="006A49B1" w:rsidP="006A49B1">
      <w:pPr>
        <w:rPr>
          <w:rFonts w:ascii="Garamond" w:hAnsi="Garamond"/>
          <w:sz w:val="24"/>
          <w:szCs w:val="24"/>
        </w:rPr>
      </w:pPr>
      <w:r w:rsidRPr="00CE10D5">
        <w:rPr>
          <w:rFonts w:ascii="Garamond" w:hAnsi="Garamond"/>
          <w:sz w:val="24"/>
          <w:szCs w:val="24"/>
        </w:rPr>
        <w:t>– Vi hoppas att många politiker tar chansen och kommer till våra träffar för att se hästsektorns potential samtidigt som de får chansen till en dialog med en näring som intresserar över en miljon människor. Vi kommer att skicka inbjudningar till uppåt 4 000 personer som är politiskt aktiva på lokal, regional och nationell nivå, och vi hoppas att även få kandidater i EU-valet att komma, säger Stefan Johanson VD HNS.</w:t>
      </w:r>
      <w:r w:rsidRPr="00CE10D5">
        <w:rPr>
          <w:rFonts w:ascii="Garamond" w:hAnsi="Garamond"/>
          <w:sz w:val="24"/>
          <w:szCs w:val="24"/>
        </w:rPr>
        <w:br/>
      </w:r>
    </w:p>
    <w:p w:rsidR="006A49B1" w:rsidRDefault="006A49B1" w:rsidP="006A49B1">
      <w:r w:rsidRPr="00E00B32">
        <w:rPr>
          <w:bCs/>
          <w:u w:val="single"/>
        </w:rPr>
        <w:t>Planerade träffar</w:t>
      </w:r>
    </w:p>
    <w:tbl>
      <w:tblPr>
        <w:tblStyle w:val="Tabellrutnt"/>
        <w:tblW w:w="0" w:type="auto"/>
        <w:tblLook w:val="04A0" w:firstRow="1" w:lastRow="0" w:firstColumn="1" w:lastColumn="0" w:noHBand="0" w:noVBand="1"/>
      </w:tblPr>
      <w:tblGrid>
        <w:gridCol w:w="3096"/>
        <w:gridCol w:w="2347"/>
        <w:gridCol w:w="3845"/>
      </w:tblGrid>
      <w:tr w:rsidR="006A49B1" w:rsidRPr="00F705A5" w:rsidTr="00C32CA8">
        <w:trPr>
          <w:trHeight w:val="402"/>
        </w:trPr>
        <w:tc>
          <w:tcPr>
            <w:tcW w:w="3096" w:type="dxa"/>
            <w:tcBorders>
              <w:left w:val="nil"/>
              <w:bottom w:val="single" w:sz="4" w:space="0" w:color="auto"/>
              <w:right w:val="nil"/>
            </w:tcBorders>
            <w:vAlign w:val="center"/>
          </w:tcPr>
          <w:p w:rsidR="006A49B1" w:rsidRPr="00F705A5" w:rsidRDefault="006A49B1" w:rsidP="00C32CA8">
            <w:pPr>
              <w:rPr>
                <w:b/>
                <w:i/>
              </w:rPr>
            </w:pPr>
            <w:r w:rsidRPr="00F705A5">
              <w:rPr>
                <w:b/>
                <w:i/>
              </w:rPr>
              <w:t>Län/område</w:t>
            </w:r>
          </w:p>
        </w:tc>
        <w:tc>
          <w:tcPr>
            <w:tcW w:w="2347" w:type="dxa"/>
            <w:tcBorders>
              <w:left w:val="nil"/>
              <w:bottom w:val="single" w:sz="4" w:space="0" w:color="auto"/>
              <w:right w:val="nil"/>
            </w:tcBorders>
            <w:vAlign w:val="center"/>
          </w:tcPr>
          <w:p w:rsidR="006A49B1" w:rsidRPr="00F705A5" w:rsidRDefault="006A49B1" w:rsidP="00C32CA8">
            <w:pPr>
              <w:rPr>
                <w:b/>
                <w:i/>
              </w:rPr>
            </w:pPr>
            <w:r w:rsidRPr="00F705A5">
              <w:rPr>
                <w:b/>
                <w:i/>
              </w:rPr>
              <w:t>Datum</w:t>
            </w:r>
          </w:p>
        </w:tc>
        <w:tc>
          <w:tcPr>
            <w:tcW w:w="3845" w:type="dxa"/>
            <w:tcBorders>
              <w:left w:val="nil"/>
              <w:bottom w:val="single" w:sz="4" w:space="0" w:color="auto"/>
              <w:right w:val="nil"/>
            </w:tcBorders>
            <w:vAlign w:val="center"/>
          </w:tcPr>
          <w:p w:rsidR="006A49B1" w:rsidRPr="00F705A5" w:rsidRDefault="006A49B1" w:rsidP="00C32CA8">
            <w:pPr>
              <w:rPr>
                <w:b/>
                <w:i/>
              </w:rPr>
            </w:pPr>
            <w:r w:rsidRPr="00F705A5">
              <w:rPr>
                <w:b/>
                <w:i/>
              </w:rPr>
              <w:t>Anläggning</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Västergötland</w:t>
            </w:r>
          </w:p>
        </w:tc>
        <w:tc>
          <w:tcPr>
            <w:tcW w:w="2347" w:type="dxa"/>
            <w:tcBorders>
              <w:left w:val="nil"/>
              <w:right w:val="nil"/>
            </w:tcBorders>
            <w:vAlign w:val="center"/>
          </w:tcPr>
          <w:p w:rsidR="006A49B1" w:rsidRPr="00F705A5" w:rsidRDefault="006A49B1" w:rsidP="00C32CA8">
            <w:r>
              <w:t>16/4</w:t>
            </w:r>
          </w:p>
        </w:tc>
        <w:tc>
          <w:tcPr>
            <w:tcW w:w="3845" w:type="dxa"/>
            <w:tcBorders>
              <w:left w:val="nil"/>
              <w:right w:val="nil"/>
            </w:tcBorders>
            <w:vAlign w:val="center"/>
          </w:tcPr>
          <w:p w:rsidR="006A49B1" w:rsidRPr="00F705A5" w:rsidRDefault="006A49B1" w:rsidP="00C32CA8">
            <w:r>
              <w:t>Trollhättan FRK</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Skåne</w:t>
            </w:r>
          </w:p>
        </w:tc>
        <w:tc>
          <w:tcPr>
            <w:tcW w:w="2347" w:type="dxa"/>
            <w:tcBorders>
              <w:left w:val="nil"/>
              <w:right w:val="nil"/>
            </w:tcBorders>
            <w:vAlign w:val="center"/>
          </w:tcPr>
          <w:p w:rsidR="006A49B1" w:rsidRPr="00F705A5" w:rsidRDefault="006A49B1" w:rsidP="00C32CA8">
            <w:r>
              <w:t>22/4</w:t>
            </w:r>
          </w:p>
        </w:tc>
        <w:tc>
          <w:tcPr>
            <w:tcW w:w="3845" w:type="dxa"/>
            <w:tcBorders>
              <w:left w:val="nil"/>
              <w:right w:val="nil"/>
            </w:tcBorders>
            <w:vAlign w:val="center"/>
          </w:tcPr>
          <w:p w:rsidR="006A49B1" w:rsidRPr="00F705A5" w:rsidRDefault="006A49B1" w:rsidP="00C32CA8">
            <w:r>
              <w:t>Jägersro</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Blekinge</w:t>
            </w:r>
          </w:p>
        </w:tc>
        <w:tc>
          <w:tcPr>
            <w:tcW w:w="2347" w:type="dxa"/>
            <w:tcBorders>
              <w:left w:val="nil"/>
              <w:right w:val="nil"/>
            </w:tcBorders>
            <w:vAlign w:val="center"/>
          </w:tcPr>
          <w:p w:rsidR="006A49B1" w:rsidRPr="00F705A5" w:rsidRDefault="006A49B1" w:rsidP="00C32CA8">
            <w:r>
              <w:t>23/4</w:t>
            </w:r>
          </w:p>
        </w:tc>
        <w:tc>
          <w:tcPr>
            <w:tcW w:w="3845" w:type="dxa"/>
            <w:tcBorders>
              <w:left w:val="nil"/>
              <w:right w:val="nil"/>
            </w:tcBorders>
            <w:vAlign w:val="center"/>
          </w:tcPr>
          <w:p w:rsidR="006A49B1" w:rsidRPr="00F705A5" w:rsidRDefault="006A49B1" w:rsidP="00C32CA8">
            <w:r>
              <w:t>Ronneby RK</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Stockholm</w:t>
            </w:r>
          </w:p>
        </w:tc>
        <w:tc>
          <w:tcPr>
            <w:tcW w:w="2347" w:type="dxa"/>
            <w:tcBorders>
              <w:left w:val="nil"/>
              <w:right w:val="nil"/>
            </w:tcBorders>
            <w:vAlign w:val="center"/>
          </w:tcPr>
          <w:p w:rsidR="006A49B1" w:rsidRPr="00F705A5" w:rsidRDefault="006A49B1" w:rsidP="00C32CA8">
            <w:r>
              <w:t>5/5</w:t>
            </w:r>
          </w:p>
        </w:tc>
        <w:tc>
          <w:tcPr>
            <w:tcW w:w="3845" w:type="dxa"/>
            <w:tcBorders>
              <w:left w:val="nil"/>
              <w:right w:val="nil"/>
            </w:tcBorders>
            <w:vAlign w:val="center"/>
          </w:tcPr>
          <w:p w:rsidR="006A49B1" w:rsidRPr="00F705A5" w:rsidRDefault="006A49B1" w:rsidP="00C32CA8">
            <w:r>
              <w:t>Södertälje RK</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Västerbotten</w:t>
            </w:r>
          </w:p>
        </w:tc>
        <w:tc>
          <w:tcPr>
            <w:tcW w:w="2347" w:type="dxa"/>
            <w:tcBorders>
              <w:left w:val="nil"/>
              <w:right w:val="nil"/>
            </w:tcBorders>
            <w:vAlign w:val="center"/>
          </w:tcPr>
          <w:p w:rsidR="006A49B1" w:rsidRPr="00F705A5" w:rsidRDefault="006A49B1" w:rsidP="00C32CA8">
            <w:r>
              <w:t>9/5</w:t>
            </w:r>
          </w:p>
        </w:tc>
        <w:tc>
          <w:tcPr>
            <w:tcW w:w="3845" w:type="dxa"/>
            <w:tcBorders>
              <w:left w:val="nil"/>
              <w:right w:val="nil"/>
            </w:tcBorders>
            <w:vAlign w:val="center"/>
          </w:tcPr>
          <w:p w:rsidR="006A49B1" w:rsidRPr="00F705A5" w:rsidRDefault="006A49B1" w:rsidP="00C32CA8">
            <w:proofErr w:type="spellStart"/>
            <w:r>
              <w:t>Hippologum</w:t>
            </w:r>
            <w:proofErr w:type="spellEnd"/>
            <w:r>
              <w:t>, Umeå RF</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Småland</w:t>
            </w:r>
          </w:p>
        </w:tc>
        <w:tc>
          <w:tcPr>
            <w:tcW w:w="2347" w:type="dxa"/>
            <w:tcBorders>
              <w:left w:val="nil"/>
              <w:right w:val="nil"/>
            </w:tcBorders>
            <w:vAlign w:val="center"/>
          </w:tcPr>
          <w:p w:rsidR="006A49B1" w:rsidRPr="00F705A5" w:rsidRDefault="006A49B1" w:rsidP="00C32CA8">
            <w:r>
              <w:t>12/5</w:t>
            </w:r>
          </w:p>
        </w:tc>
        <w:tc>
          <w:tcPr>
            <w:tcW w:w="3845" w:type="dxa"/>
            <w:tcBorders>
              <w:left w:val="nil"/>
              <w:right w:val="nil"/>
            </w:tcBorders>
            <w:vAlign w:val="center"/>
          </w:tcPr>
          <w:p w:rsidR="006A49B1" w:rsidRPr="00F705A5" w:rsidRDefault="006A49B1" w:rsidP="00C32CA8">
            <w:r>
              <w:t>Ljungby RK</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Dalarna</w:t>
            </w:r>
          </w:p>
        </w:tc>
        <w:tc>
          <w:tcPr>
            <w:tcW w:w="2347" w:type="dxa"/>
            <w:tcBorders>
              <w:left w:val="nil"/>
              <w:right w:val="nil"/>
            </w:tcBorders>
            <w:vAlign w:val="center"/>
          </w:tcPr>
          <w:p w:rsidR="006A49B1" w:rsidRPr="00F705A5" w:rsidRDefault="006A49B1" w:rsidP="00C32CA8">
            <w:r>
              <w:t>13/5</w:t>
            </w:r>
          </w:p>
        </w:tc>
        <w:tc>
          <w:tcPr>
            <w:tcW w:w="3845" w:type="dxa"/>
            <w:tcBorders>
              <w:left w:val="nil"/>
              <w:right w:val="nil"/>
            </w:tcBorders>
            <w:vAlign w:val="center"/>
          </w:tcPr>
          <w:p w:rsidR="006A49B1" w:rsidRPr="00F705A5" w:rsidRDefault="006A49B1" w:rsidP="00C32CA8">
            <w:proofErr w:type="spellStart"/>
            <w:r>
              <w:t>Stiernhööksgymnasiet</w:t>
            </w:r>
            <w:proofErr w:type="spellEnd"/>
          </w:p>
        </w:tc>
      </w:tr>
      <w:tr w:rsidR="006A49B1" w:rsidRPr="00F705A5" w:rsidTr="00C32CA8">
        <w:trPr>
          <w:trHeight w:val="340"/>
        </w:trPr>
        <w:tc>
          <w:tcPr>
            <w:tcW w:w="3096" w:type="dxa"/>
            <w:tcBorders>
              <w:left w:val="nil"/>
              <w:right w:val="nil"/>
            </w:tcBorders>
            <w:vAlign w:val="center"/>
          </w:tcPr>
          <w:p w:rsidR="006A49B1" w:rsidRPr="00F705A5" w:rsidRDefault="006A49B1" w:rsidP="00C32CA8">
            <w:r>
              <w:t>Gävleborg</w:t>
            </w:r>
          </w:p>
        </w:tc>
        <w:tc>
          <w:tcPr>
            <w:tcW w:w="2347" w:type="dxa"/>
            <w:tcBorders>
              <w:left w:val="nil"/>
              <w:right w:val="nil"/>
            </w:tcBorders>
            <w:vAlign w:val="center"/>
          </w:tcPr>
          <w:p w:rsidR="006A49B1" w:rsidRPr="00F705A5" w:rsidRDefault="006A49B1" w:rsidP="00C32CA8">
            <w:r>
              <w:t>14/5</w:t>
            </w:r>
          </w:p>
        </w:tc>
        <w:tc>
          <w:tcPr>
            <w:tcW w:w="3845" w:type="dxa"/>
            <w:tcBorders>
              <w:left w:val="nil"/>
              <w:right w:val="nil"/>
            </w:tcBorders>
            <w:vAlign w:val="center"/>
          </w:tcPr>
          <w:p w:rsidR="006A49B1" w:rsidRPr="00F705A5" w:rsidRDefault="006A49B1" w:rsidP="00C32CA8">
            <w:r>
              <w:t>Hagmyren</w:t>
            </w:r>
          </w:p>
        </w:tc>
      </w:tr>
      <w:tr w:rsidR="006A49B1" w:rsidRPr="00F705A5" w:rsidTr="00C32CA8">
        <w:trPr>
          <w:trHeight w:val="340"/>
        </w:trPr>
        <w:tc>
          <w:tcPr>
            <w:tcW w:w="3096" w:type="dxa"/>
            <w:tcBorders>
              <w:left w:val="nil"/>
              <w:right w:val="nil"/>
            </w:tcBorders>
            <w:vAlign w:val="center"/>
          </w:tcPr>
          <w:p w:rsidR="006A49B1" w:rsidRPr="00F705A5" w:rsidRDefault="006A49B1" w:rsidP="00C32CA8">
            <w:r>
              <w:t>Jämtland</w:t>
            </w:r>
          </w:p>
        </w:tc>
        <w:tc>
          <w:tcPr>
            <w:tcW w:w="2347" w:type="dxa"/>
            <w:tcBorders>
              <w:left w:val="nil"/>
              <w:right w:val="nil"/>
            </w:tcBorders>
            <w:vAlign w:val="center"/>
          </w:tcPr>
          <w:p w:rsidR="006A49B1" w:rsidRPr="00F705A5" w:rsidRDefault="006A49B1" w:rsidP="00C32CA8">
            <w:r>
              <w:t>15/5</w:t>
            </w:r>
          </w:p>
        </w:tc>
        <w:tc>
          <w:tcPr>
            <w:tcW w:w="3845" w:type="dxa"/>
            <w:tcBorders>
              <w:left w:val="nil"/>
              <w:right w:val="nil"/>
            </w:tcBorders>
            <w:vAlign w:val="center"/>
          </w:tcPr>
          <w:p w:rsidR="006A49B1" w:rsidRPr="00F705A5" w:rsidRDefault="006A49B1" w:rsidP="00C32CA8">
            <w:proofErr w:type="spellStart"/>
            <w:r>
              <w:t>Wången</w:t>
            </w:r>
            <w:proofErr w:type="spellEnd"/>
          </w:p>
        </w:tc>
      </w:tr>
      <w:tr w:rsidR="006A49B1" w:rsidRPr="00F705A5" w:rsidTr="00C32CA8">
        <w:trPr>
          <w:trHeight w:val="340"/>
        </w:trPr>
        <w:tc>
          <w:tcPr>
            <w:tcW w:w="3096" w:type="dxa"/>
            <w:tcBorders>
              <w:left w:val="nil"/>
              <w:right w:val="nil"/>
            </w:tcBorders>
            <w:vAlign w:val="center"/>
          </w:tcPr>
          <w:p w:rsidR="006A49B1" w:rsidRPr="00F705A5" w:rsidRDefault="006A49B1" w:rsidP="00C32CA8">
            <w:r>
              <w:t>Västmanland</w:t>
            </w:r>
          </w:p>
        </w:tc>
        <w:tc>
          <w:tcPr>
            <w:tcW w:w="2347" w:type="dxa"/>
            <w:tcBorders>
              <w:left w:val="nil"/>
              <w:right w:val="nil"/>
            </w:tcBorders>
            <w:vAlign w:val="center"/>
          </w:tcPr>
          <w:p w:rsidR="006A49B1" w:rsidRPr="00F705A5" w:rsidRDefault="006A49B1" w:rsidP="00C32CA8">
            <w:r>
              <w:t>8/6</w:t>
            </w:r>
          </w:p>
        </w:tc>
        <w:tc>
          <w:tcPr>
            <w:tcW w:w="3845" w:type="dxa"/>
            <w:tcBorders>
              <w:left w:val="nil"/>
              <w:right w:val="nil"/>
            </w:tcBorders>
            <w:vAlign w:val="center"/>
          </w:tcPr>
          <w:p w:rsidR="006A49B1" w:rsidRPr="00F705A5" w:rsidRDefault="006A49B1" w:rsidP="00C32CA8">
            <w:r>
              <w:t>Strömsholm</w:t>
            </w:r>
          </w:p>
        </w:tc>
      </w:tr>
    </w:tbl>
    <w:p w:rsidR="006A49B1" w:rsidRDefault="006A49B1" w:rsidP="006A49B1">
      <w:pPr>
        <w:spacing w:after="80"/>
        <w:rPr>
          <w:u w:val="single"/>
        </w:rPr>
      </w:pPr>
    </w:p>
    <w:p w:rsidR="006A49B1" w:rsidRDefault="006A49B1" w:rsidP="006A49B1"/>
    <w:p w:rsidR="006A49B1" w:rsidRDefault="006A49B1" w:rsidP="006A49B1">
      <w:r>
        <w:rPr>
          <w:b/>
        </w:rPr>
        <w:t>För journalister:</w:t>
      </w:r>
      <w:r>
        <w:rPr>
          <w:b/>
        </w:rPr>
        <w:br/>
      </w:r>
      <w:r>
        <w:t xml:space="preserve">Är du journalist och vill delta vid en eller flera politikerträffar anmäl dig till Stefan Johanson, VD HNS, </w:t>
      </w:r>
      <w:hyperlink r:id="rId6" w:history="1">
        <w:r w:rsidRPr="00B864C6">
          <w:rPr>
            <w:rStyle w:val="Hyperlnk"/>
          </w:rPr>
          <w:t>stefan.johanson@nshorse.se</w:t>
        </w:r>
      </w:hyperlink>
      <w:r>
        <w:t xml:space="preserve"> eller 08-627 21 85. </w:t>
      </w:r>
      <w:r>
        <w:br/>
        <w:t xml:space="preserve">Vill du ha mer information om en specifik träff kan du även vända dig Anahita Arai vid HNS </w:t>
      </w:r>
      <w:hyperlink r:id="rId7" w:history="1">
        <w:r w:rsidRPr="00B864C6">
          <w:rPr>
            <w:rStyle w:val="Hyperlnk"/>
          </w:rPr>
          <w:t>anahita.arai@nshorse.se</w:t>
        </w:r>
      </w:hyperlink>
      <w:r>
        <w:t xml:space="preserve"> eller 08 627 20 12.</w:t>
      </w:r>
      <w:r>
        <w:br/>
      </w:r>
    </w:p>
    <w:p w:rsidR="006A49B1" w:rsidRPr="00C30DA4" w:rsidRDefault="006A49B1" w:rsidP="006A49B1">
      <w:r>
        <w:rPr>
          <w:b/>
        </w:rPr>
        <w:t>För ytterligare information:</w:t>
      </w:r>
      <w:r>
        <w:rPr>
          <w:b/>
        </w:rPr>
        <w:br/>
      </w:r>
      <w:r>
        <w:t>Stefan Johanson, VD HNS</w:t>
      </w:r>
      <w:r>
        <w:br/>
        <w:t>Telefon</w:t>
      </w:r>
      <w:r w:rsidRPr="00C30DA4">
        <w:t>: 0</w:t>
      </w:r>
      <w:r>
        <w:t>8</w:t>
      </w:r>
      <w:r w:rsidRPr="00C30DA4">
        <w:t>-527 21 85</w:t>
      </w:r>
      <w:r>
        <w:br/>
      </w:r>
      <w:r w:rsidRPr="00C30DA4">
        <w:t xml:space="preserve">E-post: </w:t>
      </w:r>
      <w:hyperlink r:id="rId8" w:history="1">
        <w:r w:rsidRPr="00C30DA4">
          <w:rPr>
            <w:rStyle w:val="Hyperlnk"/>
            <w:rFonts w:ascii="Garamond" w:hAnsi="Garamond"/>
          </w:rPr>
          <w:t>stefan.johanson@nshorse.se</w:t>
        </w:r>
      </w:hyperlink>
      <w:r w:rsidRPr="00C30DA4">
        <w:t xml:space="preserve"> </w:t>
      </w:r>
    </w:p>
    <w:p w:rsidR="006A49B1" w:rsidRPr="00C30DA4" w:rsidRDefault="006A49B1" w:rsidP="006A49B1">
      <w:pPr>
        <w:outlineLvl w:val="0"/>
      </w:pPr>
      <w:r w:rsidRPr="00C30DA4">
        <w:t>Anahita Arai, kommunikationschef</w:t>
      </w:r>
      <w:r>
        <w:t xml:space="preserve"> </w:t>
      </w:r>
      <w:r w:rsidRPr="00C30DA4">
        <w:t>HNS</w:t>
      </w:r>
      <w:r w:rsidRPr="00C30DA4">
        <w:br/>
        <w:t>Telefon: 08-627 20 12</w:t>
      </w:r>
      <w:r>
        <w:br/>
      </w:r>
      <w:r w:rsidRPr="00C30DA4">
        <w:t xml:space="preserve">E-post: </w:t>
      </w:r>
      <w:hyperlink r:id="rId9" w:history="1">
        <w:r w:rsidRPr="00B864C6">
          <w:rPr>
            <w:rStyle w:val="Hyperlnk"/>
            <w:rFonts w:ascii="Garamond" w:hAnsi="Garamond"/>
          </w:rPr>
          <w:t>anahita.arai@nshorse.se</w:t>
        </w:r>
      </w:hyperlink>
      <w:r w:rsidRPr="00C30DA4">
        <w:t xml:space="preserve"> </w:t>
      </w:r>
      <w:r>
        <w:br/>
      </w:r>
    </w:p>
    <w:p w:rsidR="006A49B1" w:rsidRPr="00C30DA4" w:rsidRDefault="006A49B1" w:rsidP="006A49B1">
      <w:pPr>
        <w:rPr>
          <w:rFonts w:ascii="Garamond" w:hAnsi="Garamond"/>
          <w:sz w:val="24"/>
          <w:szCs w:val="24"/>
        </w:rPr>
      </w:pPr>
      <w:r w:rsidRPr="00C30DA4">
        <w:rPr>
          <w:rFonts w:ascii="Garamond" w:hAnsi="Garamond"/>
          <w:i/>
          <w:sz w:val="24"/>
          <w:szCs w:val="24"/>
        </w:rPr>
        <w:t>Hästnäringens Natio</w:t>
      </w:r>
      <w:r w:rsidRPr="00C30DA4">
        <w:rPr>
          <w:rFonts w:ascii="Garamond" w:hAnsi="Garamond" w:cs="Helvetica"/>
          <w:i/>
          <w:iCs/>
          <w:sz w:val="24"/>
          <w:szCs w:val="24"/>
        </w:rPr>
        <w:t>nella Stiftelse, HNS, är ett samverkansorgan inom svensk hästsektor. Speciellt intresse ägnas åt utbildning samt avel och uppfödning. HNS har det övergripande ekonomiska och organisatoriska ansvaret för Hästnäringens Riksanläggningar Flyinge, Strömsho</w:t>
      </w:r>
      <w:bookmarkStart w:id="0" w:name="_GoBack"/>
      <w:bookmarkEnd w:id="0"/>
      <w:r w:rsidRPr="00C30DA4">
        <w:rPr>
          <w:rFonts w:ascii="Garamond" w:hAnsi="Garamond" w:cs="Helvetica"/>
          <w:i/>
          <w:iCs/>
          <w:sz w:val="24"/>
          <w:szCs w:val="24"/>
        </w:rPr>
        <w:t xml:space="preserve">lm och </w:t>
      </w:r>
      <w:proofErr w:type="spellStart"/>
      <w:r w:rsidRPr="00C30DA4">
        <w:rPr>
          <w:rFonts w:ascii="Garamond" w:hAnsi="Garamond" w:cs="Helvetica"/>
          <w:i/>
          <w:iCs/>
          <w:sz w:val="24"/>
          <w:szCs w:val="24"/>
        </w:rPr>
        <w:t>Wången</w:t>
      </w:r>
      <w:proofErr w:type="spellEnd"/>
      <w:r w:rsidRPr="00C30DA4">
        <w:rPr>
          <w:rFonts w:ascii="Garamond" w:hAnsi="Garamond" w:cs="Helvetica"/>
          <w:i/>
          <w:iCs/>
          <w:sz w:val="24"/>
          <w:szCs w:val="24"/>
        </w:rPr>
        <w:t xml:space="preserve">. Andra verksamhetsområden är gemensamma frågor samt forskning och utveckling via Stiftelsen Hästforskning. HNS, Hästsportens Hus, 161 89 Stockholm, </w:t>
      </w:r>
      <w:hyperlink r:id="rId10" w:history="1">
        <w:r w:rsidRPr="00C30DA4">
          <w:rPr>
            <w:rStyle w:val="Hyperlnk"/>
            <w:rFonts w:ascii="Garamond" w:hAnsi="Garamond" w:cs="Helvetica"/>
            <w:sz w:val="24"/>
            <w:szCs w:val="24"/>
          </w:rPr>
          <w:t>www.nshorse.se</w:t>
        </w:r>
      </w:hyperlink>
    </w:p>
    <w:p w:rsidR="006A49B1" w:rsidRDefault="006A49B1" w:rsidP="006A49B1"/>
    <w:p w:rsidR="004B14DC" w:rsidRDefault="004B14DC"/>
    <w:sectPr w:rsidR="004B14DC" w:rsidSect="00CE10D5">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6387HZM3DDjcvCewkUfbuY4umX8=" w:salt="Fx3A7aZFYb5xnpVoF1JWI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B1"/>
    <w:rsid w:val="00095EE1"/>
    <w:rsid w:val="004B14DC"/>
    <w:rsid w:val="005B1E85"/>
    <w:rsid w:val="006A49B1"/>
    <w:rsid w:val="00A25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1"/>
  </w:style>
  <w:style w:type="paragraph" w:styleId="Rubrik1">
    <w:name w:val="heading 1"/>
    <w:basedOn w:val="Normal"/>
    <w:next w:val="Normal"/>
    <w:link w:val="Rubrik1Char"/>
    <w:uiPriority w:val="9"/>
    <w:qFormat/>
    <w:rsid w:val="006A49B1"/>
    <w:pPr>
      <w:keepNext/>
      <w:keepLines/>
      <w:spacing w:after="120" w:line="240" w:lineRule="auto"/>
      <w:outlineLvl w:val="0"/>
    </w:pPr>
    <w:rPr>
      <w:rFonts w:ascii="Franklin Gothic Medium" w:eastAsiaTheme="majorEastAsia" w:hAnsi="Franklin Gothic Medium" w:cstheme="majorBidi"/>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9B1"/>
    <w:rPr>
      <w:rFonts w:ascii="Franklin Gothic Medium" w:eastAsiaTheme="majorEastAsia" w:hAnsi="Franklin Gothic Medium" w:cstheme="majorBidi"/>
      <w:bCs/>
      <w:sz w:val="24"/>
      <w:szCs w:val="28"/>
    </w:rPr>
  </w:style>
  <w:style w:type="table" w:styleId="Tabellrutnt">
    <w:name w:val="Table Grid"/>
    <w:basedOn w:val="Normaltabell"/>
    <w:uiPriority w:val="59"/>
    <w:rsid w:val="006A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6A49B1"/>
    <w:rPr>
      <w:color w:val="0000FF" w:themeColor="hyperlink"/>
      <w:u w:val="single"/>
    </w:rPr>
  </w:style>
  <w:style w:type="paragraph" w:styleId="Ingetavstnd">
    <w:name w:val="No Spacing"/>
    <w:uiPriority w:val="1"/>
    <w:qFormat/>
    <w:rsid w:val="006A49B1"/>
    <w:pPr>
      <w:spacing w:after="0" w:line="240" w:lineRule="auto"/>
    </w:pPr>
    <w:rPr>
      <w:rFonts w:ascii="Garamond" w:eastAsia="Times New Roman" w:hAnsi="Garamond"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1"/>
  </w:style>
  <w:style w:type="paragraph" w:styleId="Rubrik1">
    <w:name w:val="heading 1"/>
    <w:basedOn w:val="Normal"/>
    <w:next w:val="Normal"/>
    <w:link w:val="Rubrik1Char"/>
    <w:uiPriority w:val="9"/>
    <w:qFormat/>
    <w:rsid w:val="006A49B1"/>
    <w:pPr>
      <w:keepNext/>
      <w:keepLines/>
      <w:spacing w:after="120" w:line="240" w:lineRule="auto"/>
      <w:outlineLvl w:val="0"/>
    </w:pPr>
    <w:rPr>
      <w:rFonts w:ascii="Franklin Gothic Medium" w:eastAsiaTheme="majorEastAsia" w:hAnsi="Franklin Gothic Medium" w:cstheme="majorBidi"/>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9B1"/>
    <w:rPr>
      <w:rFonts w:ascii="Franklin Gothic Medium" w:eastAsiaTheme="majorEastAsia" w:hAnsi="Franklin Gothic Medium" w:cstheme="majorBidi"/>
      <w:bCs/>
      <w:sz w:val="24"/>
      <w:szCs w:val="28"/>
    </w:rPr>
  </w:style>
  <w:style w:type="table" w:styleId="Tabellrutnt">
    <w:name w:val="Table Grid"/>
    <w:basedOn w:val="Normaltabell"/>
    <w:uiPriority w:val="59"/>
    <w:rsid w:val="006A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6A49B1"/>
    <w:rPr>
      <w:color w:val="0000FF" w:themeColor="hyperlink"/>
      <w:u w:val="single"/>
    </w:rPr>
  </w:style>
  <w:style w:type="paragraph" w:styleId="Ingetavstnd">
    <w:name w:val="No Spacing"/>
    <w:uiPriority w:val="1"/>
    <w:qFormat/>
    <w:rsid w:val="006A49B1"/>
    <w:pPr>
      <w:spacing w:after="0" w:line="240" w:lineRule="auto"/>
    </w:pPr>
    <w:rPr>
      <w:rFonts w:ascii="Garamond" w:eastAsia="Times New Roman" w:hAnsi="Garamond"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ohanson@nshorse.se" TargetMode="External"/><Relationship Id="rId3" Type="http://schemas.openxmlformats.org/officeDocument/2006/relationships/settings" Target="settings.xml"/><Relationship Id="rId7" Type="http://schemas.openxmlformats.org/officeDocument/2006/relationships/hyperlink" Target="mailto:anahita.arai@nshorse.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fan.johanson@nshors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horse.se" TargetMode="External"/><Relationship Id="rId4" Type="http://schemas.openxmlformats.org/officeDocument/2006/relationships/webSettings" Target="web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2481</Characters>
  <Application>Microsoft Office Word</Application>
  <DocSecurity>8</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dcterms:created xsi:type="dcterms:W3CDTF">2014-03-24T09:08:00Z</dcterms:created>
  <dcterms:modified xsi:type="dcterms:W3CDTF">2014-03-24T09:08:00Z</dcterms:modified>
</cp:coreProperties>
</file>