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BF0" w:rsidRPr="00221BF0" w:rsidRDefault="00221BF0" w:rsidP="00E70D6A">
      <w:pPr>
        <w:pStyle w:val="StandardWeb"/>
        <w:spacing w:line="240" w:lineRule="atLeast"/>
        <w:rPr>
          <w:rStyle w:val="Fett"/>
          <w:rFonts w:cs="Arial"/>
          <w:sz w:val="22"/>
          <w:szCs w:val="22"/>
          <w:u w:val="single"/>
        </w:rPr>
      </w:pPr>
      <w:r w:rsidRPr="00221BF0">
        <w:rPr>
          <w:rStyle w:val="Fett"/>
          <w:rFonts w:cs="Arial"/>
          <w:sz w:val="22"/>
          <w:szCs w:val="22"/>
          <w:u w:val="single"/>
        </w:rPr>
        <w:t>Knöllchen oft überflüssig</w:t>
      </w:r>
    </w:p>
    <w:p w:rsidR="002E5542" w:rsidRPr="00221BF0" w:rsidRDefault="002E5542" w:rsidP="00E70D6A">
      <w:pPr>
        <w:pStyle w:val="StandardWeb"/>
        <w:spacing w:line="240" w:lineRule="atLeast"/>
        <w:rPr>
          <w:rStyle w:val="Fett"/>
          <w:rFonts w:cs="Arial"/>
          <w:sz w:val="28"/>
          <w:szCs w:val="28"/>
        </w:rPr>
      </w:pPr>
      <w:r w:rsidRPr="00221BF0">
        <w:rPr>
          <w:rStyle w:val="Fett"/>
          <w:rFonts w:cs="Arial"/>
          <w:sz w:val="28"/>
          <w:szCs w:val="28"/>
        </w:rPr>
        <w:t>Antworten rund ums Halten und Parken</w:t>
      </w:r>
    </w:p>
    <w:p w:rsidR="00D74A02" w:rsidRPr="00E70D6A" w:rsidRDefault="00D74A02" w:rsidP="00E70D6A">
      <w:pPr>
        <w:pStyle w:val="StandardWeb"/>
        <w:spacing w:line="240" w:lineRule="atLeast"/>
        <w:rPr>
          <w:sz w:val="22"/>
          <w:szCs w:val="22"/>
        </w:rPr>
      </w:pPr>
    </w:p>
    <w:p w:rsidR="002E5542" w:rsidRDefault="00E70D6A" w:rsidP="00E70D6A">
      <w:pPr>
        <w:pStyle w:val="StandardWeb"/>
        <w:spacing w:line="240" w:lineRule="atLeast"/>
        <w:rPr>
          <w:rStyle w:val="Fett"/>
          <w:rFonts w:cs="Arial"/>
          <w:sz w:val="22"/>
          <w:szCs w:val="22"/>
        </w:rPr>
      </w:pPr>
      <w:r>
        <w:rPr>
          <w:rStyle w:val="Fett"/>
          <w:rFonts w:cs="Arial"/>
          <w:sz w:val="22"/>
          <w:szCs w:val="22"/>
        </w:rPr>
        <w:t>(</w:t>
      </w:r>
      <w:r w:rsidR="00857265">
        <w:rPr>
          <w:rStyle w:val="Fett"/>
          <w:rFonts w:cs="Arial"/>
          <w:sz w:val="22"/>
          <w:szCs w:val="22"/>
        </w:rPr>
        <w:t>Novembe</w:t>
      </w:r>
      <w:bookmarkStart w:id="0" w:name="_GoBack"/>
      <w:bookmarkEnd w:id="0"/>
      <w:r w:rsidR="00E75EE9">
        <w:rPr>
          <w:rStyle w:val="Fett"/>
          <w:rFonts w:cs="Arial"/>
          <w:sz w:val="22"/>
          <w:szCs w:val="22"/>
        </w:rPr>
        <w:t>r</w:t>
      </w:r>
      <w:r>
        <w:rPr>
          <w:rStyle w:val="Fett"/>
          <w:rFonts w:cs="Arial"/>
          <w:sz w:val="22"/>
          <w:szCs w:val="22"/>
        </w:rPr>
        <w:t xml:space="preserve"> 2018) Hier hat sich fast jeder Verkehrsteilnehmer schon mal in die Sünderkartei eingetragen: Knöllchen für </w:t>
      </w:r>
      <w:r w:rsidR="002E5542" w:rsidRPr="00E70D6A">
        <w:rPr>
          <w:rStyle w:val="Fett"/>
          <w:rFonts w:cs="Arial"/>
          <w:sz w:val="22"/>
          <w:szCs w:val="22"/>
        </w:rPr>
        <w:t xml:space="preserve">Park- und Halteverstöße </w:t>
      </w:r>
      <w:r>
        <w:rPr>
          <w:rStyle w:val="Fett"/>
          <w:rFonts w:cs="Arial"/>
          <w:sz w:val="22"/>
          <w:szCs w:val="22"/>
        </w:rPr>
        <w:t>sind nich</w:t>
      </w:r>
      <w:r w:rsidR="00527258">
        <w:rPr>
          <w:rStyle w:val="Fett"/>
          <w:rFonts w:cs="Arial"/>
          <w:sz w:val="22"/>
          <w:szCs w:val="22"/>
        </w:rPr>
        <w:t xml:space="preserve">t nur ärgerlich, sondern </w:t>
      </w:r>
      <w:r>
        <w:rPr>
          <w:rStyle w:val="Fett"/>
          <w:rFonts w:cs="Arial"/>
          <w:sz w:val="22"/>
          <w:szCs w:val="22"/>
        </w:rPr>
        <w:t xml:space="preserve">auch </w:t>
      </w:r>
      <w:r w:rsidR="00D74A02">
        <w:rPr>
          <w:rStyle w:val="Fett"/>
          <w:rFonts w:cs="Arial"/>
          <w:sz w:val="22"/>
          <w:szCs w:val="22"/>
        </w:rPr>
        <w:t>vermeidbar</w:t>
      </w:r>
      <w:r>
        <w:rPr>
          <w:rStyle w:val="Fett"/>
          <w:rFonts w:cs="Arial"/>
          <w:sz w:val="22"/>
          <w:szCs w:val="22"/>
        </w:rPr>
        <w:t xml:space="preserve">. Der </w:t>
      </w:r>
      <w:r w:rsidR="002E5542" w:rsidRPr="00E70D6A">
        <w:rPr>
          <w:rStyle w:val="Fett"/>
          <w:rFonts w:cs="Arial"/>
          <w:sz w:val="22"/>
          <w:szCs w:val="22"/>
        </w:rPr>
        <w:t>ARCD</w:t>
      </w:r>
      <w:r>
        <w:rPr>
          <w:rStyle w:val="Fett"/>
          <w:rFonts w:cs="Arial"/>
          <w:sz w:val="22"/>
          <w:szCs w:val="22"/>
        </w:rPr>
        <w:t>, Kooperationspartner der SIGNAL IDUNA, hat dazu ein paar Informationen zusammengestellt.</w:t>
      </w:r>
    </w:p>
    <w:p w:rsidR="00E70D6A" w:rsidRPr="00E70D6A" w:rsidRDefault="00E70D6A" w:rsidP="00E70D6A">
      <w:pPr>
        <w:pStyle w:val="StandardWeb"/>
        <w:spacing w:line="240" w:lineRule="atLeast"/>
        <w:rPr>
          <w:sz w:val="22"/>
          <w:szCs w:val="22"/>
        </w:rPr>
      </w:pPr>
    </w:p>
    <w:p w:rsidR="00D74A02" w:rsidRDefault="00D74A02" w:rsidP="00E70D6A">
      <w:pPr>
        <w:pStyle w:val="StandardWeb"/>
        <w:spacing w:line="24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Der Unterschied zwischen Halten und Parken ist klar definiert: </w:t>
      </w:r>
      <w:r w:rsidR="002E5542" w:rsidRPr="00E70D6A">
        <w:rPr>
          <w:rFonts w:cs="Arial"/>
          <w:sz w:val="22"/>
          <w:szCs w:val="22"/>
        </w:rPr>
        <w:t>Jemand parkt, wenn er sein Fahrzeug verlässt oder länger als drei Minuten hält.</w:t>
      </w:r>
      <w:r w:rsidRPr="00E70D6A">
        <w:rPr>
          <w:rFonts w:cs="Arial"/>
          <w:sz w:val="22"/>
          <w:szCs w:val="22"/>
        </w:rPr>
        <w:t xml:space="preserve"> </w:t>
      </w:r>
      <w:r w:rsidR="002E5542" w:rsidRPr="00E70D6A">
        <w:rPr>
          <w:rFonts w:cs="Arial"/>
          <w:sz w:val="22"/>
          <w:szCs w:val="22"/>
        </w:rPr>
        <w:t>An engen und u</w:t>
      </w:r>
      <w:r>
        <w:rPr>
          <w:rFonts w:cs="Arial"/>
          <w:sz w:val="22"/>
          <w:szCs w:val="22"/>
        </w:rPr>
        <w:t>nübersichtlichen Straßenstellen oder</w:t>
      </w:r>
      <w:r w:rsidR="002E5542" w:rsidRPr="00E70D6A">
        <w:rPr>
          <w:rFonts w:cs="Arial"/>
          <w:sz w:val="22"/>
          <w:szCs w:val="22"/>
        </w:rPr>
        <w:t xml:space="preserve"> im Bereich von scharfen Kurven, auf Fußgängerüberwegen sowie bis zu fünf Meter davor</w:t>
      </w:r>
      <w:r w:rsidR="00221BF0">
        <w:rPr>
          <w:rFonts w:cs="Arial"/>
          <w:sz w:val="22"/>
          <w:szCs w:val="22"/>
        </w:rPr>
        <w:t xml:space="preserve"> sind Halten und Parken </w:t>
      </w:r>
      <w:r>
        <w:rPr>
          <w:rFonts w:cs="Arial"/>
          <w:sz w:val="22"/>
          <w:szCs w:val="22"/>
        </w:rPr>
        <w:t>verboten.</w:t>
      </w:r>
      <w:r w:rsidR="002E5542" w:rsidRPr="00E70D6A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Genauso wie </w:t>
      </w:r>
      <w:r w:rsidR="002E5542" w:rsidRPr="00E70D6A">
        <w:rPr>
          <w:rFonts w:cs="Arial"/>
          <w:sz w:val="22"/>
          <w:szCs w:val="22"/>
        </w:rPr>
        <w:t xml:space="preserve">auf Einfädelungs- und Ausfädelungsstreifen, auf Bahnübergängen, auf Autobahnen und Kraftfahrstraßen sowie vor und in amtlich gekennzeichneten Feuerwehrzufahrten. </w:t>
      </w:r>
      <w:r>
        <w:rPr>
          <w:rFonts w:cs="Arial"/>
          <w:sz w:val="22"/>
          <w:szCs w:val="22"/>
        </w:rPr>
        <w:t xml:space="preserve">Weitere Einschränkungen regeln </w:t>
      </w:r>
      <w:r w:rsidR="002E5542" w:rsidRPr="00E70D6A">
        <w:rPr>
          <w:rFonts w:cs="Arial"/>
          <w:sz w:val="22"/>
          <w:szCs w:val="22"/>
        </w:rPr>
        <w:t>Halt- und Parkverbotsschilder</w:t>
      </w:r>
      <w:r>
        <w:rPr>
          <w:rFonts w:cs="Arial"/>
          <w:sz w:val="22"/>
          <w:szCs w:val="22"/>
        </w:rPr>
        <w:t>.</w:t>
      </w:r>
      <w:r w:rsidR="002E5542" w:rsidRPr="00E70D6A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Auf dem Gehweg darf man nur halten oder parken,</w:t>
      </w:r>
      <w:r w:rsidR="002E5542" w:rsidRPr="00E70D6A">
        <w:rPr>
          <w:rFonts w:cs="Arial"/>
          <w:sz w:val="22"/>
          <w:szCs w:val="22"/>
        </w:rPr>
        <w:t xml:space="preserve"> wenn eine Parkflächenmarkierung auf dem Bürgersteig angebracht ist oder das Parken auf Gehwegen durch Verkehrszeichen 315 ausdrücklich angeordnet ist.</w:t>
      </w:r>
    </w:p>
    <w:p w:rsidR="00D74A02" w:rsidRDefault="00D74A02" w:rsidP="00E70D6A">
      <w:pPr>
        <w:pStyle w:val="StandardWeb"/>
        <w:spacing w:line="240" w:lineRule="atLeast"/>
        <w:rPr>
          <w:rFonts w:cs="Arial"/>
          <w:sz w:val="22"/>
          <w:szCs w:val="22"/>
        </w:rPr>
      </w:pPr>
    </w:p>
    <w:p w:rsidR="002E5542" w:rsidRDefault="002E5542" w:rsidP="00E70D6A">
      <w:pPr>
        <w:pStyle w:val="StandardWeb"/>
        <w:spacing w:line="240" w:lineRule="atLeast"/>
        <w:rPr>
          <w:rFonts w:cs="Arial"/>
          <w:sz w:val="22"/>
          <w:szCs w:val="22"/>
        </w:rPr>
      </w:pPr>
      <w:r w:rsidRPr="00E70D6A">
        <w:rPr>
          <w:rFonts w:cs="Arial"/>
          <w:sz w:val="22"/>
          <w:szCs w:val="22"/>
        </w:rPr>
        <w:t>Grundsätzlich parkt und hält man platzsparend in Fahrtrichtung rechts</w:t>
      </w:r>
      <w:r w:rsidR="00D74A02">
        <w:rPr>
          <w:rFonts w:cs="Arial"/>
          <w:sz w:val="22"/>
          <w:szCs w:val="22"/>
        </w:rPr>
        <w:t xml:space="preserve">, </w:t>
      </w:r>
      <w:r w:rsidR="00C32551">
        <w:rPr>
          <w:rFonts w:cs="Arial"/>
          <w:sz w:val="22"/>
          <w:szCs w:val="22"/>
        </w:rPr>
        <w:t xml:space="preserve">und zwar auf dem </w:t>
      </w:r>
      <w:r w:rsidRPr="00E70D6A">
        <w:rPr>
          <w:rFonts w:cs="Arial"/>
          <w:sz w:val="22"/>
          <w:szCs w:val="22"/>
        </w:rPr>
        <w:t>rechten Seitenstreifen, entlang der Fahrbahn angelegte</w:t>
      </w:r>
      <w:r w:rsidR="00C32551">
        <w:rPr>
          <w:rFonts w:cs="Arial"/>
          <w:sz w:val="22"/>
          <w:szCs w:val="22"/>
        </w:rPr>
        <w:t>n</w:t>
      </w:r>
      <w:r w:rsidRPr="00E70D6A">
        <w:rPr>
          <w:rFonts w:cs="Arial"/>
          <w:sz w:val="22"/>
          <w:szCs w:val="22"/>
        </w:rPr>
        <w:t xml:space="preserve"> Parkstreifen oder -flächen sowie de</w:t>
      </w:r>
      <w:r w:rsidR="00C32551">
        <w:rPr>
          <w:rFonts w:cs="Arial"/>
          <w:sz w:val="22"/>
          <w:szCs w:val="22"/>
        </w:rPr>
        <w:t>m</w:t>
      </w:r>
      <w:r w:rsidRPr="00E70D6A">
        <w:rPr>
          <w:rFonts w:cs="Arial"/>
          <w:sz w:val="22"/>
          <w:szCs w:val="22"/>
        </w:rPr>
        <w:t xml:space="preserve"> rechten Fahrbahnrand. In Einbahnstraßen darf auch lin</w:t>
      </w:r>
      <w:r w:rsidR="0083704B">
        <w:rPr>
          <w:rFonts w:cs="Arial"/>
          <w:sz w:val="22"/>
          <w:szCs w:val="22"/>
        </w:rPr>
        <w:t>ks gehalten oder geparkt werden.</w:t>
      </w:r>
      <w:r w:rsidRPr="00E70D6A">
        <w:rPr>
          <w:rFonts w:cs="Arial"/>
          <w:sz w:val="22"/>
          <w:szCs w:val="22"/>
        </w:rPr>
        <w:t xml:space="preserve"> </w:t>
      </w:r>
      <w:r w:rsidR="0083704B">
        <w:rPr>
          <w:rFonts w:cs="Arial"/>
          <w:sz w:val="22"/>
          <w:szCs w:val="22"/>
        </w:rPr>
        <w:t xml:space="preserve">Dies trifft ebenso auf </w:t>
      </w:r>
      <w:r w:rsidRPr="00E70D6A">
        <w:rPr>
          <w:rFonts w:cs="Arial"/>
          <w:sz w:val="22"/>
          <w:szCs w:val="22"/>
        </w:rPr>
        <w:t>Straßen</w:t>
      </w:r>
      <w:r w:rsidR="0083704B">
        <w:rPr>
          <w:rFonts w:cs="Arial"/>
          <w:sz w:val="22"/>
          <w:szCs w:val="22"/>
        </w:rPr>
        <w:t xml:space="preserve"> zu</w:t>
      </w:r>
      <w:r w:rsidRPr="00E70D6A">
        <w:rPr>
          <w:rFonts w:cs="Arial"/>
          <w:sz w:val="22"/>
          <w:szCs w:val="22"/>
        </w:rPr>
        <w:t>, in denen Schienen so weit rechts verlegt sind, dass man dort nicht stehen bleiben kann.</w:t>
      </w:r>
    </w:p>
    <w:p w:rsidR="00D74A02" w:rsidRDefault="00D74A02" w:rsidP="00E70D6A">
      <w:pPr>
        <w:pStyle w:val="StandardWeb"/>
        <w:spacing w:line="240" w:lineRule="atLeast"/>
        <w:rPr>
          <w:rFonts w:cs="Arial"/>
          <w:sz w:val="22"/>
          <w:szCs w:val="22"/>
        </w:rPr>
      </w:pPr>
    </w:p>
    <w:p w:rsidR="002E5542" w:rsidRPr="00E70D6A" w:rsidRDefault="00D74A02" w:rsidP="00E70D6A">
      <w:pPr>
        <w:pStyle w:val="StandardWeb"/>
        <w:spacing w:line="240" w:lineRule="atLeast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Eine wichtige Frage </w:t>
      </w:r>
      <w:r w:rsidR="00A87940">
        <w:rPr>
          <w:rFonts w:cs="Arial"/>
          <w:sz w:val="22"/>
          <w:szCs w:val="22"/>
        </w:rPr>
        <w:t xml:space="preserve">– </w:t>
      </w:r>
      <w:r>
        <w:rPr>
          <w:rFonts w:cs="Arial"/>
          <w:sz w:val="22"/>
          <w:szCs w:val="22"/>
        </w:rPr>
        <w:t xml:space="preserve">und noch dazu eine mit hohem Konfliktpotenzial: Wer hat das Recht auf den Parkplatz? Auch dies ist klar geregelt. </w:t>
      </w:r>
      <w:r w:rsidR="002E5542" w:rsidRPr="00E70D6A">
        <w:rPr>
          <w:rFonts w:cs="Arial"/>
          <w:sz w:val="22"/>
          <w:szCs w:val="22"/>
        </w:rPr>
        <w:t xml:space="preserve">Vorrang an einer Parklücke hat, wer sie zuerst erreicht. </w:t>
      </w:r>
      <w:r w:rsidR="00A87940">
        <w:rPr>
          <w:rFonts w:cs="Arial"/>
          <w:sz w:val="22"/>
          <w:szCs w:val="22"/>
        </w:rPr>
        <w:t>Dies gilt auch</w:t>
      </w:r>
      <w:r w:rsidR="002E5542" w:rsidRPr="00E70D6A">
        <w:rPr>
          <w:rFonts w:cs="Arial"/>
          <w:sz w:val="22"/>
          <w:szCs w:val="22"/>
        </w:rPr>
        <w:t>, wenn ein Fahrer an der Parklücke vorbeigefahren ist, um rückwärts einzuparken, oder wenn er an einer gerade frei werdenden Parklücke wartet.</w:t>
      </w:r>
    </w:p>
    <w:p w:rsidR="00D74A02" w:rsidRDefault="00D74A02" w:rsidP="00E70D6A">
      <w:pPr>
        <w:pStyle w:val="StandardWeb"/>
        <w:spacing w:line="240" w:lineRule="atLeast"/>
        <w:rPr>
          <w:rFonts w:cs="Arial"/>
          <w:sz w:val="22"/>
          <w:szCs w:val="22"/>
        </w:rPr>
      </w:pPr>
    </w:p>
    <w:p w:rsidR="002E5542" w:rsidRPr="00E70D6A" w:rsidRDefault="00D74A02" w:rsidP="00E70D6A">
      <w:pPr>
        <w:pStyle w:val="StandardWeb"/>
        <w:spacing w:line="240" w:lineRule="atLeast"/>
        <w:rPr>
          <w:sz w:val="22"/>
          <w:szCs w:val="22"/>
        </w:rPr>
      </w:pPr>
      <w:r>
        <w:rPr>
          <w:rFonts w:cs="Arial"/>
          <w:sz w:val="22"/>
          <w:szCs w:val="22"/>
        </w:rPr>
        <w:t>Grundsätzlich ist es erlaubt, sein Auto an einem defekten Parkscheinautomaten abzustellen.</w:t>
      </w:r>
      <w:r w:rsidR="002E5542" w:rsidRPr="00E70D6A">
        <w:rPr>
          <w:rFonts w:cs="Arial"/>
          <w:sz w:val="22"/>
          <w:szCs w:val="22"/>
        </w:rPr>
        <w:t xml:space="preserve"> In diesem Fall muss der Fahrer allerdings eine Parkscheibe stellen und diese gut lesbar im Fahrzeug anbringen. Wichtig ist dann auch, die Höchstp</w:t>
      </w:r>
      <w:r>
        <w:rPr>
          <w:rFonts w:cs="Arial"/>
          <w:sz w:val="22"/>
          <w:szCs w:val="22"/>
        </w:rPr>
        <w:t>arkdauer nicht zu überschreiten, erinnert der ARCD.</w:t>
      </w:r>
    </w:p>
    <w:p w:rsidR="00D74A02" w:rsidRDefault="00D74A02" w:rsidP="00E70D6A">
      <w:pPr>
        <w:pStyle w:val="StandardWeb"/>
        <w:spacing w:line="240" w:lineRule="atLeast"/>
        <w:rPr>
          <w:rFonts w:cs="Arial"/>
          <w:sz w:val="22"/>
          <w:szCs w:val="22"/>
        </w:rPr>
      </w:pPr>
    </w:p>
    <w:p w:rsidR="002E5542" w:rsidRPr="00E70D6A" w:rsidRDefault="002E5542" w:rsidP="00E70D6A">
      <w:pPr>
        <w:pStyle w:val="StandardWeb"/>
        <w:spacing w:line="240" w:lineRule="atLeast"/>
        <w:rPr>
          <w:sz w:val="22"/>
          <w:szCs w:val="22"/>
        </w:rPr>
      </w:pPr>
      <w:r w:rsidRPr="00E70D6A">
        <w:rPr>
          <w:rFonts w:cs="Arial"/>
          <w:sz w:val="22"/>
          <w:szCs w:val="22"/>
        </w:rPr>
        <w:t xml:space="preserve">Kraftfahrzeuganhänger ohne Zugfahrzeug dürfen </w:t>
      </w:r>
      <w:r w:rsidR="00D74A02">
        <w:rPr>
          <w:rFonts w:cs="Arial"/>
          <w:sz w:val="22"/>
          <w:szCs w:val="22"/>
        </w:rPr>
        <w:t xml:space="preserve">übrigens </w:t>
      </w:r>
      <w:r w:rsidRPr="00E70D6A">
        <w:rPr>
          <w:rFonts w:cs="Arial"/>
          <w:sz w:val="22"/>
          <w:szCs w:val="22"/>
        </w:rPr>
        <w:t xml:space="preserve">nicht länger als zwei Wochen geparkt werden. Auf entsprechend gekennzeichneten Parkplätzen gilt das allerdings nicht. Für zugelassene Wohnmobile bis 7,5 Tonnen gibt es dagegen keine zeitliche Beschränkung. </w:t>
      </w:r>
    </w:p>
    <w:p w:rsidR="00B40726" w:rsidRPr="00E70D6A" w:rsidRDefault="00B40726" w:rsidP="00E70D6A">
      <w:pPr>
        <w:spacing w:line="240" w:lineRule="atLeast"/>
        <w:rPr>
          <w:sz w:val="22"/>
          <w:szCs w:val="22"/>
        </w:rPr>
      </w:pPr>
    </w:p>
    <w:sectPr w:rsidR="00B40726" w:rsidRPr="00E70D6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0BE9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D6E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B05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34FB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F41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92C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4ACA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86A2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4F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C0D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F5E7D8E"/>
    <w:multiLevelType w:val="multilevel"/>
    <w:tmpl w:val="298C5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277"/>
    <w:rsid w:val="000B0277"/>
    <w:rsid w:val="00221BF0"/>
    <w:rsid w:val="002964BC"/>
    <w:rsid w:val="002E5542"/>
    <w:rsid w:val="00527258"/>
    <w:rsid w:val="005E0DB0"/>
    <w:rsid w:val="0083704B"/>
    <w:rsid w:val="00857265"/>
    <w:rsid w:val="00972BFB"/>
    <w:rsid w:val="00A87940"/>
    <w:rsid w:val="00B40726"/>
    <w:rsid w:val="00C32551"/>
    <w:rsid w:val="00D74A02"/>
    <w:rsid w:val="00E70D6A"/>
    <w:rsid w:val="00E7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B9DFC-7DB5-4DCD-9D03-B874D2270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64BC"/>
  </w:style>
  <w:style w:type="paragraph" w:styleId="berschrift1">
    <w:name w:val="heading 1"/>
    <w:basedOn w:val="Standard"/>
    <w:next w:val="Standard"/>
    <w:link w:val="berschrift1Zchn"/>
    <w:uiPriority w:val="9"/>
    <w:qFormat/>
    <w:rsid w:val="002964BC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964BC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964BC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64BC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64BC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64BC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64BC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64BC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64BC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basedOn w:val="Absatz-Standardschriftart"/>
    <w:uiPriority w:val="99"/>
    <w:semiHidden/>
    <w:unhideWhenUsed/>
    <w:rsid w:val="00972BFB"/>
    <w:rPr>
      <w:rFonts w:ascii="Arial" w:hAnsi="Arial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2BFB"/>
    <w:rPr>
      <w:rFonts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2BFB"/>
    <w:rPr>
      <w:rFonts w:cs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72BFB"/>
    <w:pPr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72BFB"/>
    <w:rPr>
      <w:rFonts w:eastAsiaTheme="majorEastAsia" w:cstheme="majorBidi"/>
      <w:b/>
      <w:bCs/>
    </w:rPr>
  </w:style>
  <w:style w:type="paragraph" w:styleId="Makrotext">
    <w:name w:val="macro"/>
    <w:link w:val="MakrotextZchn"/>
    <w:uiPriority w:val="99"/>
    <w:semiHidden/>
    <w:unhideWhenUsed/>
    <w:rsid w:val="00296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4BC"/>
    <w:rPr>
      <w:rFonts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96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4BC"/>
    <w:rPr>
      <w:rFonts w:eastAsiaTheme="majorEastAsia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2964BC"/>
    <w:rPr>
      <w:rFonts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4BC"/>
    <w:rPr>
      <w:rFonts w:cs="Consolas"/>
      <w:sz w:val="21"/>
      <w:szCs w:val="21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964BC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4BC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4BC"/>
    <w:rPr>
      <w:rFonts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964BC"/>
    <w:rPr>
      <w:rFonts w:cs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2964B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964BC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4BC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964BC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964BC"/>
    <w:rPr>
      <w:rFonts w:eastAsiaTheme="majorEastAsia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4B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4BC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4BC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4BC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2964BC"/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2964B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64B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64BC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Hyperlink">
    <w:name w:val="Hyperlink"/>
    <w:basedOn w:val="Absatz-Standardschriftart"/>
    <w:uiPriority w:val="99"/>
    <w:semiHidden/>
    <w:unhideWhenUsed/>
    <w:rsid w:val="000B0277"/>
    <w:rPr>
      <w:strike w:val="0"/>
      <w:dstrike w:val="0"/>
      <w:color w:val="00BEF7"/>
      <w:sz w:val="24"/>
      <w:szCs w:val="24"/>
      <w:u w:val="none"/>
      <w:effect w:val="none"/>
    </w:rPr>
  </w:style>
  <w:style w:type="character" w:styleId="Fett">
    <w:name w:val="Strong"/>
    <w:basedOn w:val="Absatz-Standardschriftart"/>
    <w:uiPriority w:val="22"/>
    <w:qFormat/>
    <w:rsid w:val="000B0277"/>
    <w:rPr>
      <w:b/>
      <w:bCs/>
    </w:rPr>
  </w:style>
  <w:style w:type="character" w:styleId="Hervorhebung">
    <w:name w:val="Emphasis"/>
    <w:basedOn w:val="Absatz-Standardschriftart"/>
    <w:uiPriority w:val="20"/>
    <w:qFormat/>
    <w:rsid w:val="002E55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5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76434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16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87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8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104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44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639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965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13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843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1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922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46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41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3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153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0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45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387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8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46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23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03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2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SIGNAL IDUNA Gruppe</Company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Rehse</dc:creator>
  <cp:keywords/>
  <dc:description/>
  <cp:lastModifiedBy>Claus Rehse</cp:lastModifiedBy>
  <cp:revision>12</cp:revision>
  <cp:lastPrinted>2018-02-16T11:36:00Z</cp:lastPrinted>
  <dcterms:created xsi:type="dcterms:W3CDTF">2018-02-16T11:09:00Z</dcterms:created>
  <dcterms:modified xsi:type="dcterms:W3CDTF">2018-10-30T07:55:00Z</dcterms:modified>
</cp:coreProperties>
</file>