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7B" w:rsidRPr="00DF0CE3" w:rsidRDefault="00607C7B">
      <w:pPr>
        <w:rPr>
          <w:rFonts w:cstheme="minorHAnsi"/>
          <w:sz w:val="22"/>
          <w:szCs w:val="22"/>
        </w:rPr>
      </w:pPr>
    </w:p>
    <w:p w:rsidR="00607C7B" w:rsidRPr="00DF0CE3" w:rsidRDefault="00607C7B" w:rsidP="00607C7B">
      <w:pPr>
        <w:rPr>
          <w:rFonts w:cstheme="minorHAnsi"/>
          <w:sz w:val="22"/>
          <w:szCs w:val="22"/>
        </w:rPr>
      </w:pPr>
    </w:p>
    <w:p w:rsidR="00607C7B" w:rsidRPr="00DF0CE3" w:rsidRDefault="00607C7B" w:rsidP="00607C7B">
      <w:pPr>
        <w:pStyle w:val="Heading2"/>
        <w:rPr>
          <w:rFonts w:asciiTheme="minorHAnsi" w:hAnsiTheme="minorHAnsi" w:cstheme="minorHAnsi"/>
          <w:bCs/>
          <w:sz w:val="28"/>
          <w:szCs w:val="28"/>
          <w:lang w:val="da-DK"/>
        </w:rPr>
      </w:pPr>
      <w:r w:rsidRPr="00DF0CE3">
        <w:rPr>
          <w:rFonts w:asciiTheme="minorHAnsi" w:hAnsiTheme="minorHAnsi" w:cstheme="minorHAnsi"/>
          <w:bCs/>
          <w:sz w:val="28"/>
          <w:szCs w:val="28"/>
          <w:lang w:val="da-DK"/>
        </w:rPr>
        <w:t xml:space="preserve">Regeringens udspil på nye bilafgifter straffer plug-in-hybridbiler </w:t>
      </w:r>
    </w:p>
    <w:p w:rsidR="00607C7B" w:rsidRPr="00DF0CE3" w:rsidRDefault="00607C7B" w:rsidP="00607C7B">
      <w:pPr>
        <w:rPr>
          <w:rFonts w:cstheme="minorHAnsi"/>
          <w:i/>
          <w:iCs/>
          <w:sz w:val="22"/>
          <w:szCs w:val="22"/>
        </w:rPr>
      </w:pPr>
    </w:p>
    <w:p w:rsidR="00607C7B" w:rsidRPr="00DF0CE3" w:rsidRDefault="00607C7B" w:rsidP="00607C7B">
      <w:pPr>
        <w:rPr>
          <w:rFonts w:cstheme="minorHAnsi"/>
          <w:i/>
          <w:iCs/>
          <w:sz w:val="22"/>
          <w:szCs w:val="22"/>
        </w:rPr>
      </w:pPr>
      <w:r w:rsidRPr="00DF0CE3">
        <w:rPr>
          <w:rFonts w:cstheme="minorHAnsi"/>
          <w:i/>
          <w:iCs/>
          <w:sz w:val="22"/>
          <w:szCs w:val="22"/>
        </w:rPr>
        <w:t>Beregningsmodellen bag det nye regeringsudspil til nye bilafgifter straffer plug-in-hybridbiler, der af flere brancheorganisationer ellers anses for at være en vigtig trædesten frem mod transport baseret på ren el. Ifølge Peugeot Danmarks direktør sætter udspillet en kæp i hjulet på den grønne omstilling.</w:t>
      </w:r>
    </w:p>
    <w:p w:rsidR="00607C7B" w:rsidRPr="00DF0CE3" w:rsidRDefault="00607C7B" w:rsidP="00607C7B">
      <w:pPr>
        <w:rPr>
          <w:rFonts w:cstheme="minorHAnsi"/>
          <w:sz w:val="22"/>
          <w:szCs w:val="22"/>
        </w:rPr>
      </w:pPr>
    </w:p>
    <w:p w:rsidR="00607C7B" w:rsidRPr="00DF0CE3" w:rsidRDefault="00607C7B" w:rsidP="00607C7B">
      <w:pPr>
        <w:rPr>
          <w:rFonts w:cstheme="minorHAnsi"/>
          <w:sz w:val="22"/>
          <w:szCs w:val="22"/>
        </w:rPr>
      </w:pPr>
      <w:r w:rsidRPr="00DF0CE3">
        <w:rPr>
          <w:rFonts w:cstheme="minorHAnsi"/>
          <w:sz w:val="22"/>
          <w:szCs w:val="22"/>
        </w:rPr>
        <w:t xml:space="preserve">Siden Eldrup-kommissionen d. 7. september </w:t>
      </w:r>
      <w:r w:rsidR="00F5107A" w:rsidRPr="00DF0CE3">
        <w:rPr>
          <w:rFonts w:cstheme="minorHAnsi"/>
          <w:sz w:val="22"/>
          <w:szCs w:val="22"/>
        </w:rPr>
        <w:t xml:space="preserve">i år </w:t>
      </w:r>
      <w:r w:rsidRPr="00DF0CE3">
        <w:rPr>
          <w:rFonts w:cstheme="minorHAnsi"/>
          <w:sz w:val="22"/>
          <w:szCs w:val="22"/>
        </w:rPr>
        <w:t>præsenterede sine anbefalinger til nye bilafgifter, har regeringen ført samtaler med samtlige af Folketingets partier. Det har nu ført til, at regeringen selv har spillet ud med en række konkrete forslag for Folketingets partier i et saml</w:t>
      </w:r>
      <w:bookmarkStart w:id="0" w:name="_GoBack"/>
      <w:bookmarkEnd w:id="0"/>
      <w:r w:rsidRPr="00DF0CE3">
        <w:rPr>
          <w:rFonts w:cstheme="minorHAnsi"/>
          <w:sz w:val="22"/>
          <w:szCs w:val="22"/>
        </w:rPr>
        <w:t>et klimaudspil for vejtransportområdet. Forslag, som skal reducere CO2-udledningen og lægge trædestenene for en større omstilling af vejtransportsektoren.</w:t>
      </w:r>
    </w:p>
    <w:p w:rsidR="00607C7B" w:rsidRPr="00DF0CE3" w:rsidRDefault="00607C7B" w:rsidP="00607C7B">
      <w:pPr>
        <w:rPr>
          <w:rFonts w:cstheme="minorHAnsi"/>
          <w:sz w:val="22"/>
          <w:szCs w:val="22"/>
        </w:rPr>
      </w:pPr>
    </w:p>
    <w:p w:rsidR="00607C7B" w:rsidRPr="00DF0CE3" w:rsidRDefault="00607C7B" w:rsidP="00607C7B">
      <w:pPr>
        <w:rPr>
          <w:rFonts w:cstheme="minorHAnsi"/>
          <w:sz w:val="22"/>
          <w:szCs w:val="22"/>
        </w:rPr>
      </w:pPr>
      <w:r w:rsidRPr="00DF0CE3">
        <w:rPr>
          <w:rFonts w:cstheme="minorHAnsi"/>
          <w:sz w:val="22"/>
          <w:szCs w:val="22"/>
        </w:rPr>
        <w:t xml:space="preserve">Men </w:t>
      </w:r>
      <w:r w:rsidR="00F5107A" w:rsidRPr="00DF0CE3">
        <w:rPr>
          <w:rFonts w:cstheme="minorHAnsi"/>
          <w:sz w:val="22"/>
          <w:szCs w:val="22"/>
        </w:rPr>
        <w:t xml:space="preserve">ifølge Peugeot Danmark vil </w:t>
      </w:r>
      <w:r w:rsidRPr="00DF0CE3">
        <w:rPr>
          <w:rFonts w:cstheme="minorHAnsi"/>
          <w:b/>
          <w:bCs/>
          <w:sz w:val="22"/>
          <w:szCs w:val="22"/>
        </w:rPr>
        <w:t>beregningsmodellen</w:t>
      </w:r>
      <w:r w:rsidRPr="00DF0CE3">
        <w:rPr>
          <w:rFonts w:cstheme="minorHAnsi"/>
          <w:sz w:val="22"/>
          <w:szCs w:val="22"/>
        </w:rPr>
        <w:t xml:space="preserve"> bag det nye regeringsudspil til nye bilafgifter straffe plug-in-hybridbiler, der ellers anses for at være den trædesten, der skal bidrage til den grønne omstilling og understøtte udbygningen af ladeinfrastrukturen.</w:t>
      </w:r>
      <w:r w:rsidR="00F5107A" w:rsidRPr="00DF0CE3">
        <w:rPr>
          <w:rFonts w:cstheme="minorHAnsi"/>
          <w:sz w:val="22"/>
          <w:szCs w:val="22"/>
        </w:rPr>
        <w:t xml:space="preserve"> I gennemsnit vil plug-in-hybrid-biler stige med 20 % på det danske marked. </w:t>
      </w:r>
    </w:p>
    <w:p w:rsidR="00607C7B" w:rsidRPr="00DF0CE3" w:rsidRDefault="00607C7B" w:rsidP="00607C7B">
      <w:pPr>
        <w:rPr>
          <w:rFonts w:cstheme="minorHAnsi"/>
          <w:sz w:val="22"/>
          <w:szCs w:val="22"/>
        </w:rPr>
      </w:pPr>
    </w:p>
    <w:p w:rsidR="00F5107A" w:rsidRPr="00DF0CE3" w:rsidRDefault="00F5107A" w:rsidP="00607C7B">
      <w:pPr>
        <w:rPr>
          <w:rFonts w:cstheme="minorHAnsi"/>
          <w:sz w:val="22"/>
          <w:szCs w:val="22"/>
        </w:rPr>
      </w:pPr>
      <w:r w:rsidRPr="00DF0CE3">
        <w:rPr>
          <w:rFonts w:cstheme="minorHAnsi"/>
          <w:sz w:val="22"/>
          <w:szCs w:val="22"/>
        </w:rPr>
        <w:t xml:space="preserve">”Vi er hos Peugeot Danmark ikke ene om at se plug-in-bilen som et grønnere alternativ til benzin- og </w:t>
      </w:r>
      <w:proofErr w:type="spellStart"/>
      <w:r w:rsidRPr="00DF0CE3">
        <w:rPr>
          <w:rFonts w:cstheme="minorHAnsi"/>
          <w:sz w:val="22"/>
          <w:szCs w:val="22"/>
        </w:rPr>
        <w:t>diesel-biler</w:t>
      </w:r>
      <w:proofErr w:type="spellEnd"/>
      <w:r w:rsidRPr="00DF0CE3">
        <w:rPr>
          <w:rFonts w:cstheme="minorHAnsi"/>
          <w:sz w:val="22"/>
          <w:szCs w:val="22"/>
        </w:rPr>
        <w:t>. Derfor er det helt sort, at regeringen i deres udspil lægger op til prisstigninger, der uden tvivl vil få folk til fortsat at købe benzin- eller dieseludgaven. Det hænger ikke sammen med den grønne omstilling, som vi vel alle her i landet gerne vil bidrage til,” siger direktør, Joakim Læbo, Peugeot Danmark.</w:t>
      </w:r>
    </w:p>
    <w:p w:rsidR="00F5107A" w:rsidRPr="00DF0CE3" w:rsidRDefault="00F5107A" w:rsidP="00607C7B">
      <w:pPr>
        <w:rPr>
          <w:rFonts w:cstheme="minorHAnsi"/>
          <w:sz w:val="22"/>
          <w:szCs w:val="22"/>
        </w:rPr>
      </w:pPr>
    </w:p>
    <w:p w:rsidR="00607C7B" w:rsidRPr="00DF0CE3" w:rsidRDefault="00607C7B" w:rsidP="00607C7B">
      <w:pPr>
        <w:rPr>
          <w:rFonts w:cstheme="minorHAnsi"/>
          <w:sz w:val="22"/>
          <w:szCs w:val="22"/>
        </w:rPr>
      </w:pPr>
      <w:r w:rsidRPr="00DF0CE3">
        <w:rPr>
          <w:rFonts w:cstheme="minorHAnsi"/>
          <w:sz w:val="22"/>
          <w:szCs w:val="22"/>
        </w:rPr>
        <w:t xml:space="preserve">Et konkret eksempel er Peugeots mellemklassebil 3008. En populær bil til familier, der </w:t>
      </w:r>
      <w:r w:rsidR="00620122">
        <w:rPr>
          <w:rFonts w:cstheme="minorHAnsi"/>
          <w:sz w:val="22"/>
          <w:szCs w:val="22"/>
        </w:rPr>
        <w:t>prismæssigt passer godt til mange familier</w:t>
      </w:r>
      <w:r w:rsidRPr="00DF0CE3">
        <w:rPr>
          <w:rFonts w:cstheme="minorHAnsi"/>
          <w:sz w:val="22"/>
          <w:szCs w:val="22"/>
        </w:rPr>
        <w:t>. Her giver regeringens nye udspil en afgiftsstigning på benzin</w:t>
      </w:r>
      <w:r w:rsidR="00F5107A" w:rsidRPr="00DF0CE3">
        <w:rPr>
          <w:rFonts w:cstheme="minorHAnsi"/>
          <w:sz w:val="22"/>
          <w:szCs w:val="22"/>
        </w:rPr>
        <w:t>udgaven</w:t>
      </w:r>
      <w:r w:rsidRPr="00DF0CE3">
        <w:rPr>
          <w:rFonts w:cstheme="minorHAnsi"/>
          <w:sz w:val="22"/>
          <w:szCs w:val="22"/>
        </w:rPr>
        <w:t xml:space="preserve"> på ca. 18.000 kr., diesel</w:t>
      </w:r>
      <w:r w:rsidR="00F5107A" w:rsidRPr="00DF0CE3">
        <w:rPr>
          <w:rFonts w:cstheme="minorHAnsi"/>
          <w:sz w:val="22"/>
          <w:szCs w:val="22"/>
        </w:rPr>
        <w:t>udgaven på</w:t>
      </w:r>
      <w:r w:rsidRPr="00DF0CE3">
        <w:rPr>
          <w:rFonts w:cstheme="minorHAnsi"/>
          <w:sz w:val="22"/>
          <w:szCs w:val="22"/>
        </w:rPr>
        <w:t xml:space="preserve"> ca. 22.000</w:t>
      </w:r>
      <w:r w:rsidR="00F5107A" w:rsidRPr="00DF0CE3">
        <w:rPr>
          <w:rFonts w:cstheme="minorHAnsi"/>
          <w:sz w:val="22"/>
          <w:szCs w:val="22"/>
        </w:rPr>
        <w:t xml:space="preserve"> kr.</w:t>
      </w:r>
      <w:r w:rsidRPr="00DF0CE3">
        <w:rPr>
          <w:rFonts w:cstheme="minorHAnsi"/>
          <w:sz w:val="22"/>
          <w:szCs w:val="22"/>
        </w:rPr>
        <w:t>, mens plug-in-hybridudgaven stiger med 130.000 kr.</w:t>
      </w:r>
    </w:p>
    <w:p w:rsidR="00607C7B" w:rsidRPr="00DF0CE3" w:rsidRDefault="00607C7B" w:rsidP="00607C7B">
      <w:pPr>
        <w:rPr>
          <w:rFonts w:cstheme="minorHAnsi"/>
          <w:sz w:val="22"/>
          <w:szCs w:val="22"/>
        </w:rPr>
      </w:pPr>
    </w:p>
    <w:p w:rsidR="00DF0CE3" w:rsidRPr="00DF0CE3" w:rsidRDefault="00DF0CE3" w:rsidP="00607C7B">
      <w:pPr>
        <w:rPr>
          <w:rFonts w:cstheme="minorHAnsi"/>
          <w:b/>
          <w:bCs/>
          <w:sz w:val="22"/>
          <w:szCs w:val="22"/>
        </w:rPr>
      </w:pPr>
      <w:r w:rsidRPr="00DF0CE3">
        <w:rPr>
          <w:rFonts w:cstheme="minorHAnsi"/>
          <w:b/>
          <w:bCs/>
          <w:sz w:val="22"/>
          <w:szCs w:val="22"/>
        </w:rPr>
        <w:t>Det bliver dyrere at udlede mindre CO2</w:t>
      </w:r>
    </w:p>
    <w:p w:rsidR="00607C7B" w:rsidRPr="00DF0CE3" w:rsidRDefault="00607C7B" w:rsidP="00607C7B">
      <w:pPr>
        <w:rPr>
          <w:rFonts w:cstheme="minorHAnsi"/>
          <w:sz w:val="22"/>
          <w:szCs w:val="22"/>
        </w:rPr>
      </w:pPr>
      <w:r w:rsidRPr="00DF0CE3">
        <w:rPr>
          <w:rFonts w:cstheme="minorHAnsi"/>
          <w:sz w:val="22"/>
          <w:szCs w:val="22"/>
        </w:rPr>
        <w:t>Hybridudgaven af 3008 udleder 3</w:t>
      </w:r>
      <w:r w:rsidR="002B2C58">
        <w:rPr>
          <w:rFonts w:cstheme="minorHAnsi"/>
          <w:sz w:val="22"/>
          <w:szCs w:val="22"/>
        </w:rPr>
        <w:t>1</w:t>
      </w:r>
      <w:r w:rsidRPr="00DF0CE3">
        <w:rPr>
          <w:rFonts w:cstheme="minorHAnsi"/>
          <w:sz w:val="22"/>
          <w:szCs w:val="22"/>
        </w:rPr>
        <w:t xml:space="preserve"> gram CO2 pr. km, hvor gennemsnittet for den danske bilpark (2019) er 139 g CO2/km. Men ifølge </w:t>
      </w:r>
      <w:r w:rsidR="00DF0CE3" w:rsidRPr="00DF0CE3">
        <w:rPr>
          <w:rFonts w:cstheme="minorHAnsi"/>
          <w:sz w:val="22"/>
          <w:szCs w:val="22"/>
        </w:rPr>
        <w:t xml:space="preserve">Joakim Læbo </w:t>
      </w:r>
      <w:r w:rsidRPr="00DF0CE3">
        <w:rPr>
          <w:rFonts w:cstheme="minorHAnsi"/>
          <w:sz w:val="22"/>
          <w:szCs w:val="22"/>
        </w:rPr>
        <w:t>gør udspillet og de nye bilafgifter det umuligt for mange danskere at få råd til en almindelig mellemklasse plug-in-hybridbil. En prisstigning på 130.000 kr. vil ifølge direktøren sætte mange mulige købere af.</w:t>
      </w:r>
    </w:p>
    <w:p w:rsidR="00607C7B" w:rsidRPr="00DF0CE3" w:rsidRDefault="00607C7B" w:rsidP="00607C7B">
      <w:pPr>
        <w:rPr>
          <w:rFonts w:cstheme="minorHAnsi"/>
          <w:sz w:val="22"/>
          <w:szCs w:val="22"/>
        </w:rPr>
      </w:pPr>
    </w:p>
    <w:p w:rsidR="00607C7B" w:rsidRPr="00DF0CE3" w:rsidRDefault="00DF0CE3" w:rsidP="00607C7B">
      <w:pPr>
        <w:rPr>
          <w:rFonts w:cstheme="minorHAnsi"/>
          <w:sz w:val="22"/>
          <w:szCs w:val="22"/>
        </w:rPr>
      </w:pPr>
      <w:r w:rsidRPr="00DF0CE3">
        <w:rPr>
          <w:rFonts w:cstheme="minorHAnsi"/>
          <w:sz w:val="22"/>
          <w:szCs w:val="22"/>
        </w:rPr>
        <w:t>”</w:t>
      </w:r>
      <w:r w:rsidR="00607C7B" w:rsidRPr="00DF0CE3">
        <w:rPr>
          <w:rFonts w:cstheme="minorHAnsi"/>
          <w:sz w:val="22"/>
          <w:szCs w:val="22"/>
        </w:rPr>
        <w:t xml:space="preserve">Plug-in-hybridbiler har en markant mindre CO2-udledning målt op imod den konventionelle danske bilpark, der kører på benzin og diesel. </w:t>
      </w:r>
      <w:r w:rsidRPr="00DF0CE3">
        <w:rPr>
          <w:rFonts w:cstheme="minorHAnsi"/>
          <w:sz w:val="22"/>
          <w:szCs w:val="22"/>
        </w:rPr>
        <w:t>Derfor er p</w:t>
      </w:r>
      <w:r w:rsidR="00607C7B" w:rsidRPr="00DF0CE3">
        <w:rPr>
          <w:rFonts w:cstheme="minorHAnsi"/>
          <w:sz w:val="22"/>
          <w:szCs w:val="22"/>
        </w:rPr>
        <w:t>lug-in-hybridbiler en meget vigtig trædesten i den grønne omstilling på vej mod de rene elbiler</w:t>
      </w:r>
      <w:r w:rsidR="00620122">
        <w:rPr>
          <w:rFonts w:cstheme="minorHAnsi"/>
          <w:sz w:val="22"/>
          <w:szCs w:val="22"/>
        </w:rPr>
        <w:t>,</w:t>
      </w:r>
      <w:r w:rsidRPr="00DF0CE3">
        <w:rPr>
          <w:rFonts w:cstheme="minorHAnsi"/>
          <w:sz w:val="22"/>
          <w:szCs w:val="22"/>
        </w:rPr>
        <w:t>” siger Joakim Læbo.</w:t>
      </w:r>
    </w:p>
    <w:p w:rsidR="00607C7B" w:rsidRPr="00DF0CE3" w:rsidRDefault="00607C7B" w:rsidP="00607C7B">
      <w:pPr>
        <w:rPr>
          <w:rFonts w:cstheme="minorHAnsi"/>
          <w:sz w:val="22"/>
          <w:szCs w:val="22"/>
        </w:rPr>
      </w:pPr>
    </w:p>
    <w:p w:rsidR="00607C7B" w:rsidRPr="00DF0CE3" w:rsidRDefault="00607C7B" w:rsidP="00607C7B">
      <w:pPr>
        <w:rPr>
          <w:rFonts w:cstheme="minorHAnsi"/>
          <w:sz w:val="22"/>
          <w:szCs w:val="22"/>
        </w:rPr>
      </w:pPr>
      <w:r w:rsidRPr="00DF0CE3">
        <w:rPr>
          <w:rFonts w:cstheme="minorHAnsi"/>
          <w:sz w:val="22"/>
          <w:szCs w:val="22"/>
        </w:rPr>
        <w:t xml:space="preserve">En plug-in-hybrid som Peugeot 3008 kan køre 63 km på ren el. Det rækker for mange til, at de kan køre på el både til og fra arbejdet – og dermed </w:t>
      </w:r>
      <w:r w:rsidR="002B2C58">
        <w:rPr>
          <w:rFonts w:cstheme="minorHAnsi"/>
          <w:sz w:val="22"/>
          <w:szCs w:val="22"/>
        </w:rPr>
        <w:t xml:space="preserve">i høj </w:t>
      </w:r>
      <w:r w:rsidRPr="00DF0CE3">
        <w:rPr>
          <w:rFonts w:cstheme="minorHAnsi"/>
          <w:sz w:val="22"/>
          <w:szCs w:val="22"/>
        </w:rPr>
        <w:t>grad holde den obligatoriske daglige kørsel på ren el.</w:t>
      </w:r>
    </w:p>
    <w:p w:rsidR="00607C7B" w:rsidRPr="00DF0CE3" w:rsidRDefault="00607C7B" w:rsidP="00607C7B">
      <w:pPr>
        <w:rPr>
          <w:rFonts w:cstheme="minorHAnsi"/>
          <w:sz w:val="22"/>
          <w:szCs w:val="22"/>
        </w:rPr>
      </w:pPr>
    </w:p>
    <w:p w:rsidR="00607C7B" w:rsidRPr="00DF0CE3" w:rsidRDefault="00DF0CE3" w:rsidP="00607C7B">
      <w:pPr>
        <w:rPr>
          <w:rFonts w:cstheme="minorHAnsi"/>
          <w:sz w:val="22"/>
          <w:szCs w:val="22"/>
        </w:rPr>
      </w:pPr>
      <w:r w:rsidRPr="00DF0CE3">
        <w:rPr>
          <w:rFonts w:cstheme="minorHAnsi"/>
          <w:sz w:val="22"/>
          <w:szCs w:val="22"/>
        </w:rPr>
        <w:t>--</w:t>
      </w:r>
    </w:p>
    <w:p w:rsidR="00DF0CE3" w:rsidRPr="00DF0CE3" w:rsidRDefault="00DF0CE3" w:rsidP="00607C7B">
      <w:pPr>
        <w:rPr>
          <w:rFonts w:cstheme="minorHAnsi"/>
          <w:b/>
          <w:bCs/>
          <w:sz w:val="22"/>
          <w:szCs w:val="22"/>
        </w:rPr>
      </w:pPr>
    </w:p>
    <w:p w:rsidR="00DF0CE3" w:rsidRDefault="00DF0CE3">
      <w:pPr>
        <w:rPr>
          <w:rFonts w:cstheme="minorHAnsi"/>
          <w:b/>
          <w:bCs/>
          <w:sz w:val="22"/>
          <w:szCs w:val="22"/>
        </w:rPr>
      </w:pPr>
      <w:r>
        <w:rPr>
          <w:rFonts w:cstheme="minorHAnsi"/>
          <w:b/>
          <w:bCs/>
          <w:sz w:val="22"/>
          <w:szCs w:val="22"/>
        </w:rPr>
        <w:br w:type="page"/>
      </w:r>
    </w:p>
    <w:p w:rsidR="00607C7B" w:rsidRPr="00DF0CE3" w:rsidRDefault="00DF0CE3" w:rsidP="00607C7B">
      <w:pPr>
        <w:rPr>
          <w:rFonts w:cstheme="minorHAnsi"/>
          <w:b/>
          <w:bCs/>
          <w:sz w:val="22"/>
          <w:szCs w:val="22"/>
        </w:rPr>
      </w:pPr>
      <w:r w:rsidRPr="00DF0CE3">
        <w:rPr>
          <w:rFonts w:cstheme="minorHAnsi"/>
          <w:b/>
          <w:bCs/>
          <w:sz w:val="22"/>
          <w:szCs w:val="22"/>
        </w:rPr>
        <w:lastRenderedPageBreak/>
        <w:t>Regeringsu</w:t>
      </w:r>
      <w:r w:rsidR="00607C7B" w:rsidRPr="00DF0CE3">
        <w:rPr>
          <w:rFonts w:cstheme="minorHAnsi"/>
          <w:b/>
          <w:bCs/>
          <w:sz w:val="22"/>
          <w:szCs w:val="22"/>
        </w:rPr>
        <w:t>dspillets beregningsmodel</w:t>
      </w:r>
    </w:p>
    <w:p w:rsidR="00607C7B" w:rsidRPr="00DF0CE3" w:rsidRDefault="00607C7B" w:rsidP="00607C7B">
      <w:pPr>
        <w:rPr>
          <w:rFonts w:cstheme="minorHAnsi"/>
          <w:color w:val="000000"/>
          <w:sz w:val="22"/>
          <w:szCs w:val="22"/>
          <w:lang w:eastAsia="da-DK"/>
        </w:rPr>
      </w:pPr>
      <w:proofErr w:type="spellStart"/>
      <w:r w:rsidRPr="00DF0CE3">
        <w:rPr>
          <w:rFonts w:cstheme="minorHAnsi"/>
          <w:color w:val="000000"/>
          <w:sz w:val="22"/>
          <w:szCs w:val="22"/>
          <w:lang w:val="fr-FR" w:eastAsia="da-DK"/>
        </w:rPr>
        <w:t>Gennemsnitsbetragtning</w:t>
      </w:r>
      <w:proofErr w:type="spellEnd"/>
      <w:r w:rsidRPr="00DF0CE3">
        <w:rPr>
          <w:rFonts w:cstheme="minorHAnsi"/>
          <w:color w:val="000000"/>
          <w:sz w:val="22"/>
          <w:szCs w:val="22"/>
          <w:lang w:val="fr-FR" w:eastAsia="da-DK"/>
        </w:rPr>
        <w:t xml:space="preserve"> </w:t>
      </w:r>
      <w:proofErr w:type="spellStart"/>
      <w:r w:rsidRPr="00DF0CE3">
        <w:rPr>
          <w:rFonts w:cstheme="minorHAnsi"/>
          <w:color w:val="000000"/>
          <w:sz w:val="22"/>
          <w:szCs w:val="22"/>
          <w:lang w:val="fr-FR" w:eastAsia="da-DK"/>
        </w:rPr>
        <w:t>pr</w:t>
      </w:r>
      <w:proofErr w:type="spellEnd"/>
      <w:r w:rsidRPr="00DF0CE3">
        <w:rPr>
          <w:rFonts w:cstheme="minorHAnsi"/>
          <w:color w:val="000000"/>
          <w:sz w:val="22"/>
          <w:szCs w:val="22"/>
          <w:lang w:val="fr-FR" w:eastAsia="da-DK"/>
        </w:rPr>
        <w:t xml:space="preserve">. model / </w:t>
      </w:r>
      <w:proofErr w:type="spellStart"/>
      <w:r w:rsidRPr="00DF0CE3">
        <w:rPr>
          <w:rFonts w:cstheme="minorHAnsi"/>
          <w:color w:val="000000"/>
          <w:sz w:val="22"/>
          <w:szCs w:val="22"/>
          <w:lang w:val="fr-FR" w:eastAsia="da-DK"/>
        </w:rPr>
        <w:t>motor</w:t>
      </w:r>
      <w:proofErr w:type="spellEnd"/>
      <w:r w:rsidRPr="00DF0CE3">
        <w:rPr>
          <w:rFonts w:cstheme="minorHAnsi"/>
          <w:color w:val="000000"/>
          <w:sz w:val="22"/>
          <w:szCs w:val="22"/>
          <w:lang w:val="fr-FR" w:eastAsia="da-DK"/>
        </w:rPr>
        <w:t xml:space="preserve"> </w:t>
      </w:r>
      <w:proofErr w:type="spellStart"/>
      <w:r w:rsidRPr="00DF0CE3">
        <w:rPr>
          <w:rFonts w:cstheme="minorHAnsi"/>
          <w:color w:val="000000"/>
          <w:sz w:val="22"/>
          <w:szCs w:val="22"/>
          <w:lang w:val="fr-FR" w:eastAsia="da-DK"/>
        </w:rPr>
        <w:t>samt</w:t>
      </w:r>
      <w:proofErr w:type="spellEnd"/>
      <w:r w:rsidRPr="00DF0CE3">
        <w:rPr>
          <w:rFonts w:cstheme="minorHAnsi"/>
          <w:color w:val="000000"/>
          <w:sz w:val="22"/>
          <w:szCs w:val="22"/>
          <w:lang w:val="fr-FR" w:eastAsia="da-DK"/>
        </w:rPr>
        <w:t xml:space="preserve"> </w:t>
      </w:r>
      <w:proofErr w:type="spellStart"/>
      <w:r w:rsidRPr="00DF0CE3">
        <w:rPr>
          <w:rFonts w:cstheme="minorHAnsi"/>
          <w:color w:val="000000"/>
          <w:sz w:val="22"/>
          <w:szCs w:val="22"/>
          <w:lang w:val="fr-FR" w:eastAsia="da-DK"/>
        </w:rPr>
        <w:t>specifikt</w:t>
      </w:r>
      <w:proofErr w:type="spellEnd"/>
      <w:r w:rsidRPr="00DF0CE3">
        <w:rPr>
          <w:rFonts w:cstheme="minorHAnsi"/>
          <w:color w:val="000000"/>
          <w:sz w:val="22"/>
          <w:szCs w:val="22"/>
          <w:lang w:val="fr-FR" w:eastAsia="da-DK"/>
        </w:rPr>
        <w:t xml:space="preserve"> </w:t>
      </w:r>
      <w:proofErr w:type="spellStart"/>
      <w:r w:rsidRPr="00DF0CE3">
        <w:rPr>
          <w:rFonts w:cstheme="minorHAnsi"/>
          <w:color w:val="000000"/>
          <w:sz w:val="22"/>
          <w:szCs w:val="22"/>
          <w:lang w:val="fr-FR" w:eastAsia="da-DK"/>
        </w:rPr>
        <w:t>på</w:t>
      </w:r>
      <w:proofErr w:type="spellEnd"/>
      <w:r w:rsidRPr="00DF0CE3">
        <w:rPr>
          <w:rFonts w:cstheme="minorHAnsi"/>
          <w:color w:val="000000"/>
          <w:sz w:val="22"/>
          <w:szCs w:val="22"/>
          <w:lang w:val="fr-FR" w:eastAsia="da-DK"/>
        </w:rPr>
        <w:t xml:space="preserve"> 3008 Allure LTD </w:t>
      </w:r>
      <w:proofErr w:type="spellStart"/>
      <w:r w:rsidRPr="00DF0CE3">
        <w:rPr>
          <w:rFonts w:cstheme="minorHAnsi"/>
          <w:color w:val="000000"/>
          <w:sz w:val="22"/>
          <w:szCs w:val="22"/>
          <w:lang w:val="fr-FR" w:eastAsia="da-DK"/>
        </w:rPr>
        <w:t>Hybrid</w:t>
      </w:r>
      <w:proofErr w:type="spellEnd"/>
      <w:r w:rsidRPr="00DF0CE3">
        <w:rPr>
          <w:rFonts w:cstheme="minorHAnsi"/>
          <w:color w:val="000000"/>
          <w:sz w:val="22"/>
          <w:szCs w:val="22"/>
          <w:lang w:val="fr-FR" w:eastAsia="da-DK"/>
        </w:rPr>
        <w:t xml:space="preserve"> 225 EAT8.</w:t>
      </w:r>
    </w:p>
    <w:p w:rsidR="00607C7B" w:rsidRPr="00DF0CE3" w:rsidRDefault="00607C7B" w:rsidP="00607C7B">
      <w:pPr>
        <w:rPr>
          <w:rFonts w:cstheme="minorHAnsi"/>
          <w:color w:val="000000"/>
          <w:sz w:val="22"/>
          <w:szCs w:val="22"/>
          <w:lang w:eastAsia="da-DK"/>
        </w:rPr>
      </w:pPr>
      <w:r w:rsidRPr="00DF0CE3">
        <w:rPr>
          <w:rFonts w:cstheme="minorHAnsi"/>
          <w:color w:val="000000"/>
          <w:sz w:val="22"/>
          <w:szCs w:val="22"/>
          <w:lang w:val="fr-FR" w:eastAsia="da-DK"/>
        </w:rPr>
        <w:t> </w:t>
      </w:r>
    </w:p>
    <w:p w:rsidR="00DF0CE3" w:rsidRDefault="00607C7B" w:rsidP="00DF0CE3">
      <w:pPr>
        <w:rPr>
          <w:rFonts w:cstheme="minorHAnsi"/>
          <w:color w:val="000000"/>
          <w:sz w:val="22"/>
          <w:szCs w:val="22"/>
          <w:lang w:eastAsia="da-DK"/>
        </w:rPr>
      </w:pPr>
      <w:r w:rsidRPr="00DF0CE3">
        <w:rPr>
          <w:rFonts w:cstheme="minorHAnsi"/>
          <w:color w:val="000000"/>
          <w:sz w:val="22"/>
          <w:szCs w:val="22"/>
          <w:lang w:eastAsia="da-DK"/>
        </w:rPr>
        <w:t>Vejl</w:t>
      </w:r>
      <w:r w:rsidR="00DF0CE3">
        <w:rPr>
          <w:rFonts w:cstheme="minorHAnsi"/>
          <w:color w:val="000000"/>
          <w:sz w:val="22"/>
          <w:szCs w:val="22"/>
          <w:lang w:eastAsia="da-DK"/>
        </w:rPr>
        <w:t>edende</w:t>
      </w:r>
      <w:r w:rsidRPr="00DF0CE3">
        <w:rPr>
          <w:rFonts w:cstheme="minorHAnsi"/>
          <w:color w:val="000000"/>
          <w:sz w:val="22"/>
          <w:szCs w:val="22"/>
          <w:lang w:eastAsia="da-DK"/>
        </w:rPr>
        <w:t xml:space="preserve"> udsalgspris 3008 Allure LTD Hybrid 225 EAT8</w:t>
      </w:r>
    </w:p>
    <w:p w:rsidR="00607C7B" w:rsidRPr="00DF0CE3" w:rsidRDefault="00607C7B" w:rsidP="00DF0CE3">
      <w:pPr>
        <w:rPr>
          <w:rFonts w:cstheme="minorHAnsi"/>
          <w:color w:val="000000"/>
          <w:sz w:val="22"/>
          <w:szCs w:val="22"/>
          <w:lang w:eastAsia="da-DK"/>
        </w:rPr>
      </w:pPr>
      <w:r w:rsidRPr="00DF0CE3">
        <w:rPr>
          <w:rFonts w:cstheme="minorHAnsi"/>
          <w:color w:val="000000"/>
          <w:sz w:val="22"/>
          <w:szCs w:val="22"/>
          <w:lang w:eastAsia="da-DK"/>
        </w:rPr>
        <w:t>I dag</w:t>
      </w:r>
      <w:r w:rsidR="00DF0CE3">
        <w:rPr>
          <w:rFonts w:cstheme="minorHAnsi"/>
          <w:color w:val="000000"/>
          <w:sz w:val="22"/>
          <w:szCs w:val="22"/>
          <w:lang w:eastAsia="da-DK"/>
        </w:rPr>
        <w:t>:</w:t>
      </w:r>
      <w:r w:rsidRPr="00DF0CE3">
        <w:rPr>
          <w:rFonts w:cstheme="minorHAnsi"/>
          <w:color w:val="000000"/>
          <w:sz w:val="22"/>
          <w:szCs w:val="22"/>
          <w:lang w:eastAsia="da-DK"/>
        </w:rPr>
        <w:t xml:space="preserve">                                </w:t>
      </w:r>
      <w:r w:rsidRPr="00DF0CE3">
        <w:rPr>
          <w:rFonts w:cstheme="minorHAnsi"/>
          <w:color w:val="000000"/>
          <w:sz w:val="22"/>
          <w:szCs w:val="22"/>
          <w:lang w:eastAsia="da-DK"/>
        </w:rPr>
        <w:tab/>
        <w:t>= 329.990 kr.</w:t>
      </w:r>
    </w:p>
    <w:p w:rsidR="00DF0CE3" w:rsidRDefault="00607C7B" w:rsidP="00DF0CE3">
      <w:pPr>
        <w:rPr>
          <w:rFonts w:cstheme="minorHAnsi"/>
          <w:color w:val="000000"/>
          <w:sz w:val="22"/>
          <w:szCs w:val="22"/>
          <w:lang w:eastAsia="da-DK"/>
        </w:rPr>
      </w:pPr>
      <w:r w:rsidRPr="00DF0CE3">
        <w:rPr>
          <w:rFonts w:cstheme="minorHAnsi"/>
          <w:color w:val="000000"/>
          <w:sz w:val="22"/>
          <w:szCs w:val="22"/>
          <w:lang w:eastAsia="da-DK"/>
        </w:rPr>
        <w:t>Ny afgift</w:t>
      </w:r>
      <w:r w:rsidR="00DF0CE3">
        <w:rPr>
          <w:rFonts w:cstheme="minorHAnsi"/>
          <w:color w:val="000000"/>
          <w:sz w:val="22"/>
          <w:szCs w:val="22"/>
          <w:lang w:eastAsia="da-DK"/>
        </w:rPr>
        <w:t>:</w:t>
      </w:r>
      <w:r w:rsidRPr="00DF0CE3">
        <w:rPr>
          <w:rFonts w:cstheme="minorHAnsi"/>
          <w:color w:val="000000"/>
          <w:sz w:val="22"/>
          <w:szCs w:val="22"/>
          <w:lang w:eastAsia="da-DK"/>
        </w:rPr>
        <w:t xml:space="preserve">                         </w:t>
      </w:r>
      <w:r w:rsidRPr="00DF0CE3">
        <w:rPr>
          <w:rFonts w:cstheme="minorHAnsi"/>
          <w:color w:val="000000"/>
          <w:sz w:val="22"/>
          <w:szCs w:val="22"/>
          <w:lang w:eastAsia="da-DK"/>
        </w:rPr>
        <w:tab/>
        <w:t>= 447.500 kr.</w:t>
      </w:r>
    </w:p>
    <w:p w:rsidR="00607C7B" w:rsidRPr="00DF0CE3" w:rsidRDefault="00607C7B" w:rsidP="00DF0CE3">
      <w:pPr>
        <w:rPr>
          <w:rFonts w:cstheme="minorHAnsi"/>
          <w:color w:val="000000"/>
          <w:sz w:val="22"/>
          <w:szCs w:val="22"/>
          <w:lang w:eastAsia="da-DK"/>
        </w:rPr>
      </w:pPr>
      <w:r w:rsidRPr="00DF0CE3">
        <w:rPr>
          <w:rFonts w:cstheme="minorHAnsi"/>
          <w:color w:val="000000"/>
          <w:sz w:val="22"/>
          <w:szCs w:val="22"/>
          <w:lang w:eastAsia="da-DK"/>
        </w:rPr>
        <w:t>Difference</w:t>
      </w:r>
      <w:r w:rsidR="00DF0CE3">
        <w:rPr>
          <w:rFonts w:cstheme="minorHAnsi"/>
          <w:color w:val="000000"/>
          <w:sz w:val="22"/>
          <w:szCs w:val="22"/>
          <w:lang w:eastAsia="da-DK"/>
        </w:rPr>
        <w:t>:</w:t>
      </w:r>
      <w:r w:rsidRPr="00DF0CE3">
        <w:rPr>
          <w:rFonts w:cstheme="minorHAnsi"/>
          <w:color w:val="000000"/>
          <w:sz w:val="22"/>
          <w:szCs w:val="22"/>
          <w:lang w:eastAsia="da-DK"/>
        </w:rPr>
        <w:t xml:space="preserve">              </w:t>
      </w:r>
      <w:r w:rsidRPr="00DF0CE3">
        <w:rPr>
          <w:rFonts w:cstheme="minorHAnsi"/>
          <w:color w:val="000000"/>
          <w:sz w:val="22"/>
          <w:szCs w:val="22"/>
          <w:lang w:eastAsia="da-DK"/>
        </w:rPr>
        <w:tab/>
        <w:t>= 117.500 kr.</w:t>
      </w:r>
    </w:p>
    <w:p w:rsidR="00607C7B" w:rsidRPr="00DF0CE3" w:rsidRDefault="00607C7B" w:rsidP="00607C7B">
      <w:pPr>
        <w:rPr>
          <w:rFonts w:cstheme="minorHAnsi"/>
          <w:color w:val="000000"/>
          <w:sz w:val="22"/>
          <w:szCs w:val="22"/>
          <w:lang w:eastAsia="da-DK"/>
        </w:rPr>
      </w:pPr>
      <w:r w:rsidRPr="00DF0CE3">
        <w:rPr>
          <w:rFonts w:cstheme="minorHAnsi"/>
          <w:color w:val="000000"/>
          <w:sz w:val="22"/>
          <w:szCs w:val="22"/>
          <w:lang w:eastAsia="da-DK"/>
        </w:rPr>
        <w:t> </w:t>
      </w:r>
    </w:p>
    <w:tbl>
      <w:tblPr>
        <w:tblW w:w="0" w:type="auto"/>
        <w:tblCellMar>
          <w:left w:w="0" w:type="dxa"/>
          <w:right w:w="0" w:type="dxa"/>
        </w:tblCellMar>
        <w:tblLook w:val="04A0" w:firstRow="1" w:lastRow="0" w:firstColumn="1" w:lastColumn="0" w:noHBand="0" w:noVBand="1"/>
      </w:tblPr>
      <w:tblGrid>
        <w:gridCol w:w="2363"/>
        <w:gridCol w:w="2052"/>
        <w:gridCol w:w="1741"/>
        <w:gridCol w:w="1056"/>
        <w:gridCol w:w="2410"/>
      </w:tblGrid>
      <w:tr w:rsidR="00607C7B" w:rsidRPr="00DF0CE3" w:rsidTr="00B93F22">
        <w:trPr>
          <w:trHeight w:val="300"/>
        </w:trPr>
        <w:tc>
          <w:tcPr>
            <w:tcW w:w="2976" w:type="dxa"/>
            <w:tcBorders>
              <w:right w:val="single" w:sz="4" w:space="0" w:color="auto"/>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b/>
                <w:bCs/>
                <w:sz w:val="22"/>
                <w:szCs w:val="22"/>
                <w:lang w:eastAsia="da-DK"/>
              </w:rPr>
              <w:t>Model</w:t>
            </w:r>
          </w:p>
        </w:tc>
        <w:tc>
          <w:tcPr>
            <w:tcW w:w="2576" w:type="dxa"/>
            <w:tcBorders>
              <w:top w:val="single" w:sz="8" w:space="0" w:color="000000"/>
              <w:left w:val="single" w:sz="4" w:space="0" w:color="auto"/>
              <w:bottom w:val="single" w:sz="8" w:space="0" w:color="000000"/>
              <w:right w:val="single" w:sz="8" w:space="0" w:color="000000"/>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b/>
                <w:bCs/>
                <w:sz w:val="22"/>
                <w:szCs w:val="22"/>
                <w:lang w:eastAsia="da-DK"/>
              </w:rPr>
              <w:t>Drivkraft</w:t>
            </w:r>
          </w:p>
        </w:tc>
        <w:tc>
          <w:tcPr>
            <w:tcW w:w="217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proofErr w:type="spellStart"/>
            <w:r w:rsidRPr="00DF0CE3">
              <w:rPr>
                <w:rFonts w:cstheme="minorHAnsi"/>
                <w:b/>
                <w:bCs/>
                <w:sz w:val="22"/>
                <w:szCs w:val="22"/>
                <w:lang w:eastAsia="da-DK"/>
              </w:rPr>
              <w:t>Gns</w:t>
            </w:r>
            <w:proofErr w:type="spellEnd"/>
            <w:r w:rsidRPr="00DF0CE3">
              <w:rPr>
                <w:rFonts w:cstheme="minorHAnsi"/>
                <w:b/>
                <w:bCs/>
                <w:sz w:val="22"/>
                <w:szCs w:val="22"/>
                <w:lang w:eastAsia="da-DK"/>
              </w:rPr>
              <w:t xml:space="preserve"> nuværende afgift</w:t>
            </w:r>
          </w:p>
        </w:tc>
        <w:tc>
          <w:tcPr>
            <w:tcW w:w="129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proofErr w:type="spellStart"/>
            <w:r w:rsidRPr="00DF0CE3">
              <w:rPr>
                <w:rFonts w:cstheme="minorHAnsi"/>
                <w:b/>
                <w:bCs/>
                <w:sz w:val="22"/>
                <w:szCs w:val="22"/>
                <w:lang w:eastAsia="da-DK"/>
              </w:rPr>
              <w:t>Gns</w:t>
            </w:r>
            <w:proofErr w:type="spellEnd"/>
            <w:r w:rsidRPr="00DF0CE3">
              <w:rPr>
                <w:rFonts w:cstheme="minorHAnsi"/>
                <w:b/>
                <w:bCs/>
                <w:sz w:val="22"/>
                <w:szCs w:val="22"/>
                <w:lang w:eastAsia="da-DK"/>
              </w:rPr>
              <w:t xml:space="preserve"> ny afgift</w:t>
            </w:r>
          </w:p>
        </w:tc>
        <w:tc>
          <w:tcPr>
            <w:tcW w:w="303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b/>
                <w:bCs/>
                <w:sz w:val="22"/>
                <w:szCs w:val="22"/>
                <w:lang w:eastAsia="da-DK"/>
              </w:rPr>
              <w:t>Gennemsnit af Ændring i afgift</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b/>
                <w:bCs/>
                <w:sz w:val="22"/>
                <w:szCs w:val="22"/>
                <w:lang w:eastAsia="da-DK"/>
              </w:rPr>
              <w:t>108</w:t>
            </w: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Benzin</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19.488</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30.272</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10.784</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b/>
                <w:bCs/>
                <w:sz w:val="22"/>
                <w:szCs w:val="22"/>
                <w:lang w:eastAsia="da-DK"/>
              </w:rPr>
              <w:t>2008</w:t>
            </w: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Benzin</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91.485</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98.256</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6.770</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Diesel</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80.184</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101.581</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21.397</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b/>
                <w:bCs/>
                <w:sz w:val="22"/>
                <w:szCs w:val="22"/>
                <w:lang w:eastAsia="da-DK"/>
              </w:rPr>
              <w:t>208</w:t>
            </w: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Benzin</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58.777</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60.101</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1.324</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Diesel</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43.889</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64.059</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20.171</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b/>
                <w:bCs/>
                <w:sz w:val="22"/>
                <w:szCs w:val="22"/>
                <w:lang w:eastAsia="da-DK"/>
              </w:rPr>
              <w:t>3008</w:t>
            </w: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Benzin</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144.921</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162.650</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17.730</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Diesel</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144.965</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167.434</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22.470</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Hybrid, benzin/el (plugin)</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47.536</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177.731</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130.194</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b/>
                <w:bCs/>
                <w:sz w:val="22"/>
                <w:szCs w:val="22"/>
                <w:lang w:eastAsia="da-DK"/>
              </w:rPr>
              <w:t>308</w:t>
            </w: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Benzin</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88.660</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93.717</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5.057</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Diesel</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77.848</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96.692</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18.844</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b/>
                <w:bCs/>
                <w:sz w:val="22"/>
                <w:szCs w:val="22"/>
                <w:lang w:eastAsia="da-DK"/>
              </w:rPr>
              <w:t>5008</w:t>
            </w: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Benzin</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166.381</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188.488</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22.107</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Diesel</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166.523</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194.868</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28.344</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b/>
                <w:bCs/>
                <w:sz w:val="22"/>
                <w:szCs w:val="22"/>
                <w:lang w:eastAsia="da-DK"/>
              </w:rPr>
              <w:t>508</w:t>
            </w: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Benzin</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188.290</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206.847</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18.557</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Diesel</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139.165</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156.080</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16.915</w:t>
            </w:r>
          </w:p>
        </w:tc>
      </w:tr>
      <w:tr w:rsidR="00607C7B" w:rsidRPr="00DF0CE3" w:rsidTr="00B62CFF">
        <w:trPr>
          <w:trHeight w:val="300"/>
        </w:trPr>
        <w:tc>
          <w:tcPr>
            <w:tcW w:w="2976"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p>
        </w:tc>
        <w:tc>
          <w:tcPr>
            <w:tcW w:w="25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rPr>
                <w:rFonts w:cstheme="minorHAnsi"/>
                <w:sz w:val="22"/>
                <w:szCs w:val="22"/>
                <w:lang w:eastAsia="da-DK"/>
              </w:rPr>
            </w:pPr>
            <w:r w:rsidRPr="00DF0CE3">
              <w:rPr>
                <w:rFonts w:cstheme="minorHAnsi"/>
                <w:sz w:val="22"/>
                <w:szCs w:val="22"/>
                <w:lang w:eastAsia="da-DK"/>
              </w:rPr>
              <w:t>Hybrid, benzin/el (plugin)</w:t>
            </w:r>
          </w:p>
        </w:tc>
        <w:tc>
          <w:tcPr>
            <w:tcW w:w="217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30.048</w:t>
            </w:r>
          </w:p>
        </w:tc>
        <w:tc>
          <w:tcPr>
            <w:tcW w:w="129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125.418</w:t>
            </w:r>
          </w:p>
        </w:tc>
        <w:tc>
          <w:tcPr>
            <w:tcW w:w="3036" w:type="dxa"/>
            <w:tcBorders>
              <w:top w:val="nil"/>
              <w:left w:val="nil"/>
              <w:bottom w:val="single" w:sz="8" w:space="0" w:color="FFFFFF"/>
              <w:right w:val="single" w:sz="8" w:space="0" w:color="FFFFFF"/>
            </w:tcBorders>
            <w:noWrap/>
            <w:tcMar>
              <w:top w:w="0" w:type="dxa"/>
              <w:left w:w="108" w:type="dxa"/>
              <w:bottom w:w="0" w:type="dxa"/>
              <w:right w:w="108" w:type="dxa"/>
            </w:tcMar>
            <w:hideMark/>
          </w:tcPr>
          <w:p w:rsidR="00607C7B" w:rsidRPr="00DF0CE3" w:rsidRDefault="00607C7B" w:rsidP="00B62CFF">
            <w:pPr>
              <w:jc w:val="center"/>
              <w:rPr>
                <w:rFonts w:cstheme="minorHAnsi"/>
                <w:sz w:val="22"/>
                <w:szCs w:val="22"/>
                <w:lang w:eastAsia="da-DK"/>
              </w:rPr>
            </w:pPr>
            <w:r w:rsidRPr="00DF0CE3">
              <w:rPr>
                <w:rFonts w:cstheme="minorHAnsi"/>
                <w:sz w:val="22"/>
                <w:szCs w:val="22"/>
                <w:lang w:eastAsia="da-DK"/>
              </w:rPr>
              <w:t>95.370</w:t>
            </w:r>
          </w:p>
        </w:tc>
      </w:tr>
    </w:tbl>
    <w:p w:rsidR="00607C7B" w:rsidRDefault="00607C7B" w:rsidP="00607C7B">
      <w:pPr>
        <w:rPr>
          <w:rFonts w:cstheme="minorHAnsi"/>
          <w:sz w:val="22"/>
          <w:szCs w:val="22"/>
        </w:rPr>
      </w:pPr>
    </w:p>
    <w:p w:rsidR="00DF0CE3" w:rsidRPr="002B2C58" w:rsidRDefault="00DF0CE3" w:rsidP="00607C7B">
      <w:pPr>
        <w:rPr>
          <w:rFonts w:cstheme="minorHAnsi"/>
          <w:color w:val="000000" w:themeColor="text1"/>
          <w:sz w:val="22"/>
          <w:szCs w:val="22"/>
        </w:rPr>
      </w:pPr>
    </w:p>
    <w:p w:rsidR="00DF0CE3" w:rsidRPr="002B2C58" w:rsidRDefault="00DF0CE3" w:rsidP="00607C7B">
      <w:pPr>
        <w:rPr>
          <w:rFonts w:cstheme="minorHAnsi"/>
          <w:color w:val="000000" w:themeColor="text1"/>
          <w:sz w:val="22"/>
          <w:szCs w:val="22"/>
        </w:rPr>
      </w:pPr>
    </w:p>
    <w:sectPr w:rsidR="00DF0CE3" w:rsidRPr="002B2C58" w:rsidSect="001A50FE">
      <w:head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22" w:rsidRDefault="00B93F22" w:rsidP="00B93F22">
      <w:r>
        <w:separator/>
      </w:r>
    </w:p>
  </w:endnote>
  <w:endnote w:type="continuationSeparator" w:id="0">
    <w:p w:rsidR="00B93F22" w:rsidRDefault="00B93F22" w:rsidP="00B9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22" w:rsidRDefault="00B93F22" w:rsidP="00B93F22">
      <w:r>
        <w:separator/>
      </w:r>
    </w:p>
  </w:footnote>
  <w:footnote w:type="continuationSeparator" w:id="0">
    <w:p w:rsidR="00B93F22" w:rsidRDefault="00B93F22" w:rsidP="00B9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22" w:rsidRDefault="00B93F22">
    <w:pPr>
      <w:pStyle w:val="Header"/>
    </w:pPr>
    <w:r>
      <w:rPr>
        <w:noProof/>
        <w:lang w:val="en-US"/>
      </w:rPr>
      <w:drawing>
        <wp:anchor distT="0" distB="0" distL="114300" distR="114300" simplePos="0" relativeHeight="251659264" behindDoc="1" locked="0" layoutInCell="1" allowOverlap="1" wp14:anchorId="409E8147" wp14:editId="1BD24C8C">
          <wp:simplePos x="0" y="0"/>
          <wp:positionH relativeFrom="page">
            <wp:posOffset>332740</wp:posOffset>
          </wp:positionH>
          <wp:positionV relativeFrom="page">
            <wp:posOffset>-147955</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7B"/>
    <w:rsid w:val="001A50FE"/>
    <w:rsid w:val="002B2C58"/>
    <w:rsid w:val="004C1A51"/>
    <w:rsid w:val="00607C7B"/>
    <w:rsid w:val="00620122"/>
    <w:rsid w:val="00795F20"/>
    <w:rsid w:val="00A32665"/>
    <w:rsid w:val="00B93F22"/>
    <w:rsid w:val="00B97A5D"/>
    <w:rsid w:val="00DF0CE3"/>
    <w:rsid w:val="00F510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81B15-5573-2545-81A0-284F950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07C7B"/>
    <w:pPr>
      <w:keepNext/>
      <w:keepLines/>
      <w:widowControl w:val="0"/>
      <w:autoSpaceDE w:val="0"/>
      <w:autoSpaceDN w:val="0"/>
      <w:spacing w:before="40" w:line="276" w:lineRule="auto"/>
      <w:outlineLvl w:val="1"/>
    </w:pPr>
    <w:rPr>
      <w:rFonts w:ascii="Arial" w:eastAsiaTheme="majorEastAsia" w:hAnsi="Arial" w:cstheme="majorBidi"/>
      <w:b/>
      <w:color w:val="000000" w:themeColor="text1"/>
      <w:szCs w:val="26"/>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C7B"/>
    <w:rPr>
      <w:rFonts w:ascii="Arial" w:eastAsiaTheme="majorEastAsia" w:hAnsi="Arial" w:cstheme="majorBidi"/>
      <w:b/>
      <w:color w:val="000000" w:themeColor="text1"/>
      <w:szCs w:val="26"/>
      <w:lang w:val="en-GB" w:eastAsia="en-GB" w:bidi="en-GB"/>
    </w:rPr>
  </w:style>
  <w:style w:type="character" w:styleId="Hyperlink">
    <w:name w:val="Hyperlink"/>
    <w:basedOn w:val="DefaultParagraphFont"/>
    <w:uiPriority w:val="99"/>
    <w:unhideWhenUsed/>
    <w:rsid w:val="00607C7B"/>
    <w:rPr>
      <w:color w:val="0563C1" w:themeColor="hyperlink"/>
      <w:u w:val="single"/>
    </w:rPr>
  </w:style>
  <w:style w:type="paragraph" w:styleId="BalloonText">
    <w:name w:val="Balloon Text"/>
    <w:basedOn w:val="Normal"/>
    <w:link w:val="BalloonTextChar"/>
    <w:uiPriority w:val="99"/>
    <w:semiHidden/>
    <w:unhideWhenUsed/>
    <w:rsid w:val="00607C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7C7B"/>
    <w:rPr>
      <w:rFonts w:ascii="Times New Roman" w:hAnsi="Times New Roman" w:cs="Times New Roman"/>
      <w:sz w:val="18"/>
      <w:szCs w:val="18"/>
    </w:rPr>
  </w:style>
  <w:style w:type="character" w:customStyle="1" w:styleId="apple-converted-space">
    <w:name w:val="apple-converted-space"/>
    <w:basedOn w:val="DefaultParagraphFont"/>
    <w:rsid w:val="00DF0CE3"/>
  </w:style>
  <w:style w:type="paragraph" w:styleId="Header">
    <w:name w:val="header"/>
    <w:basedOn w:val="Normal"/>
    <w:link w:val="HeaderChar"/>
    <w:uiPriority w:val="99"/>
    <w:unhideWhenUsed/>
    <w:rsid w:val="00B93F22"/>
    <w:pPr>
      <w:tabs>
        <w:tab w:val="center" w:pos="4680"/>
        <w:tab w:val="right" w:pos="9360"/>
      </w:tabs>
    </w:pPr>
  </w:style>
  <w:style w:type="character" w:customStyle="1" w:styleId="HeaderChar">
    <w:name w:val="Header Char"/>
    <w:basedOn w:val="DefaultParagraphFont"/>
    <w:link w:val="Header"/>
    <w:uiPriority w:val="99"/>
    <w:rsid w:val="00B93F22"/>
  </w:style>
  <w:style w:type="paragraph" w:styleId="Footer">
    <w:name w:val="footer"/>
    <w:basedOn w:val="Normal"/>
    <w:link w:val="FooterChar"/>
    <w:uiPriority w:val="99"/>
    <w:unhideWhenUsed/>
    <w:rsid w:val="00B93F22"/>
    <w:pPr>
      <w:tabs>
        <w:tab w:val="center" w:pos="4680"/>
        <w:tab w:val="right" w:pos="9360"/>
      </w:tabs>
    </w:pPr>
  </w:style>
  <w:style w:type="character" w:customStyle="1" w:styleId="FooterChar">
    <w:name w:val="Footer Char"/>
    <w:basedOn w:val="DefaultParagraphFont"/>
    <w:link w:val="Footer"/>
    <w:uiPriority w:val="99"/>
    <w:rsid w:val="00B9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24934">
      <w:bodyDiv w:val="1"/>
      <w:marLeft w:val="0"/>
      <w:marRight w:val="0"/>
      <w:marTop w:val="0"/>
      <w:marBottom w:val="0"/>
      <w:divBdr>
        <w:top w:val="none" w:sz="0" w:space="0" w:color="auto"/>
        <w:left w:val="none" w:sz="0" w:space="0" w:color="auto"/>
        <w:bottom w:val="none" w:sz="0" w:space="0" w:color="auto"/>
        <w:right w:val="none" w:sz="0" w:space="0" w:color="auto"/>
      </w:divBdr>
      <w:divsChild>
        <w:div w:id="210857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Volle</dc:creator>
  <cp:keywords/>
  <dc:description/>
  <cp:lastModifiedBy>Jesper Hermann</cp:lastModifiedBy>
  <cp:revision>3</cp:revision>
  <dcterms:created xsi:type="dcterms:W3CDTF">2020-10-08T04:35:00Z</dcterms:created>
  <dcterms:modified xsi:type="dcterms:W3CDTF">2021-04-20T10:44:00Z</dcterms:modified>
</cp:coreProperties>
</file>