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F8" w:rsidRPr="00F17E7F" w:rsidRDefault="00140CF8" w:rsidP="003E5918">
      <w:pPr>
        <w:pStyle w:val="VisaDocumentname"/>
        <w:rPr>
          <w:rFonts w:cs="Segoe UI"/>
          <w:color w:val="0023A0"/>
          <w:lang w:val="pl-PL"/>
        </w:rPr>
      </w:pPr>
      <w:r w:rsidRPr="00F17E7F">
        <w:rPr>
          <w:rFonts w:cs="Segoe UI"/>
          <w:color w:val="0023A0"/>
          <w:lang w:val="pl-PL"/>
        </w:rPr>
        <w:t>INFORMACJA PRASOWA</w:t>
      </w:r>
    </w:p>
    <w:p w:rsidR="00140CF8" w:rsidRPr="00F17E7F" w:rsidRDefault="000E6B33" w:rsidP="003E5918">
      <w:pPr>
        <w:pStyle w:val="VisaDocumentname"/>
        <w:rPr>
          <w:rFonts w:cs="Segoe UI"/>
          <w:color w:val="0023A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F8" w:rsidRPr="009F379B" w:rsidRDefault="00140CF8" w:rsidP="009F379B">
      <w:pPr>
        <w:pStyle w:val="VisaHeadline"/>
        <w:jc w:val="center"/>
        <w:rPr>
          <w:rFonts w:eastAsia="Gulim" w:cs="Segoe UI"/>
          <w:color w:val="0023A0"/>
          <w:szCs w:val="40"/>
          <w:lang w:val="pl-PL" w:eastAsia="ko-KR"/>
        </w:rPr>
      </w:pPr>
      <w:r w:rsidRPr="009F379B">
        <w:rPr>
          <w:rFonts w:eastAsia="Gulim" w:cs="Segoe UI"/>
          <w:color w:val="0023A0"/>
          <w:szCs w:val="40"/>
          <w:lang w:val="pl-PL" w:eastAsia="ko-KR"/>
        </w:rPr>
        <w:t xml:space="preserve">Europejczycy </w:t>
      </w:r>
      <w:r w:rsidR="00E468BE" w:rsidRPr="009F379B">
        <w:rPr>
          <w:rFonts w:eastAsia="Gulim" w:cs="Segoe UI"/>
          <w:color w:val="0023A0"/>
          <w:szCs w:val="40"/>
          <w:lang w:val="pl-PL" w:eastAsia="ko-KR"/>
        </w:rPr>
        <w:t xml:space="preserve">otwierają się na nowe sposoby </w:t>
      </w:r>
      <w:r w:rsidRPr="009F379B">
        <w:rPr>
          <w:rFonts w:eastAsia="Gulim" w:cs="Segoe UI"/>
          <w:color w:val="0023A0"/>
          <w:szCs w:val="40"/>
          <w:lang w:val="pl-PL" w:eastAsia="ko-KR"/>
        </w:rPr>
        <w:t>pła</w:t>
      </w:r>
      <w:r w:rsidR="00E468BE" w:rsidRPr="009F379B">
        <w:rPr>
          <w:rFonts w:eastAsia="Gulim" w:cs="Segoe UI"/>
          <w:color w:val="0023A0"/>
          <w:szCs w:val="40"/>
          <w:lang w:val="pl-PL" w:eastAsia="ko-KR"/>
        </w:rPr>
        <w:t>cenia dzięki czemu rośnie popularność płatności mobilnych</w:t>
      </w:r>
    </w:p>
    <w:p w:rsidR="00140CF8" w:rsidRPr="00F17E7F" w:rsidRDefault="00140CF8" w:rsidP="008169C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rPr>
          <w:rFonts w:ascii="Arial" w:hAnsi="Arial" w:cs="Arial"/>
          <w:b/>
          <w:bCs/>
          <w:iCs/>
          <w:sz w:val="24"/>
          <w:szCs w:val="24"/>
          <w:lang w:val="pl-PL"/>
        </w:rPr>
      </w:pPr>
    </w:p>
    <w:p w:rsidR="00140CF8" w:rsidRPr="009F379B" w:rsidRDefault="00140CF8" w:rsidP="009F379B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9F379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Liczba Europejczyków regularnie płacących przy pomocy urządzenia mobilnego potroiła się od 2015 r. (wzrost z 18% do 54%)</w:t>
      </w:r>
    </w:p>
    <w:p w:rsidR="00140CF8" w:rsidRPr="009F379B" w:rsidRDefault="00140CF8" w:rsidP="009F379B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9F379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79% polskich konsumentów to użytkownicy płatności mobilnych – ludzie zarządzający </w:t>
      </w:r>
      <w:r w:rsidR="004616B3" w:rsidRPr="009F379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swoimi </w:t>
      </w:r>
      <w:r w:rsidRPr="009F379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pieniędzmi lub dokonujący płatności przy pomocy urządzenia mobilnego </w:t>
      </w:r>
    </w:p>
    <w:p w:rsidR="00140CF8" w:rsidRPr="009F379B" w:rsidRDefault="00140CF8" w:rsidP="009F379B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9F379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Najszybsze tempo wzrostu korzystania z bankowości mobilnej notuje s</w:t>
      </w:r>
      <w:r w:rsidR="00922A2A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ię w grupie wiekowej 55-64 lata</w:t>
      </w:r>
    </w:p>
    <w:p w:rsidR="00140CF8" w:rsidRPr="00F17E7F" w:rsidRDefault="00140CF8" w:rsidP="00F17E7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Segoe UI" w:hAnsi="Segoe UI" w:cs="Segoe UI"/>
          <w:bCs/>
          <w:iCs/>
          <w:sz w:val="20"/>
          <w:szCs w:val="20"/>
          <w:lang w:val="pl-PL"/>
        </w:rPr>
      </w:pPr>
    </w:p>
    <w:p w:rsidR="00140CF8" w:rsidRPr="009F379B" w:rsidRDefault="00054A26" w:rsidP="009F379B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 w:rsidRPr="009F379B">
        <w:rPr>
          <w:rFonts w:ascii="Segoe UI" w:hAnsi="Segoe UI" w:cs="Segoe UI"/>
          <w:b/>
          <w:sz w:val="20"/>
          <w:szCs w:val="20"/>
          <w:lang w:val="pl-PL"/>
        </w:rPr>
        <w:t>Warszawa</w:t>
      </w:r>
      <w:r w:rsidR="00922A2A">
        <w:rPr>
          <w:rFonts w:ascii="Segoe UI" w:hAnsi="Segoe UI" w:cs="Segoe UI"/>
          <w:b/>
          <w:sz w:val="20"/>
          <w:szCs w:val="20"/>
          <w:lang w:val="pl-PL"/>
        </w:rPr>
        <w:t>, 14</w:t>
      </w:r>
      <w:r w:rsidR="00140CF8" w:rsidRPr="009F379B">
        <w:rPr>
          <w:rFonts w:ascii="Segoe UI" w:hAnsi="Segoe UI" w:cs="Segoe UI"/>
          <w:b/>
          <w:sz w:val="20"/>
          <w:szCs w:val="20"/>
          <w:lang w:val="pl-PL"/>
        </w:rPr>
        <w:t xml:space="preserve"> października 2016 r.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– </w:t>
      </w:r>
      <w:r w:rsidR="00140CF8" w:rsidRPr="00F17E7F">
        <w:rPr>
          <w:rFonts w:ascii="Segoe UI" w:hAnsi="Segoe UI" w:cs="Segoe UI"/>
          <w:sz w:val="20"/>
          <w:szCs w:val="20"/>
          <w:lang w:val="pl-PL"/>
        </w:rPr>
        <w:t>Jak wynika z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badania </w:t>
      </w:r>
      <w:r w:rsidRPr="009F379B">
        <w:rPr>
          <w:rFonts w:ascii="Segoe UI" w:hAnsi="Segoe UI" w:cs="Segoe UI"/>
          <w:sz w:val="20"/>
          <w:szCs w:val="20"/>
          <w:lang w:val="pl-PL"/>
        </w:rPr>
        <w:t xml:space="preserve">nt. 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płatności elektronicznych Digital </w:t>
      </w:r>
      <w:proofErr w:type="spellStart"/>
      <w:r w:rsidR="00140CF8" w:rsidRPr="009F379B">
        <w:rPr>
          <w:rFonts w:ascii="Segoe UI" w:hAnsi="Segoe UI" w:cs="Segoe UI"/>
          <w:sz w:val="20"/>
          <w:szCs w:val="20"/>
          <w:lang w:val="pl-PL"/>
        </w:rPr>
        <w:t>Payments</w:t>
      </w:r>
      <w:proofErr w:type="spellEnd"/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140CF8" w:rsidRPr="009F379B">
        <w:rPr>
          <w:rFonts w:ascii="Segoe UI" w:hAnsi="Segoe UI" w:cs="Segoe UI"/>
          <w:sz w:val="20"/>
          <w:szCs w:val="20"/>
          <w:lang w:val="pl-PL"/>
        </w:rPr>
        <w:t>Study</w:t>
      </w:r>
      <w:proofErr w:type="spellEnd"/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2016 przeprowadzonego na zlecenie Visa, liczba konsumentów regularnie korzystających przy dokonywaniu płatności z urządze</w:t>
      </w:r>
      <w:r w:rsidRPr="009F379B">
        <w:rPr>
          <w:rFonts w:ascii="Segoe UI" w:hAnsi="Segoe UI" w:cs="Segoe UI"/>
          <w:sz w:val="20"/>
          <w:szCs w:val="20"/>
          <w:lang w:val="pl-PL"/>
        </w:rPr>
        <w:t>ń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mobiln</w:t>
      </w:r>
      <w:r w:rsidRPr="009F379B">
        <w:rPr>
          <w:rFonts w:ascii="Segoe UI" w:hAnsi="Segoe UI" w:cs="Segoe UI"/>
          <w:sz w:val="20"/>
          <w:szCs w:val="20"/>
          <w:lang w:val="pl-PL"/>
        </w:rPr>
        <w:t>ych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– smartfon</w:t>
      </w:r>
      <w:r w:rsidRPr="009F379B">
        <w:rPr>
          <w:rFonts w:ascii="Segoe UI" w:hAnsi="Segoe UI" w:cs="Segoe UI"/>
          <w:sz w:val="20"/>
          <w:szCs w:val="20"/>
          <w:lang w:val="pl-PL"/>
        </w:rPr>
        <w:t>ów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>, tablet</w:t>
      </w:r>
      <w:r w:rsidRPr="009F379B">
        <w:rPr>
          <w:rFonts w:ascii="Segoe UI" w:hAnsi="Segoe UI" w:cs="Segoe UI"/>
          <w:sz w:val="20"/>
          <w:szCs w:val="20"/>
          <w:lang w:val="pl-PL"/>
        </w:rPr>
        <w:t>ów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czy urządze</w:t>
      </w:r>
      <w:r w:rsidRPr="009F379B">
        <w:rPr>
          <w:rFonts w:ascii="Segoe UI" w:hAnsi="Segoe UI" w:cs="Segoe UI"/>
          <w:sz w:val="20"/>
          <w:szCs w:val="20"/>
          <w:lang w:val="pl-PL"/>
        </w:rPr>
        <w:t>ń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ubieraln</w:t>
      </w:r>
      <w:r w:rsidRPr="009F379B">
        <w:rPr>
          <w:rFonts w:ascii="Segoe UI" w:hAnsi="Segoe UI" w:cs="Segoe UI"/>
          <w:sz w:val="20"/>
          <w:szCs w:val="20"/>
          <w:lang w:val="pl-PL"/>
        </w:rPr>
        <w:t>ych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 – potroiła się w ciągu ostatniego roku. Obecnie odsetek badanych regularnie płacących </w:t>
      </w:r>
      <w:r w:rsidRPr="009F379B">
        <w:rPr>
          <w:rFonts w:ascii="Segoe UI" w:hAnsi="Segoe UI" w:cs="Segoe UI"/>
          <w:sz w:val="20"/>
          <w:szCs w:val="20"/>
          <w:lang w:val="pl-PL"/>
        </w:rPr>
        <w:t xml:space="preserve">w ten sposób 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>za różne towary i usługi wynosi 54%, w porównaniu z zaledwie 18%</w:t>
      </w:r>
      <w:r w:rsidR="00A0105F" w:rsidRPr="009F379B">
        <w:rPr>
          <w:rFonts w:ascii="Segoe UI" w:hAnsi="Segoe UI" w:cs="Segoe UI"/>
          <w:sz w:val="20"/>
          <w:szCs w:val="20"/>
          <w:lang w:val="pl-PL"/>
        </w:rPr>
        <w:t xml:space="preserve"> respondentów</w:t>
      </w:r>
      <w:r w:rsidR="00140CF8" w:rsidRPr="009F379B">
        <w:rPr>
          <w:rFonts w:ascii="Segoe UI" w:hAnsi="Segoe UI" w:cs="Segoe UI"/>
          <w:sz w:val="20"/>
          <w:szCs w:val="20"/>
          <w:lang w:val="pl-PL"/>
        </w:rPr>
        <w:t xml:space="preserve">, którzy </w:t>
      </w:r>
      <w:r w:rsidR="00A0105F" w:rsidRPr="009F379B">
        <w:rPr>
          <w:rFonts w:ascii="Segoe UI" w:hAnsi="Segoe UI" w:cs="Segoe UI"/>
          <w:sz w:val="20"/>
          <w:szCs w:val="20"/>
          <w:lang w:val="pl-PL"/>
        </w:rPr>
        <w:t>deklarowali korzystanie z płatności mobilnych w tym samym badaniu w ubiegłym roku</w:t>
      </w:r>
      <w:r w:rsidRPr="009F379B">
        <w:rPr>
          <w:rFonts w:ascii="Segoe UI" w:hAnsi="Segoe UI" w:cs="Segoe UI"/>
          <w:sz w:val="20"/>
          <w:szCs w:val="20"/>
          <w:lang w:val="pl-PL"/>
        </w:rPr>
        <w:t>.</w:t>
      </w:r>
    </w:p>
    <w:p w:rsidR="00140CF8" w:rsidRDefault="00140CF8" w:rsidP="009F379B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 w:rsidRPr="009F379B">
        <w:rPr>
          <w:rFonts w:ascii="Segoe UI" w:hAnsi="Segoe UI" w:cs="Segoe UI"/>
          <w:sz w:val="20"/>
          <w:szCs w:val="20"/>
          <w:lang w:val="pl-PL"/>
        </w:rPr>
        <w:t>Badanie, które objęło ponad 36 tys</w:t>
      </w:r>
      <w:r w:rsidR="005472A1" w:rsidRPr="009F379B">
        <w:rPr>
          <w:rFonts w:ascii="Segoe UI" w:hAnsi="Segoe UI" w:cs="Segoe UI"/>
          <w:sz w:val="20"/>
          <w:szCs w:val="20"/>
          <w:lang w:val="pl-PL"/>
        </w:rPr>
        <w:t>.</w:t>
      </w:r>
      <w:r w:rsidRPr="009F379B">
        <w:rPr>
          <w:rFonts w:ascii="Segoe UI" w:hAnsi="Segoe UI" w:cs="Segoe UI"/>
          <w:sz w:val="20"/>
          <w:szCs w:val="20"/>
          <w:lang w:val="pl-PL"/>
        </w:rPr>
        <w:t xml:space="preserve"> konsumentów </w:t>
      </w:r>
      <w:r w:rsidR="00054A26" w:rsidRPr="009F379B">
        <w:rPr>
          <w:rFonts w:ascii="Segoe UI" w:hAnsi="Segoe UI" w:cs="Segoe UI"/>
          <w:sz w:val="20"/>
          <w:szCs w:val="20"/>
          <w:lang w:val="pl-PL"/>
        </w:rPr>
        <w:t xml:space="preserve">korzystających z </w:t>
      </w:r>
      <w:proofErr w:type="spellStart"/>
      <w:r w:rsidRPr="009F379B">
        <w:rPr>
          <w:rFonts w:ascii="Segoe UI" w:hAnsi="Segoe UI" w:cs="Segoe UI"/>
          <w:sz w:val="20"/>
          <w:szCs w:val="20"/>
          <w:lang w:val="pl-PL"/>
        </w:rPr>
        <w:t>internet</w:t>
      </w:r>
      <w:r w:rsidR="00054A26" w:rsidRPr="009F379B">
        <w:rPr>
          <w:rFonts w:ascii="Segoe UI" w:hAnsi="Segoe UI" w:cs="Segoe UI"/>
          <w:sz w:val="20"/>
          <w:szCs w:val="20"/>
          <w:lang w:val="pl-PL"/>
        </w:rPr>
        <w:t>u</w:t>
      </w:r>
      <w:proofErr w:type="spellEnd"/>
      <w:r w:rsidRPr="009F379B">
        <w:rPr>
          <w:rFonts w:ascii="Segoe UI" w:hAnsi="Segoe UI" w:cs="Segoe UI"/>
          <w:sz w:val="20"/>
          <w:szCs w:val="20"/>
          <w:lang w:val="pl-PL"/>
        </w:rPr>
        <w:t xml:space="preserve"> w 19 krajach </w:t>
      </w:r>
      <w:r w:rsidR="00A0105F" w:rsidRPr="009F379B">
        <w:rPr>
          <w:rFonts w:ascii="Segoe UI" w:hAnsi="Segoe UI" w:cs="Segoe UI"/>
          <w:sz w:val="20"/>
          <w:szCs w:val="20"/>
          <w:lang w:val="pl-PL"/>
        </w:rPr>
        <w:t xml:space="preserve">europejskich </w:t>
      </w:r>
      <w:r w:rsidRPr="009F379B">
        <w:rPr>
          <w:rFonts w:ascii="Segoe UI" w:hAnsi="Segoe UI" w:cs="Segoe UI"/>
          <w:sz w:val="20"/>
          <w:szCs w:val="20"/>
          <w:lang w:val="pl-PL"/>
        </w:rPr>
        <w:t>pokazuje</w:t>
      </w:r>
      <w:r w:rsidR="003F483D" w:rsidRPr="009F379B">
        <w:rPr>
          <w:rFonts w:ascii="Segoe UI" w:hAnsi="Segoe UI" w:cs="Segoe UI"/>
          <w:sz w:val="20"/>
          <w:szCs w:val="20"/>
          <w:lang w:val="pl-PL"/>
        </w:rPr>
        <w:t>,</w:t>
      </w:r>
      <w:r w:rsidRPr="009F379B">
        <w:rPr>
          <w:rFonts w:ascii="Segoe UI" w:hAnsi="Segoe UI" w:cs="Segoe UI"/>
          <w:sz w:val="20"/>
          <w:szCs w:val="20"/>
          <w:lang w:val="pl-PL"/>
        </w:rPr>
        <w:t xml:space="preserve"> jak gwałtownie w ostatnich 12 miesiącach </w:t>
      </w:r>
      <w:r w:rsidR="003F483D" w:rsidRPr="009F379B">
        <w:rPr>
          <w:rFonts w:ascii="Segoe UI" w:hAnsi="Segoe UI" w:cs="Segoe UI"/>
          <w:sz w:val="20"/>
          <w:szCs w:val="20"/>
          <w:lang w:val="pl-PL"/>
        </w:rPr>
        <w:t>wzrosł</w:t>
      </w:r>
      <w:r w:rsidR="00267E44" w:rsidRPr="009F379B">
        <w:rPr>
          <w:rFonts w:ascii="Segoe UI" w:hAnsi="Segoe UI" w:cs="Segoe UI"/>
          <w:sz w:val="20"/>
          <w:szCs w:val="20"/>
          <w:lang w:val="pl-PL"/>
        </w:rPr>
        <w:t xml:space="preserve">o korzystanie z rozwiązań cyfrowych do </w:t>
      </w:r>
      <w:r w:rsidRPr="009F379B">
        <w:rPr>
          <w:rFonts w:ascii="Segoe UI" w:hAnsi="Segoe UI" w:cs="Segoe UI"/>
          <w:sz w:val="20"/>
          <w:szCs w:val="20"/>
          <w:lang w:val="pl-PL"/>
        </w:rPr>
        <w:t>płatności. Rok temu 38% badanych stwierdziło, że nigdy nie posługiwali się urządzeniem mobilnym przy pła</w:t>
      </w:r>
      <w:r w:rsidR="00267E44" w:rsidRPr="009F379B">
        <w:rPr>
          <w:rFonts w:ascii="Segoe UI" w:hAnsi="Segoe UI" w:cs="Segoe UI"/>
          <w:sz w:val="20"/>
          <w:szCs w:val="20"/>
          <w:lang w:val="pl-PL"/>
        </w:rPr>
        <w:t>ceniu</w:t>
      </w:r>
      <w:r w:rsidRPr="009F379B">
        <w:rPr>
          <w:rFonts w:ascii="Segoe UI" w:hAnsi="Segoe UI" w:cs="Segoe UI"/>
          <w:sz w:val="20"/>
          <w:szCs w:val="20"/>
          <w:lang w:val="pl-PL"/>
        </w:rPr>
        <w:t xml:space="preserve"> i nie mają takich planów. Obecnie takich osób jest już tylko 12%. </w:t>
      </w:r>
    </w:p>
    <w:p w:rsidR="002C6FA5" w:rsidRPr="009F379B" w:rsidRDefault="002C6FA5" w:rsidP="009F379B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b/>
          <w:sz w:val="20"/>
          <w:szCs w:val="20"/>
          <w:lang w:val="pl-PL"/>
        </w:rPr>
      </w:pPr>
      <w:r w:rsidRPr="009F379B">
        <w:rPr>
          <w:rFonts w:ascii="Segoe UI" w:hAnsi="Segoe UI" w:cs="Segoe UI"/>
          <w:b/>
          <w:sz w:val="20"/>
          <w:szCs w:val="20"/>
          <w:lang w:val="pl-PL"/>
        </w:rPr>
        <w:t>KIM SĄ I CO KUPUJĄ?</w:t>
      </w:r>
    </w:p>
    <w:p w:rsidR="00140CF8" w:rsidRDefault="00140CF8" w:rsidP="009F379B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  <w:r w:rsidRPr="009F379B">
        <w:rPr>
          <w:rFonts w:ascii="Segoe UI" w:hAnsi="Segoe UI" w:cs="Segoe UI"/>
          <w:sz w:val="20"/>
          <w:szCs w:val="20"/>
          <w:lang w:val="pl-PL"/>
        </w:rPr>
        <w:t xml:space="preserve">Dziesięć krajów, </w:t>
      </w:r>
      <w:r w:rsidR="00A0105F" w:rsidRPr="009F379B">
        <w:rPr>
          <w:rFonts w:ascii="Segoe UI" w:hAnsi="Segoe UI" w:cs="Segoe UI"/>
          <w:sz w:val="20"/>
          <w:szCs w:val="20"/>
          <w:lang w:val="pl-PL"/>
        </w:rPr>
        <w:t>gdzie</w:t>
      </w:r>
      <w:r w:rsidR="00267E44" w:rsidRPr="009F379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9F379B">
        <w:rPr>
          <w:rFonts w:ascii="Segoe UI" w:hAnsi="Segoe UI" w:cs="Segoe UI"/>
          <w:sz w:val="20"/>
          <w:szCs w:val="20"/>
          <w:lang w:val="pl-PL"/>
        </w:rPr>
        <w:t>płatności mobilne są najbardziej rozpowszechnione, można podzielić na dwie kategorie: rynki rozwijające</w:t>
      </w:r>
      <w:r w:rsidR="00125316">
        <w:rPr>
          <w:rFonts w:ascii="Segoe UI" w:hAnsi="Segoe UI" w:cs="Segoe UI"/>
          <w:sz w:val="20"/>
          <w:szCs w:val="20"/>
          <w:lang w:val="pl-PL"/>
        </w:rPr>
        <w:t xml:space="preserve"> się, takie jak Turcja i Polska</w:t>
      </w:r>
      <w:r w:rsidRPr="009F379B">
        <w:rPr>
          <w:rFonts w:ascii="Segoe UI" w:hAnsi="Segoe UI" w:cs="Segoe UI"/>
          <w:sz w:val="20"/>
          <w:szCs w:val="20"/>
          <w:lang w:val="pl-PL"/>
        </w:rPr>
        <w:t>, które przeskakują kolejne etapy rozwoju tradycyjnych metod płatności, by od razu skorzystać z nowych technologii; oraz rynki rozwinięte – zwłaszcza kraje skandynawskie – które przestawiają się na nowe technologie w r</w:t>
      </w:r>
      <w:r w:rsidR="00267E44" w:rsidRPr="009F379B">
        <w:rPr>
          <w:rFonts w:ascii="Segoe UI" w:hAnsi="Segoe UI" w:cs="Segoe UI"/>
          <w:sz w:val="20"/>
          <w:szCs w:val="20"/>
          <w:lang w:val="pl-PL"/>
        </w:rPr>
        <w:t>óżnym</w:t>
      </w:r>
      <w:r w:rsidRPr="009F379B">
        <w:rPr>
          <w:rFonts w:ascii="Segoe UI" w:hAnsi="Segoe UI" w:cs="Segoe UI"/>
          <w:sz w:val="20"/>
          <w:szCs w:val="20"/>
          <w:lang w:val="pl-PL"/>
        </w:rPr>
        <w:t xml:space="preserve"> tempie. W Polsce ponad trzy czwarte (79%) respondentów to użytkownicy płatności mobilnych</w:t>
      </w:r>
      <w:r w:rsidRPr="009F379B">
        <w:rPr>
          <w:rFonts w:ascii="Segoe UI" w:hAnsi="Segoe UI" w:cs="Segoe UI"/>
          <w:sz w:val="20"/>
          <w:szCs w:val="20"/>
          <w:vertAlign w:val="superscript"/>
          <w:lang w:val="pl-PL"/>
        </w:rPr>
        <w:t>1</w:t>
      </w:r>
      <w:r w:rsidRPr="009F379B">
        <w:rPr>
          <w:rFonts w:ascii="Segoe UI" w:hAnsi="Segoe UI" w:cs="Segoe UI"/>
          <w:sz w:val="20"/>
          <w:szCs w:val="20"/>
          <w:lang w:val="pl-PL"/>
        </w:rPr>
        <w:t>. 63% z nich korzysta z urządzenia mobilnego, by przelewać pieniądze dla przyjaciół i rodziny, a połowa płaci w ten sposób za jedzenie na wynos.</w:t>
      </w:r>
    </w:p>
    <w:p w:rsidR="002C6FA5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Co ciekawe, użytkownicy płatności mobilnych deklarują, że równie chętnie posługują się urządzeniami mobilnymi przy codziennych płatnościach, jak i przy zakupach na wyższe kwoty. W Polsce ponad 45% z nich przy pomocy urządzenia mobilnego płaci za towary i usługi o dużej wartości np. wyjazdy wakacyjne czy artykuły elektroniczne</w:t>
      </w:r>
      <w:r w:rsidR="00267E44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. Wielu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reguluje </w:t>
      </w:r>
      <w:r w:rsidR="00267E44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w ten sposób również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stałe płatności, np. za domowe rachunki (60%), czy kupuje bilety autobusowe i kolejowe (48%).</w:t>
      </w:r>
    </w:p>
    <w:p w:rsidR="00140CF8" w:rsidRPr="009F379B" w:rsidRDefault="002C6FA5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>
        <w:rPr>
          <w:rFonts w:ascii="Segoe UI" w:hAnsi="Segoe UI" w:cs="Segoe UI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403999BB" wp14:editId="7CCB6350">
            <wp:extent cx="5852795" cy="33223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FA5" w:rsidRDefault="002C6FA5" w:rsidP="009F379B">
      <w:pPr>
        <w:spacing w:line="247" w:lineRule="auto"/>
        <w:rPr>
          <w:rFonts w:ascii="Segoe UI" w:hAnsi="Segoe UI" w:cs="Segoe UI"/>
          <w:b/>
          <w:noProof/>
          <w:sz w:val="20"/>
          <w:szCs w:val="20"/>
          <w:lang w:val="pl-PL" w:eastAsia="pl-PL"/>
        </w:rPr>
      </w:pP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b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b/>
          <w:noProof/>
          <w:sz w:val="20"/>
          <w:szCs w:val="20"/>
          <w:lang w:val="pl-PL" w:eastAsia="pl-PL"/>
        </w:rPr>
        <w:t>BANKOWOŚĆ MOBILNA CORAZ POPULARNIEJSZA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Badanie pokazuje również, że bankowość mobilna jest coraz popularniejsza wśród konsumentów, niezależnie od ich wieku. Po raz pierwszy korzysta z niej ponad połowa europejskich respondentów we wszystkich grupach wiekowych. Choć tzw. millennialsi są tu nadal najliczn</w:t>
      </w:r>
      <w:r w:rsidR="00122F24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iejsz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ą grupą, inne szybko nadrabiają zaległości. Najszybszy wzrost (33%) notowany jest wśród osób w wieku 55-64 lata, podczas gdy dla millenialsów (wiek 18-34 lat</w:t>
      </w:r>
      <w:r w:rsidR="008D064A">
        <w:rPr>
          <w:rFonts w:ascii="Segoe UI" w:hAnsi="Segoe UI" w:cs="Segoe UI"/>
          <w:noProof/>
          <w:sz w:val="20"/>
          <w:szCs w:val="20"/>
          <w:lang w:val="pl-PL" w:eastAsia="pl-PL"/>
        </w:rPr>
        <w:t>a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) tempo wzrostu wynosi 24%. </w:t>
      </w:r>
    </w:p>
    <w:p w:rsidR="00176659" w:rsidRDefault="00176659" w:rsidP="00176659">
      <w:pPr>
        <w:spacing w:line="247" w:lineRule="auto"/>
        <w:jc w:val="center"/>
        <w:rPr>
          <w:rFonts w:ascii="Segoe UI" w:hAnsi="Segoe UI" w:cs="Segoe UI"/>
          <w:noProof/>
          <w:sz w:val="20"/>
          <w:szCs w:val="20"/>
          <w:lang w:val="pl-PL" w:eastAsia="pl-PL"/>
        </w:rPr>
      </w:pPr>
      <w:r>
        <w:rPr>
          <w:rFonts w:ascii="Segoe UI" w:hAnsi="Segoe UI" w:cs="Segoe UI"/>
          <w:noProof/>
          <w:sz w:val="20"/>
          <w:szCs w:val="20"/>
          <w:lang w:val="pl-PL" w:eastAsia="pl-PL"/>
        </w:rPr>
        <w:drawing>
          <wp:inline distT="0" distB="0" distL="0" distR="0" wp14:anchorId="7B9B532C">
            <wp:extent cx="5015129" cy="32480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85" cy="3293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lastRenderedPageBreak/>
        <w:t xml:space="preserve">W Polsce liczba starszych użytkowników wzrosła w ostatnim roku o 11%. Obecnie ponad połowa (55%) </w:t>
      </w:r>
      <w:r w:rsidR="005472A1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badanych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w wieku 55-64 lata korzysta z bankowości z poziomu urządzenia mobilnego, podczas gdy w 2015 r. </w:t>
      </w:r>
      <w:r w:rsidR="005B09B2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było to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44%</w:t>
      </w:r>
      <w:r w:rsidR="005B09B2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.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</w:t>
      </w:r>
    </w:p>
    <w:p w:rsidR="005B09B2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Rosnąca popularność bankowości mobilnej wśród respondentów w całej Europie oznacza również, że coraz więcej osób może łatwo </w:t>
      </w:r>
      <w:r w:rsidR="005B09B2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kontrolować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swoje wydatki i zobowiązania finansowe – dwie piąte (41%) deklaruje, że regularnie sprawdza stan konta w internecie </w:t>
      </w:r>
      <w:r w:rsidR="00922A2A">
        <w:rPr>
          <w:rFonts w:ascii="Segoe UI" w:hAnsi="Segoe UI" w:cs="Segoe UI"/>
          <w:noProof/>
          <w:sz w:val="20"/>
          <w:szCs w:val="20"/>
          <w:lang w:val="pl-PL" w:eastAsia="pl-PL"/>
        </w:rPr>
        <w:t>lub poprzez aplikację bankową.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„Dane Visa potwierdzają, że przyszłość płatności elektronicznych już nadeszła, a konsumenci, zarówno w Polsce, jak i w całej Europie, coraz chętniej korzystają z nowych metod płatności. W Visa uważamy, że smartfony i urządzenia ubieralne zapoczątkowały szerszy trend, w którym miliony urządzeń z dostępem do internetu pozwolą na łatwe i bezpieczne  zintegrowanie codziennych</w:t>
      </w:r>
      <w:r w:rsidR="00CA6E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płatności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z niemal każdą technologią</w:t>
      </w:r>
      <w:r w:rsidR="00922A2A">
        <w:rPr>
          <w:rFonts w:ascii="Segoe UI" w:hAnsi="Segoe UI" w:cs="Segoe UI"/>
          <w:noProof/>
          <w:sz w:val="20"/>
          <w:szCs w:val="20"/>
          <w:lang w:val="pl-PL" w:eastAsia="pl-PL"/>
        </w:rPr>
        <w:t>” – powiedział Jakub Kiwior, dyrektor ds. rozwoju biznesu i marketingu w regionie Europy Środkowo-Wschodniej</w:t>
      </w:r>
      <w:r w:rsidR="005472A1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, Visa Europe.</w:t>
      </w:r>
    </w:p>
    <w:p w:rsidR="00140CF8" w:rsidRPr="009F379B" w:rsidRDefault="005472A1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„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W Europie byliśmy ostatnio świadkami rynkowych premier </w:t>
      </w:r>
      <w:r w:rsidR="005B09B2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usług 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Apple Pay w Wielkiej Brytanii, Francji i Szwajcarii, Samsung Pay w Hiszpanii i Android Pay w Wielkiej Brytanii. Widzimy też początek nowej ery płatności za pomocą urządzeń ubieralnych, takich jak zegarki i opaski czy nawet odzież z funkcjami „smart”. Jesteśmy przekonani, że ten trend będzie dalej nabierał rozpędu, umożliwiając konsumentom wybór </w:t>
      </w:r>
      <w:r w:rsidR="009D297A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pasujących do ich stylu życia urządzeń 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podłączonych do internetu</w:t>
      </w:r>
      <w:r w:rsidR="009D297A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,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</w:t>
      </w:r>
      <w:r w:rsidR="009D297A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które pozwalają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na dokonywanie płatności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”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– dodał </w:t>
      </w:r>
      <w:r w:rsidR="00922A2A">
        <w:rPr>
          <w:rFonts w:ascii="Segoe UI" w:hAnsi="Segoe UI" w:cs="Segoe UI"/>
          <w:noProof/>
          <w:sz w:val="20"/>
          <w:szCs w:val="20"/>
          <w:lang w:val="pl-PL" w:eastAsia="pl-PL"/>
        </w:rPr>
        <w:t>Jakub Kiwior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.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b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b/>
          <w:noProof/>
          <w:sz w:val="20"/>
          <w:szCs w:val="20"/>
          <w:lang w:val="pl-PL" w:eastAsia="pl-PL"/>
        </w:rPr>
        <w:t>KORELACJA Z TECHNOLOGIĄ ZBLIŻENIOWĄ</w:t>
      </w:r>
    </w:p>
    <w:p w:rsidR="00140CF8" w:rsidRPr="009F379B" w:rsidRDefault="00CA0430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W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zrost zainteresowania płatnościami elektronicznymi zbiega się w czasie z upowszechnianiem się technologii zbliżeniowej. Badanie wskazuje, że płatności zbliżeniowe są obecnie standardem we wszystkich grupach wiekowych. W Polsce ponad trzy czwarte (81%) badanych posłużyło się w tym roku kartą zbliżeniową, podczas gdy w 2015 r. </w:t>
      </w:r>
      <w:r w:rsidR="00122F24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takich osób </w:t>
      </w:r>
      <w:r w:rsidR="00140CF8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było 65%. 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W skali całej Europy użytkownicy kart zbliżeniowych są bardziej otwarci na nowe metody płatności niż osoby, które się nimi nie posługują. Badanie podkreśla korelację między korzystaniem z technologii zbliżeniowej i nowy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mi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metod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ami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płatności, wykazując, że użytkownicy kart zbliżeniowych są bardziej zainteresowani wykorzystaniem urządzenia mobilnego do płatności w sklepie (52% użytkowników kart zbliżeniowych wobec 32% osób ich nie używających), zakupów poprzez aplikację detalisty (49% wobec 31%) lub płacenia za posiłki (50% wobec 30%).</w:t>
      </w:r>
    </w:p>
    <w:p w:rsidR="00140CF8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„Popularyzacja kart zbliżeniowych pozwoliła polskim konsumentom</w:t>
      </w:r>
      <w:r w:rsidR="00CA0430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, niezależnie od wieku,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oswoić się </w:t>
      </w:r>
      <w:r w:rsidR="00CA0430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z płatnościami elektronicznymi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. Niemal powszechne posługiwanie się kartami zbliżeniowymi pomaga wszystkim </w:t>
      </w:r>
      <w:r w:rsidR="00AF0B8E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stopniowo </w:t>
      </w:r>
      <w:r w:rsidR="00124A1A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przechodzić </w:t>
      </w:r>
      <w:r w:rsidR="00AF0B8E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na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nowsz</w:t>
      </w:r>
      <w:r w:rsidR="00AF0B8E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e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metod</w:t>
      </w:r>
      <w:r w:rsidR="00AF0B8E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y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płatności, w tym bankowoś</w:t>
      </w:r>
      <w:r w:rsidR="00AF0B8E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ć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mobiln</w:t>
      </w:r>
      <w:r w:rsidR="00AF0B8E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ą</w:t>
      </w:r>
      <w:r w:rsidR="005472A1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” – powiedział </w:t>
      </w:r>
      <w:r w:rsidR="00922A2A">
        <w:rPr>
          <w:rFonts w:ascii="Segoe UI" w:hAnsi="Segoe UI" w:cs="Segoe UI"/>
          <w:noProof/>
          <w:sz w:val="20"/>
          <w:szCs w:val="20"/>
          <w:lang w:val="pl-PL" w:eastAsia="pl-PL"/>
        </w:rPr>
        <w:t>Jakub Kiwior</w:t>
      </w:r>
      <w:r w:rsidR="005472A1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, Visa Europe.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</w:t>
      </w:r>
      <w:r w:rsidR="005472A1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„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Stałe zaangażowanie Visa we wprowadzanie innowacji umożliwia ludziom dokonywanie bezproblemowych i bezpiecznych płatności </w:t>
      </w:r>
      <w:r w:rsidR="00B839D5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z dowolnego miejsca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i </w:t>
      </w:r>
      <w:r w:rsidR="00B839D5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za pomocą </w:t>
      </w:r>
      <w:r w:rsidR="00124A1A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dowolnego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urządzeni</w:t>
      </w:r>
      <w:r w:rsidR="00B839D5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a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, bez względu na czas, miejsce i </w:t>
      </w:r>
      <w:r w:rsidR="006663E2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metodę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pła</w:t>
      </w:r>
      <w:r w:rsidR="00B839D5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cenia</w:t>
      </w:r>
      <w:r w:rsidR="006663E2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”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.</w:t>
      </w:r>
    </w:p>
    <w:p w:rsidR="00140CF8" w:rsidRPr="00176659" w:rsidRDefault="009F379B" w:rsidP="00F17E7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0"/>
        <w:jc w:val="center"/>
        <w:rPr>
          <w:rFonts w:ascii="Segoe UI" w:hAnsi="Segoe UI" w:cs="Segoe UI"/>
          <w:noProof/>
          <w:color w:val="auto"/>
          <w:sz w:val="20"/>
          <w:szCs w:val="20"/>
          <w:lang w:val="en-GB" w:eastAsia="pl-PL"/>
        </w:rPr>
      </w:pPr>
      <w:r w:rsidRPr="00176659">
        <w:rPr>
          <w:rFonts w:ascii="Segoe UI" w:hAnsi="Segoe UI" w:cs="Segoe UI"/>
          <w:noProof/>
          <w:color w:val="auto"/>
          <w:sz w:val="20"/>
          <w:szCs w:val="20"/>
          <w:lang w:val="en-GB" w:eastAsia="pl-PL"/>
        </w:rPr>
        <w:t>###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b/>
          <w:noProof/>
          <w:sz w:val="20"/>
          <w:szCs w:val="20"/>
          <w:lang w:val="en-GB" w:eastAsia="pl-PL"/>
        </w:rPr>
      </w:pPr>
      <w:r w:rsidRPr="009F379B">
        <w:rPr>
          <w:rFonts w:ascii="Segoe UI" w:hAnsi="Segoe UI" w:cs="Segoe UI"/>
          <w:b/>
          <w:noProof/>
          <w:sz w:val="20"/>
          <w:szCs w:val="20"/>
          <w:lang w:val="en-GB" w:eastAsia="pl-PL"/>
        </w:rPr>
        <w:t>O badaniu Digital Payments</w:t>
      </w:r>
      <w:r w:rsidR="00B839D5" w:rsidRPr="009F379B">
        <w:rPr>
          <w:rFonts w:ascii="Segoe UI" w:hAnsi="Segoe UI" w:cs="Segoe UI"/>
          <w:b/>
          <w:noProof/>
          <w:sz w:val="20"/>
          <w:szCs w:val="20"/>
          <w:lang w:val="en-GB" w:eastAsia="pl-PL"/>
        </w:rPr>
        <w:t xml:space="preserve"> Study 2016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vertAlign w:val="superscript"/>
          <w:lang w:val="pl-PL" w:eastAsia="pl-PL"/>
        </w:rPr>
        <w:t>1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Za użytkownika płatności mobilnych uznajemy osobę, która korzysta z telefonu, tabletu czy urządzenia ubieralnego (wearable) do zarządzania 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swoimi </w:t>
      </w:r>
      <w:r w:rsidR="000C0196">
        <w:rPr>
          <w:rFonts w:ascii="Segoe UI" w:hAnsi="Segoe UI" w:cs="Segoe UI"/>
          <w:noProof/>
          <w:sz w:val="20"/>
          <w:szCs w:val="20"/>
          <w:lang w:val="pl-PL" w:eastAsia="pl-PL"/>
        </w:rPr>
        <w:t>pieniędzmi</w:t>
      </w:r>
      <w:bookmarkStart w:id="0" w:name="_GoBack"/>
      <w:bookmarkEnd w:id="0"/>
      <w:r w:rsidR="000C0196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lub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dokonywania płatności w sklepach fizycznych, internecie lub poprzez aplikację.  </w:t>
      </w:r>
    </w:p>
    <w:p w:rsidR="00140CF8" w:rsidRPr="009F379B" w:rsidRDefault="00140CF8" w:rsidP="009F379B">
      <w:pPr>
        <w:spacing w:line="247" w:lineRule="auto"/>
        <w:rPr>
          <w:rFonts w:ascii="Segoe UI" w:hAnsi="Segoe UI" w:cs="Segoe UI"/>
          <w:noProof/>
          <w:sz w:val="20"/>
          <w:szCs w:val="20"/>
          <w:lang w:val="pl-PL" w:eastAsia="pl-PL"/>
        </w:rPr>
      </w:pP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lastRenderedPageBreak/>
        <w:t>Badanie Digital Payments</w:t>
      </w:r>
      <w:r w:rsidR="00B839D5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Study 2016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zostało przeprowadzone przez agencję Populus na zlecenie Visa w sierpniu i wrześniu 2016 r. w 19 krajach: Austrii, Belgii, Danii, Finlandii, Francji, 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Hiszpanii, </w:t>
      </w:r>
      <w:r w:rsidR="009D297A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Holandii,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Irlandii, Izraelu, 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Niemczech,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Norwegii, Polsce, Rumunii, Słowenii, Szwajcarii, 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Szwecji,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Turcji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,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Wielkiej Brytanii</w:t>
      </w:r>
      <w:r w:rsidR="004616B3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i Włoszech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>. Próba konsumentów uczestniczących w badaniu to 36 843 osób ogółem</w:t>
      </w:r>
      <w:r w:rsidR="00B839D5"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 – </w:t>
      </w:r>
      <w:r w:rsidRPr="009F379B">
        <w:rPr>
          <w:rFonts w:ascii="Segoe UI" w:hAnsi="Segoe UI" w:cs="Segoe UI"/>
          <w:noProof/>
          <w:sz w:val="20"/>
          <w:szCs w:val="20"/>
          <w:lang w:val="pl-PL" w:eastAsia="pl-PL"/>
        </w:rPr>
        <w:t xml:space="preserve">około 2 tys. respondentów w każdym kraju. </w:t>
      </w:r>
    </w:p>
    <w:p w:rsidR="00B839D5" w:rsidRDefault="00B839D5" w:rsidP="00B839D5">
      <w:pPr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</w:pPr>
    </w:p>
    <w:p w:rsidR="00B839D5" w:rsidRPr="0009597C" w:rsidRDefault="00B839D5" w:rsidP="00B839D5">
      <w:pPr>
        <w:rPr>
          <w:rFonts w:ascii="Segoe UI" w:hAnsi="Segoe UI" w:cs="Segoe UI"/>
          <w:b/>
          <w:bCs/>
          <w:i/>
          <w:color w:val="000000"/>
          <w:sz w:val="20"/>
          <w:szCs w:val="20"/>
          <w:lang w:val="pt-PT" w:eastAsia="ko-KR"/>
        </w:rPr>
      </w:pPr>
      <w:r w:rsidRPr="0009597C"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  <w:t>O Visa Inc.</w:t>
      </w:r>
    </w:p>
    <w:p w:rsidR="00B839D5" w:rsidRPr="00355B89" w:rsidRDefault="00B839D5" w:rsidP="00B839D5">
      <w:pPr>
        <w:rPr>
          <w:lang w:val="pl-PL"/>
        </w:rPr>
      </w:pPr>
      <w:r w:rsidRPr="008737C0">
        <w:rPr>
          <w:rFonts w:ascii="Segoe UI" w:hAnsi="Segoe UI" w:cs="Segoe UI"/>
          <w:sz w:val="20"/>
          <w:szCs w:val="20"/>
          <w:lang w:val="pt-PT"/>
        </w:rPr>
        <w:t xml:space="preserve">Visa Inc. 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</w:t>
      </w:r>
      <w:r>
        <w:rPr>
          <w:rFonts w:ascii="Segoe UI" w:hAnsi="Segoe UI" w:cs="Segoe UI"/>
          <w:sz w:val="20"/>
          <w:szCs w:val="20"/>
          <w:lang w:val="pl-PL"/>
        </w:rPr>
        <w:t>formacji znajduje się na stronach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1" w:history="1">
        <w:r w:rsidRPr="00466CB6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i </w:t>
      </w:r>
      <w:r>
        <w:rPr>
          <w:rStyle w:val="Hipercze"/>
          <w:rFonts w:ascii="Segoe UI" w:hAnsi="Segoe UI" w:cs="Segoe UI"/>
          <w:sz w:val="20"/>
          <w:szCs w:val="20"/>
          <w:lang w:val="pl-PL"/>
        </w:rPr>
        <w:t>www.visa.pl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2" w:anchor="_blank" w:history="1">
        <w:r w:rsidRPr="00355B89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www.vision.visaeurope.com</w:t>
        </w:r>
      </w:hyperlink>
      <w:r w:rsidRPr="00355B89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@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VisaEuropeNews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i @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Visa_PL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>.</w:t>
      </w:r>
    </w:p>
    <w:p w:rsidR="00B839D5" w:rsidRPr="00531613" w:rsidRDefault="00B839D5" w:rsidP="00B839D5">
      <w:pPr>
        <w:rPr>
          <w:rFonts w:ascii="Segoe UI" w:hAnsi="Segoe UI" w:cs="Segoe UI"/>
          <w:b/>
          <w:sz w:val="20"/>
          <w:szCs w:val="20"/>
          <w:lang w:val="pl-PL"/>
        </w:rPr>
      </w:pPr>
    </w:p>
    <w:p w:rsidR="00B839D5" w:rsidRPr="00531613" w:rsidRDefault="00B839D5" w:rsidP="00B839D5">
      <w:pPr>
        <w:rPr>
          <w:rFonts w:ascii="Segoe UI" w:hAnsi="Segoe UI" w:cs="Segoe UI"/>
          <w:b/>
          <w:sz w:val="20"/>
          <w:szCs w:val="20"/>
          <w:lang w:val="pl-PL"/>
        </w:rPr>
      </w:pPr>
      <w:r w:rsidRPr="00531613">
        <w:rPr>
          <w:rFonts w:ascii="Segoe UI" w:hAnsi="Segoe UI" w:cs="Segoe UI"/>
          <w:b/>
          <w:sz w:val="20"/>
          <w:szCs w:val="20"/>
          <w:lang w:val="pl-PL"/>
        </w:rPr>
        <w:t xml:space="preserve">Kontakt: </w:t>
      </w:r>
    </w:p>
    <w:p w:rsidR="00B839D5" w:rsidRPr="00355B89" w:rsidRDefault="00B839D5" w:rsidP="00B839D5">
      <w:pPr>
        <w:rPr>
          <w:rFonts w:ascii="Segoe UI" w:hAnsi="Segoe UI" w:cs="Segoe UI"/>
          <w:sz w:val="20"/>
          <w:szCs w:val="18"/>
          <w:lang w:val="pl-PL"/>
        </w:rPr>
      </w:pPr>
      <w:r w:rsidRPr="00355B89">
        <w:rPr>
          <w:rFonts w:ascii="Segoe UI" w:hAnsi="Segoe UI" w:cs="Segoe UI"/>
          <w:sz w:val="20"/>
          <w:szCs w:val="18"/>
          <w:lang w:val="pl-PL"/>
        </w:rPr>
        <w:t>Maciej Gajewski, Message House Agencja PR</w:t>
      </w:r>
    </w:p>
    <w:p w:rsidR="00B839D5" w:rsidRPr="00531613" w:rsidRDefault="00B839D5" w:rsidP="00B839D5">
      <w:pPr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>tel. 22 119 78 45</w:t>
      </w:r>
    </w:p>
    <w:p w:rsidR="00B839D5" w:rsidRPr="00531613" w:rsidRDefault="00B839D5" w:rsidP="00B839D5">
      <w:pPr>
        <w:spacing w:after="0"/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13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4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 </w:t>
      </w:r>
    </w:p>
    <w:p w:rsidR="00B839D5" w:rsidRPr="00B839D5" w:rsidRDefault="00B839D5">
      <w:pPr>
        <w:rPr>
          <w:lang w:val="pt-PT"/>
        </w:rPr>
      </w:pPr>
    </w:p>
    <w:sectPr w:rsidR="00B839D5" w:rsidRPr="00B839D5" w:rsidSect="00E3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F8" w:rsidRDefault="00140CF8" w:rsidP="00B421C1">
      <w:pPr>
        <w:spacing w:after="0" w:line="240" w:lineRule="auto"/>
      </w:pPr>
      <w:r>
        <w:separator/>
      </w:r>
    </w:p>
  </w:endnote>
  <w:endnote w:type="continuationSeparator" w:id="0">
    <w:p w:rsidR="00140CF8" w:rsidRDefault="00140CF8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F8" w:rsidRDefault="00140CF8" w:rsidP="00B421C1">
      <w:pPr>
        <w:spacing w:after="0" w:line="240" w:lineRule="auto"/>
      </w:pPr>
      <w:r>
        <w:separator/>
      </w:r>
    </w:p>
  </w:footnote>
  <w:footnote w:type="continuationSeparator" w:id="0">
    <w:p w:rsidR="00140CF8" w:rsidRDefault="00140CF8" w:rsidP="00B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1496E"/>
    <w:rsid w:val="0002272F"/>
    <w:rsid w:val="00034A0D"/>
    <w:rsid w:val="00054A26"/>
    <w:rsid w:val="00056C5B"/>
    <w:rsid w:val="000A42E2"/>
    <w:rsid w:val="000C0196"/>
    <w:rsid w:val="000C01C9"/>
    <w:rsid w:val="000C1F50"/>
    <w:rsid w:val="000E3FA7"/>
    <w:rsid w:val="000E6B33"/>
    <w:rsid w:val="000F7047"/>
    <w:rsid w:val="00107ECA"/>
    <w:rsid w:val="00122F24"/>
    <w:rsid w:val="00124A1A"/>
    <w:rsid w:val="00125316"/>
    <w:rsid w:val="001269CA"/>
    <w:rsid w:val="00140CF8"/>
    <w:rsid w:val="00163E68"/>
    <w:rsid w:val="00165A38"/>
    <w:rsid w:val="00176659"/>
    <w:rsid w:val="00182EF5"/>
    <w:rsid w:val="00187949"/>
    <w:rsid w:val="001A401B"/>
    <w:rsid w:val="001B02E2"/>
    <w:rsid w:val="001F32C1"/>
    <w:rsid w:val="00220E64"/>
    <w:rsid w:val="00242E85"/>
    <w:rsid w:val="00267E44"/>
    <w:rsid w:val="002743E2"/>
    <w:rsid w:val="00280B84"/>
    <w:rsid w:val="00282A60"/>
    <w:rsid w:val="0028319D"/>
    <w:rsid w:val="002C6FA5"/>
    <w:rsid w:val="002F6305"/>
    <w:rsid w:val="00307A16"/>
    <w:rsid w:val="00314BC4"/>
    <w:rsid w:val="00340B6B"/>
    <w:rsid w:val="00371175"/>
    <w:rsid w:val="003733E0"/>
    <w:rsid w:val="00384521"/>
    <w:rsid w:val="003936D7"/>
    <w:rsid w:val="00395F5E"/>
    <w:rsid w:val="003C542D"/>
    <w:rsid w:val="003C735C"/>
    <w:rsid w:val="003D5FD5"/>
    <w:rsid w:val="003E5918"/>
    <w:rsid w:val="003F483D"/>
    <w:rsid w:val="004218B4"/>
    <w:rsid w:val="00435527"/>
    <w:rsid w:val="00461424"/>
    <w:rsid w:val="004616B3"/>
    <w:rsid w:val="00474EC8"/>
    <w:rsid w:val="00485A93"/>
    <w:rsid w:val="004969DA"/>
    <w:rsid w:val="00496D7B"/>
    <w:rsid w:val="00511AB8"/>
    <w:rsid w:val="0053289F"/>
    <w:rsid w:val="005472A1"/>
    <w:rsid w:val="0056174D"/>
    <w:rsid w:val="00590259"/>
    <w:rsid w:val="00591818"/>
    <w:rsid w:val="005A0938"/>
    <w:rsid w:val="005A36E5"/>
    <w:rsid w:val="005B09B2"/>
    <w:rsid w:val="005C04C3"/>
    <w:rsid w:val="005C5701"/>
    <w:rsid w:val="00605B96"/>
    <w:rsid w:val="00613796"/>
    <w:rsid w:val="006663E2"/>
    <w:rsid w:val="00682C05"/>
    <w:rsid w:val="006859DD"/>
    <w:rsid w:val="00696991"/>
    <w:rsid w:val="006F3AC2"/>
    <w:rsid w:val="00724888"/>
    <w:rsid w:val="00731CE4"/>
    <w:rsid w:val="00740575"/>
    <w:rsid w:val="00744154"/>
    <w:rsid w:val="007601A5"/>
    <w:rsid w:val="007A6056"/>
    <w:rsid w:val="007B1DA7"/>
    <w:rsid w:val="007E2706"/>
    <w:rsid w:val="008169C3"/>
    <w:rsid w:val="00835895"/>
    <w:rsid w:val="00843BA4"/>
    <w:rsid w:val="00851AFB"/>
    <w:rsid w:val="00853896"/>
    <w:rsid w:val="00857E47"/>
    <w:rsid w:val="00887451"/>
    <w:rsid w:val="008936E3"/>
    <w:rsid w:val="008A65F8"/>
    <w:rsid w:val="008C2171"/>
    <w:rsid w:val="008D064A"/>
    <w:rsid w:val="00920319"/>
    <w:rsid w:val="00922A2A"/>
    <w:rsid w:val="00953A63"/>
    <w:rsid w:val="009840F0"/>
    <w:rsid w:val="00987F47"/>
    <w:rsid w:val="009B0AE4"/>
    <w:rsid w:val="009B0CAF"/>
    <w:rsid w:val="009B3D63"/>
    <w:rsid w:val="009B6159"/>
    <w:rsid w:val="009C5040"/>
    <w:rsid w:val="009D21D2"/>
    <w:rsid w:val="009D297A"/>
    <w:rsid w:val="009F379B"/>
    <w:rsid w:val="009F55DD"/>
    <w:rsid w:val="00A0105F"/>
    <w:rsid w:val="00A140EC"/>
    <w:rsid w:val="00A21FE0"/>
    <w:rsid w:val="00A30A47"/>
    <w:rsid w:val="00A46B80"/>
    <w:rsid w:val="00A46DE0"/>
    <w:rsid w:val="00A56AB6"/>
    <w:rsid w:val="00A571A2"/>
    <w:rsid w:val="00A635B5"/>
    <w:rsid w:val="00A6767C"/>
    <w:rsid w:val="00A75D2D"/>
    <w:rsid w:val="00A943DB"/>
    <w:rsid w:val="00A96064"/>
    <w:rsid w:val="00AA48D3"/>
    <w:rsid w:val="00AC72BE"/>
    <w:rsid w:val="00AF0B8E"/>
    <w:rsid w:val="00AF7944"/>
    <w:rsid w:val="00B11228"/>
    <w:rsid w:val="00B421C1"/>
    <w:rsid w:val="00B46D0A"/>
    <w:rsid w:val="00B5498D"/>
    <w:rsid w:val="00B57A40"/>
    <w:rsid w:val="00B839D5"/>
    <w:rsid w:val="00B83C43"/>
    <w:rsid w:val="00B9751F"/>
    <w:rsid w:val="00BB5EDB"/>
    <w:rsid w:val="00BE1C54"/>
    <w:rsid w:val="00C00457"/>
    <w:rsid w:val="00C30DC4"/>
    <w:rsid w:val="00C54A7C"/>
    <w:rsid w:val="00C56E2A"/>
    <w:rsid w:val="00CA0430"/>
    <w:rsid w:val="00CA6E9B"/>
    <w:rsid w:val="00CB28A5"/>
    <w:rsid w:val="00CC6C6D"/>
    <w:rsid w:val="00D079D2"/>
    <w:rsid w:val="00D1074A"/>
    <w:rsid w:val="00D20941"/>
    <w:rsid w:val="00D331B2"/>
    <w:rsid w:val="00D34EE2"/>
    <w:rsid w:val="00D418EB"/>
    <w:rsid w:val="00D60698"/>
    <w:rsid w:val="00D87B23"/>
    <w:rsid w:val="00DB7AA2"/>
    <w:rsid w:val="00DD648B"/>
    <w:rsid w:val="00E04F82"/>
    <w:rsid w:val="00E07664"/>
    <w:rsid w:val="00E16D72"/>
    <w:rsid w:val="00E2670E"/>
    <w:rsid w:val="00E33779"/>
    <w:rsid w:val="00E468BE"/>
    <w:rsid w:val="00E76B8C"/>
    <w:rsid w:val="00EA14CD"/>
    <w:rsid w:val="00EB7625"/>
    <w:rsid w:val="00ED2FCA"/>
    <w:rsid w:val="00EE024C"/>
    <w:rsid w:val="00EE2951"/>
    <w:rsid w:val="00F17E7F"/>
    <w:rsid w:val="00F365C4"/>
    <w:rsid w:val="00F74831"/>
    <w:rsid w:val="00F93F81"/>
    <w:rsid w:val="00FA563F"/>
    <w:rsid w:val="00FA77EE"/>
    <w:rsid w:val="00FC183F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paragraph" w:styleId="Akapitzlist">
    <w:name w:val="List Paragraph"/>
    <w:basedOn w:val="Normalny"/>
    <w:uiPriority w:val="99"/>
    <w:qFormat/>
    <w:rsid w:val="004969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cs="Calibri"/>
      <w:color w:val="000000"/>
      <w:u w:color="000000"/>
      <w:lang w:eastAsia="en-GB"/>
    </w:rPr>
  </w:style>
  <w:style w:type="character" w:styleId="Odwoaniedokomentarza">
    <w:name w:val="annotation reference"/>
    <w:basedOn w:val="Domylnaczcionkaakapitu"/>
    <w:uiPriority w:val="99"/>
    <w:semiHidden/>
    <w:rsid w:val="004969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69DA"/>
    <w:pPr>
      <w:spacing w:after="0" w:line="240" w:lineRule="auto"/>
    </w:pPr>
    <w:rPr>
      <w:rFonts w:ascii="Segoe UI" w:eastAsia="Times New Roman" w:hAnsi="Segoe UI"/>
      <w:color w:val="75787B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69DA"/>
    <w:rPr>
      <w:rFonts w:ascii="Segoe UI" w:hAnsi="Segoe UI" w:cs="Times New Roman"/>
      <w:color w:val="75787B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69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51AF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51AFB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7451"/>
    <w:pPr>
      <w:spacing w:after="160"/>
    </w:pPr>
    <w:rPr>
      <w:rFonts w:ascii="Calibri" w:eastAsia="Calibri" w:hAnsi="Calibri"/>
      <w:b/>
      <w:bCs/>
      <w:color w:val="auto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7451"/>
    <w:rPr>
      <w:rFonts w:ascii="Segoe UI" w:hAnsi="Segoe UI" w:cs="Times New Roman"/>
      <w:b/>
      <w:bCs/>
      <w:color w:val="75787B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887451"/>
    <w:rPr>
      <w:lang w:eastAsia="en-US"/>
    </w:rPr>
  </w:style>
  <w:style w:type="paragraph" w:styleId="Nagwek">
    <w:name w:val="header"/>
    <w:basedOn w:val="Normalny"/>
    <w:link w:val="NagwekZnak"/>
    <w:uiPriority w:val="99"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21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21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paragraph" w:styleId="Akapitzlist">
    <w:name w:val="List Paragraph"/>
    <w:basedOn w:val="Normalny"/>
    <w:uiPriority w:val="99"/>
    <w:qFormat/>
    <w:rsid w:val="004969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cs="Calibri"/>
      <w:color w:val="000000"/>
      <w:u w:color="000000"/>
      <w:lang w:eastAsia="en-GB"/>
    </w:rPr>
  </w:style>
  <w:style w:type="character" w:styleId="Odwoaniedokomentarza">
    <w:name w:val="annotation reference"/>
    <w:basedOn w:val="Domylnaczcionkaakapitu"/>
    <w:uiPriority w:val="99"/>
    <w:semiHidden/>
    <w:rsid w:val="004969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69DA"/>
    <w:pPr>
      <w:spacing w:after="0" w:line="240" w:lineRule="auto"/>
    </w:pPr>
    <w:rPr>
      <w:rFonts w:ascii="Segoe UI" w:eastAsia="Times New Roman" w:hAnsi="Segoe UI"/>
      <w:color w:val="75787B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69DA"/>
    <w:rPr>
      <w:rFonts w:ascii="Segoe UI" w:hAnsi="Segoe UI" w:cs="Times New Roman"/>
      <w:color w:val="75787B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69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51AF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51AFB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7451"/>
    <w:pPr>
      <w:spacing w:after="160"/>
    </w:pPr>
    <w:rPr>
      <w:rFonts w:ascii="Calibri" w:eastAsia="Calibri" w:hAnsi="Calibri"/>
      <w:b/>
      <w:bCs/>
      <w:color w:val="auto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7451"/>
    <w:rPr>
      <w:rFonts w:ascii="Segoe UI" w:hAnsi="Segoe UI" w:cs="Times New Roman"/>
      <w:b/>
      <w:bCs/>
      <w:color w:val="75787B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887451"/>
    <w:rPr>
      <w:lang w:eastAsia="en-US"/>
    </w:rPr>
  </w:style>
  <w:style w:type="paragraph" w:styleId="Nagwek">
    <w:name w:val="header"/>
    <w:basedOn w:val="Normalny"/>
    <w:link w:val="NagwekZnak"/>
    <w:uiPriority w:val="99"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21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2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ciej.gajewski@messagehous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sion.visaeurop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aeuro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message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Visa Inc.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JWaszczuk</cp:lastModifiedBy>
  <cp:revision>4</cp:revision>
  <cp:lastPrinted>2016-09-30T13:10:00Z</cp:lastPrinted>
  <dcterms:created xsi:type="dcterms:W3CDTF">2016-10-14T09:29:00Z</dcterms:created>
  <dcterms:modified xsi:type="dcterms:W3CDTF">2016-10-19T09:11:00Z</dcterms:modified>
</cp:coreProperties>
</file>